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23.png" ContentType="image/png"/>
  <Override PartName="/word/media/rId36.png" ContentType="image/png"/>
  <Override PartName="/word/media/rId27.png" ContentType="image/png"/>
  <Override PartName="/word/media/rId4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Kapitel</w:t>
      </w:r>
      <w:r>
        <w:t xml:space="preserve"> </w:t>
      </w:r>
      <w:r>
        <w:t xml:space="preserve">9</w:t>
      </w:r>
      <w:r>
        <w:t xml:space="preserve"> </w:t>
      </w:r>
      <w:r>
        <w:t xml:space="preserve">—</w:t>
      </w:r>
      <w:r>
        <w:t xml:space="preserve"> </w:t>
      </w:r>
      <w:r>
        <w:t xml:space="preserve">Simulation</w:t>
      </w:r>
      <w:r>
        <w:t xml:space="preserve"> </w:t>
      </w:r>
      <w:r>
        <w:t xml:space="preserve">mit</w:t>
      </w:r>
      <w:r>
        <w:t xml:space="preserve"> </w:t>
      </w:r>
      <w:r>
        <w:t xml:space="preserve">den</w:t>
      </w:r>
      <w:r>
        <w:t xml:space="preserve"> </w:t>
      </w:r>
      <w:r>
        <w:t xml:space="preserve">ermittelten</w:t>
      </w:r>
      <w:r>
        <w:t xml:space="preserve"> </w:t>
      </w:r>
      <w:r>
        <w:t xml:space="preserve">Parametern</w:t>
      </w:r>
    </w:p>
    <w:p>
      <w:pPr>
        <w:pStyle w:val="Subtitle"/>
      </w:pPr>
      <w:r>
        <w:t xml:space="preserve">Transistortechnik</w:t>
      </w:r>
      <w:r>
        <w:t xml:space="preserve"> </w:t>
      </w:r>
      <w:r>
        <w:t xml:space="preserve">—</w:t>
      </w:r>
      <w:r>
        <w:t xml:space="preserve"> </w:t>
      </w:r>
      <w:r>
        <w:t xml:space="preserve">von</w:t>
      </w:r>
      <w:r>
        <w:t xml:space="preserve"> </w:t>
      </w:r>
      <w:r>
        <w:t xml:space="preserve">der</w:t>
      </w:r>
      <w:r>
        <w:t xml:space="preserve"> </w:t>
      </w:r>
      <w:r>
        <w:t xml:space="preserve">Messung</w:t>
      </w:r>
      <w:r>
        <w:t xml:space="preserve"> </w:t>
      </w:r>
      <w:r>
        <w:t xml:space="preserve">zum</w:t>
      </w:r>
      <w:r>
        <w:t xml:space="preserve"> </w:t>
      </w:r>
      <w:r>
        <w:t xml:space="preserve">Modell</w:t>
      </w:r>
    </w:p>
    <w:p>
      <w:pPr>
        <w:pStyle w:val="Author"/>
      </w:pPr>
      <w:r>
        <w:t xml:space="preserve">Prof. Dr.-Ing.</w:t>
      </w:r>
      <w:r>
        <w:t xml:space="preserve"> </w:t>
      </w:r>
      <w:r>
        <w:t xml:space="preserve">Ralph</w:t>
      </w:r>
      <w:r>
        <w:t xml:space="preserve"> </w:t>
      </w:r>
      <w:r>
        <w:t xml:space="preserve">Wystup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9" w:name="Xa23efa9c19a634457ecf166173972398b1bc0cb"/>
    <w:p>
      <w:pPr>
        <w:pStyle w:val="Heading1"/>
      </w:pPr>
      <w:r>
        <w:t xml:space="preserve">9 Simulation mit den ermittelten Parametern</w:t>
      </w:r>
    </w:p>
    <w:bookmarkStart w:id="20" w:name="warum-dieser-dreifachvergleich"/>
    <w:p>
      <w:pPr>
        <w:pStyle w:val="Heading2"/>
      </w:pPr>
      <w:r>
        <w:t xml:space="preserve">9.1 Warum dieser Dreifachvergleich?</w:t>
      </w:r>
    </w:p>
    <w:p>
      <w:pPr>
        <w:pStyle w:val="FirstParagraph"/>
      </w:pPr>
      <w:r>
        <w:t xml:space="preserve">Die vorangegangenen Kapitel haben eine geschlossene Kette aufgebaut:</w:t>
      </w:r>
      <w:r>
        <w:t xml:space="preserve"> </w:t>
      </w:r>
      <w:r>
        <w:t xml:space="preserve">Kapitel 6 hat das Gummel-Poon-Modell mit seinen SPICE-Parametern</w:t>
      </w:r>
      <w:r>
        <w:t xml:space="preserve"> </w:t>
      </w:r>
      <w:r>
        <w:t xml:space="preserve">eingeführt, Kapitel 7 hat diese Parameter aus echten Messungen am</w:t>
      </w:r>
      <w:r>
        <w:t xml:space="preserve"> </w:t>
      </w:r>
      <w:r>
        <w:t xml:space="preserve">BC547 extrahiert, und Kapitel 8 hat gezeigt, wie das</w:t>
      </w:r>
      <w:r>
        <w:t xml:space="preserve"> </w:t>
      </w:r>
      <w:r>
        <w:t xml:space="preserve">Newton-Raphson-Verfahren aus Modell und Beschaltung den Arbeitspunkt</w:t>
      </w:r>
      <w:r>
        <w:t xml:space="preserve"> </w:t>
      </w:r>
      <w:r>
        <w:t xml:space="preserve">berechnet. Damit ist im Prinzip alles vorhanden, was ein</w:t>
      </w:r>
      <w:r>
        <w:t xml:space="preserve"> </w:t>
      </w:r>
      <w:r>
        <w:t xml:space="preserve">Schaltungssimulator braucht — denn nichts anderes tut ein Simulator:</w:t>
      </w:r>
      <w:r>
        <w:t xml:space="preserve"> </w:t>
      </w:r>
      <w:r>
        <w:t xml:space="preserve">Er löst die Modellgleichungen zusammen mit den Netzwerkgleichungen der</w:t>
      </w:r>
      <w:r>
        <w:t xml:space="preserve"> </w:t>
      </w:r>
      <w:r>
        <w:t xml:space="preserve">Schaltung, und zwar mit genau dem Verfahren, das wir in Kapitel 8 von</w:t>
      </w:r>
      <w:r>
        <w:t xml:space="preserve"> </w:t>
      </w:r>
      <w:r>
        <w:t xml:space="preserve">Hand implementiert haben.</w:t>
      </w:r>
    </w:p>
    <w:p>
      <w:pPr>
        <w:pStyle w:val="BodyText"/>
      </w:pPr>
      <w:r>
        <w:t xml:space="preserve">Dieses Kapitel schließt den Kreis mit einem</w:t>
      </w:r>
      <w:r>
        <w:t xml:space="preserve"> </w:t>
      </w:r>
      <w:r>
        <w:rPr>
          <w:b/>
          <w:bCs/>
        </w:rPr>
        <w:t xml:space="preserve">Dreifachvergleich</w:t>
      </w:r>
      <w:r>
        <w:t xml:space="preserve">.</w:t>
      </w:r>
      <w:r>
        <w:t xml:space="preserve"> </w:t>
      </w:r>
      <w:r>
        <w:t xml:space="preserve">Ein und dieselbe Aufgabe — die Arbeitspunkt-Einstellung eines</w:t>
      </w:r>
      <w:r>
        <w:t xml:space="preserve"> </w:t>
      </w:r>
      <w:r>
        <w:t xml:space="preserve">Transistors in Emitterschaltung — wird auf drei Wegen gelöst:</w:t>
      </w:r>
    </w:p>
    <w:p>
      <w:pPr>
        <w:pStyle w:val="Compact"/>
        <w:numPr>
          <w:ilvl w:val="0"/>
          <w:numId w:val="1001"/>
        </w:numPr>
      </w:pPr>
      <w:r>
        <w:t xml:space="preserve">mit unserem</w:t>
      </w:r>
      <w:r>
        <w:t xml:space="preserve"> </w:t>
      </w:r>
      <w:r>
        <w:rPr>
          <w:b/>
          <w:bCs/>
        </w:rPr>
        <w:t xml:space="preserve">eigenen Python-Löser</w:t>
      </w:r>
      <w:r>
        <w:t xml:space="preserve"> </w:t>
      </w:r>
      <w:r>
        <w:t xml:space="preserve">(Newton-Raphson und</w:t>
      </w:r>
      <w:r>
        <w:t xml:space="preserve"> </w:t>
      </w:r>
      <w:r>
        <w:t xml:space="preserve">Bisektion, wie in Kapitel 8 entwickelt),</w:t>
      </w:r>
    </w:p>
    <w:p>
      <w:pPr>
        <w:pStyle w:val="Compact"/>
        <w:numPr>
          <w:ilvl w:val="0"/>
          <w:numId w:val="1001"/>
        </w:numPr>
      </w:pPr>
      <w:r>
        <w:t xml:space="preserve">mit</w:t>
      </w:r>
      <w:r>
        <w:t xml:space="preserve"> </w:t>
      </w:r>
      <w:r>
        <w:rPr>
          <w:b/>
          <w:bCs/>
        </w:rPr>
        <w:t xml:space="preserve">LTspice</w:t>
      </w:r>
      <w:r>
        <w:t xml:space="preserve">, dem Industriestandard-Schaltungssimulator,</w:t>
      </w:r>
    </w:p>
    <w:p>
      <w:pPr>
        <w:pStyle w:val="Compact"/>
        <w:numPr>
          <w:ilvl w:val="0"/>
          <w:numId w:val="1001"/>
        </w:numPr>
      </w:pPr>
      <w:r>
        <w:t xml:space="preserve">mit einem selbst aufgebauten</w:t>
      </w:r>
      <w:r>
        <w:t xml:space="preserve"> </w:t>
      </w:r>
      <w:r>
        <w:rPr>
          <w:b/>
          <w:bCs/>
        </w:rPr>
        <w:t xml:space="preserve">Simulink-Modell</w:t>
      </w:r>
      <w:r>
        <w:t xml:space="preserve">, das die</w:t>
      </w:r>
      <w:r>
        <w:t xml:space="preserve"> </w:t>
      </w:r>
      <w:r>
        <w:t xml:space="preserve">Gummel-Poon-Gleichungen als Blockschaltbild nachbildet.</w:t>
      </w:r>
    </w:p>
    <w:p>
      <w:pPr>
        <w:pStyle w:val="FirstParagraph"/>
      </w:pPr>
      <w:r>
        <w:t xml:space="preserve">Wenn drei unabhängige Implementierungen — eigener Code, kommerzieller</w:t>
      </w:r>
      <w:r>
        <w:t xml:space="preserve"> </w:t>
      </w:r>
      <w:r>
        <w:t xml:space="preserve">Simulator, grafische Modellierung — auf dieselben Zahlen führen,</w:t>
      </w:r>
      <w:r>
        <w:t xml:space="preserve"> </w:t>
      </w:r>
      <w:r>
        <w:t xml:space="preserve">haben wir zweierlei gewonnen: Vertrauen in unsere eigene Rechnung und</w:t>
      </w:r>
      <w:r>
        <w:t xml:space="preserve"> </w:t>
      </w:r>
      <w:r>
        <w:t xml:space="preserve">ein tiefes Verständnis dafür, was der Simulator „unter der Haube”</w:t>
      </w:r>
      <w:r>
        <w:t xml:space="preserve"> </w:t>
      </w:r>
      <w:r>
        <w:t xml:space="preserve">tatsächlich tut. Der Simulator verliert seinen Black-Box-Charakter.</w:t>
      </w:r>
    </w:p>
    <w:bookmarkEnd w:id="20"/>
    <w:bookmarkStart w:id="21" w:name="die-testschaltung-und-die-aufgabe"/>
    <w:p>
      <w:pPr>
        <w:pStyle w:val="Heading2"/>
      </w:pPr>
      <w:r>
        <w:t xml:space="preserve">9.2 Die Testschaltung und die Aufgabe</w:t>
      </w:r>
    </w:p>
    <w:p>
      <w:pPr>
        <w:pStyle w:val="FirstParagraph"/>
      </w:pPr>
      <w:r>
        <w:t xml:space="preserve">Als Testschaltung dient die Emitterschaltung mit Basisvorwiderstand</w:t>
      </w:r>
      <w:r>
        <w:t xml:space="preserve"> </w:t>
      </w:r>
      <w:r>
        <w:t xml:space="preserve">(Fixed Bias) aus Kapitel 8:</w:t>
      </w:r>
    </w:p>
    <w:p>
      <w:pPr>
        <w:pStyle w:val="Compact"/>
        <w:numPr>
          <w:ilvl w:val="0"/>
          <w:numId w:val="1002"/>
        </w:numPr>
      </w:pPr>
      <w:r>
        <w:t xml:space="preserve">Versorgungsspannung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=</m:t>
        </m:r>
        <m:r>
          <m:t>25</m:t>
        </m:r>
        <m:r>
          <m:t> </m:t>
        </m:r>
        <m:r>
          <m:rPr>
            <m:sty m:val="p"/>
          </m:rPr>
          <m:t>V</m:t>
        </m:r>
      </m:oMath>
      <w:r>
        <w:t xml:space="preserve">, wobei die Basis über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ebenfalls aus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t xml:space="preserve"> </w:t>
      </w:r>
      <w:r>
        <w:t xml:space="preserve">versorgt wird (</w:t>
      </w:r>
      <m:oMath>
        <m:sSub>
          <m:e>
            <m:r>
              <m:t>V</m:t>
            </m:r>
          </m:e>
          <m:sub>
            <m:r>
              <m:t>B</m:t>
            </m:r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t xml:space="preserve">),</w:t>
      </w:r>
    </w:p>
    <w:p>
      <w:pPr>
        <w:pStyle w:val="Compact"/>
        <w:numPr>
          <w:ilvl w:val="0"/>
          <w:numId w:val="1002"/>
        </w:numPr>
      </w:pPr>
      <w:r>
        <w:t xml:space="preserve">Kollektorwiderstand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100</m:t>
        </m:r>
        <m:r>
          <m:t> </m:t>
        </m:r>
        <m:r>
          <m:t>Ω</m:t>
        </m:r>
      </m:oMath>
      <w:r>
        <w:t xml:space="preserve">,</w:t>
      </w:r>
    </w:p>
    <w:p>
      <w:pPr>
        <w:pStyle w:val="Compact"/>
        <w:numPr>
          <w:ilvl w:val="0"/>
          <w:numId w:val="1002"/>
        </w:numPr>
      </w:pPr>
      <w:r>
        <w:t xml:space="preserve">Basiswiderstand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:</w:t>
      </w:r>
      <w:r>
        <w:t xml:space="preserve"> </w:t>
      </w:r>
      <w:r>
        <w:rPr>
          <w:b/>
          <w:bCs/>
        </w:rPr>
        <w:t xml:space="preserve">gesucht</w:t>
      </w:r>
      <w:r>
        <w:t xml:space="preserve">.</w:t>
      </w:r>
    </w:p>
    <w:p>
      <w:pPr>
        <w:pStyle w:val="FirstParagraph"/>
      </w:pPr>
      <w:r>
        <w:t xml:space="preserve">Die Entwurfsaufgabe lautet: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ist so zu bestimmen, dass der</w:t>
      </w:r>
      <w:r>
        <w:t xml:space="preserve"> </w:t>
      </w:r>
      <w:r>
        <w:t xml:space="preserve">Arbeitspunkt in der Mitte der Lastgeraden liegt,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!</m:t>
              </m:r>
            </m:lim>
          </m:limUpp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,</m:t>
          </m:r>
          <m:r>
            <m:t>5</m:t>
          </m:r>
          <m:r>
            <m:t> </m:t>
          </m:r>
          <m:r>
            <m:rPr>
              <m:sty m:val="p"/>
            </m:rPr>
            <m:t>V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denn dort ist die symmetrische Aussteuerbarkeit des späteren</w:t>
      </w:r>
      <w:r>
        <w:t xml:space="preserve"> </w:t>
      </w:r>
      <w:r>
        <w:t xml:space="preserve">Verstärkers am größten. Als Toleranz sind</w:t>
      </w:r>
      <w:r>
        <w:t xml:space="preserve"> </w:t>
      </w:r>
      <m:oMath>
        <m:r>
          <m:rPr>
            <m:sty m:val="p"/>
          </m:rPr>
          <m:t>±</m:t>
        </m:r>
        <m:r>
          <m:t>5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zugelassen.</w:t>
      </w:r>
    </w:p>
    <w:p>
      <w:pPr>
        <w:pStyle w:val="BodyText"/>
      </w:pPr>
      <w:r>
        <w:t xml:space="preserve">Der Transistor wird durch die Gummel-Poon-Gleichungen beschrieben,</w:t>
      </w:r>
      <w:r>
        <w:t xml:space="preserve"> </w:t>
      </w:r>
      <w:r>
        <w:t xml:space="preserve">in zwei Ausbaustufen, die wir aus Kapitel 6 kennen:</w:t>
      </w:r>
    </w:p>
    <w:p>
      <w:pPr>
        <w:pStyle w:val="BodyText"/>
      </w:pPr>
      <w:r>
        <w:rPr>
          <w:b/>
          <w:bCs/>
        </w:rPr>
        <w:t xml:space="preserve">Einfaches Modell</w:t>
      </w:r>
      <w:r>
        <w:t xml:space="preserve"> </w:t>
      </w:r>
      <w:r>
        <w:t xml:space="preserve">(Shockley-Kern mit Early-Effekt):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S</m:t>
              </m:r>
            </m:sub>
          </m:sSub>
          <m:r>
            <m:t> </m:t>
          </m:r>
          <m:sSup>
            <m:e>
              <m:r>
                <m:t>e</m:t>
              </m:r>
            </m:e>
            <m:sup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C</m:t>
                      </m:r>
                      <m:r>
                        <m:t>E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β</m:t>
                  </m:r>
                </m:e>
                <m:sub>
                  <m:r>
                    <m:t>F</m:t>
                  </m:r>
                </m:sub>
              </m:sSub>
            </m:den>
          </m:f>
          <m:r>
            <m:t> </m:t>
          </m:r>
          <m:sSup>
            <m:e>
              <m:r>
                <m:t>e</m:t>
              </m:r>
            </m:e>
            <m:sup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Erweitertes Modell</w:t>
      </w:r>
      <w:r>
        <w:t xml:space="preserve"> </w:t>
      </w:r>
      <w:r>
        <w:t xml:space="preserve">(zusätzlich Hochstrom-Abfall, Basis-Early-Effekt</w:t>
      </w:r>
      <w:r>
        <w:t xml:space="preserve"> </w:t>
      </w:r>
      <w:r>
        <w:t xml:space="preserve">und interner Basiswiderstand):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β</m:t>
                  </m:r>
                </m:e>
                <m:sub>
                  <m:r>
                    <m:t>F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  <m:r>
                        <m:t>F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t> </m:t>
          </m:r>
          <m:sSub>
            <m:e>
              <m:r>
                <m:t>R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β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</m:den>
          </m:f>
          <m:r>
            <m:t> </m:t>
          </m:r>
          <m:sSup>
            <m:e>
              <m:r>
                <m:t>e</m:t>
              </m:r>
            </m:e>
            <m:sup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C</m:t>
                      </m:r>
                      <m:r>
                        <m:t>E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S</m:t>
              </m:r>
            </m:sub>
          </m:sSub>
          <m:r>
            <m:t> </m:t>
          </m:r>
          <m:sSup>
            <m:e>
              <m:r>
                <m:t>e</m:t>
              </m:r>
            </m:e>
            <m:sup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C</m:t>
                      </m:r>
                      <m:r>
                        <m:t>E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Die Zahlenwerte sind die didaktischen Modellwerte aus dem</w:t>
      </w:r>
      <w:r>
        <w:t xml:space="preserve"> </w:t>
      </w:r>
      <w:r>
        <w:t xml:space="preserve">Vorlesungsmanuskript — bewusst runde Werte, damit die Rechnung</w:t>
      </w:r>
      <w:r>
        <w:t xml:space="preserve"> </w:t>
      </w:r>
      <w:r>
        <w:t xml:space="preserve">nachvollziehbar bleibt: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SPICE-Name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IS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  <m:r>
                <m:t> </m:t>
              </m:r>
            </m:oMath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Sättigungsstrom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Vorwärts-Stromverstärkung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Emissionskoeffizient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Early-Spannung (Kollektor)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Early-Spannung (Basis), nur erweitert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K</m:t>
                  </m:r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IKF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Kniestrom des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-Abfalls, nur erweitert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  <w:r>
              <w:t xml:space="preserve"> </w:t>
            </w:r>
            <m:oMath>
              <m:r>
                <m:t>Ω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interner Basiswiderstand, nur erweitert</w:t>
            </w:r>
          </w:p>
        </w:tc>
      </w:tr>
    </w:tbl>
    <w:p>
      <w:pPr>
        <w:pStyle w:val="BodyText"/>
      </w:pPr>
      <w:r>
        <w:t xml:space="preserve">Die Thermospannung beträgt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  <m:r>
          <m:rPr>
            <m:sty m:val="p"/>
          </m:rPr>
          <m:t>/</m:t>
        </m:r>
        <m:r>
          <m:t>q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,</m:t>
        </m:r>
        <m:r>
          <m:t>86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V</m:t>
        </m:r>
      </m:oMath>
      <w:r>
        <w:t xml:space="preserve"> </w:t>
      </w:r>
      <w:r>
        <w:t xml:space="preserve">bei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300</m:t>
        </m:r>
        <m:r>
          <m:t> </m:t>
        </m:r>
        <m:r>
          <m:rPr>
            <m:sty m:val="p"/>
          </m:rPr>
          <m:t>K</m:t>
        </m:r>
      </m:oMath>
      <w:r>
        <w:t xml:space="preserve"> </w:t>
      </w:r>
      <w:r>
        <w:t xml:space="preserve">— gerechnet, wie in den Python-Programmen,</w:t>
      </w:r>
      <w:r>
        <w:t xml:space="preserve"> </w:t>
      </w:r>
      <w:r>
        <w:t xml:space="preserve">mit den gerundeten Konstanten</w:t>
      </w:r>
      <w: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381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23</m:t>
            </m:r>
          </m:sup>
        </m:sSup>
        <m:r>
          <m:t> </m:t>
        </m:r>
      </m:oMath>
      <w:r>
        <w:t xml:space="preserve">J/K und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602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  <m:r>
          <m:t> </m:t>
        </m:r>
      </m:oMath>
      <w:r>
        <w:t xml:space="preserve">C.</w:t>
      </w:r>
    </w:p>
    <w:bookmarkEnd w:id="21"/>
    <w:bookmarkStart w:id="34" w:name="X97d4981adc810b1361d9106c3eaa2aca423b799"/>
    <w:p>
      <w:pPr>
        <w:pStyle w:val="Heading2"/>
      </w:pPr>
      <w:r>
        <w:t xml:space="preserve">9.3 Weg 1: Der eigene Löser — Newton innen, Bisektion außen</w:t>
      </w:r>
    </w:p>
    <w:bookmarkStart w:id="22" w:name="aufbau-des-verfahrens"/>
    <w:p>
      <w:pPr>
        <w:pStyle w:val="Heading3"/>
      </w:pPr>
      <w:r>
        <w:t xml:space="preserve">9.3.1 Aufbau des Verfahrens</w:t>
      </w:r>
    </w:p>
    <w:p>
      <w:pPr>
        <w:pStyle w:val="FirstParagraph"/>
      </w:pPr>
      <w:r>
        <w:t xml:space="preserve">Die Struktur des Lösers folgt unmittelbar aus Kapitel 8. Für ein</w:t>
      </w:r>
      <w:r>
        <w:t xml:space="preserve"> </w:t>
      </w:r>
      <w:r>
        <w:rPr>
          <w:b/>
          <w:bCs/>
        </w:rPr>
        <w:t xml:space="preserve">gegebenes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liefern Maschengleichungen und Modellgleichungen</w:t>
      </w:r>
      <w:r>
        <w:t xml:space="preserve"> </w:t>
      </w:r>
      <w:r>
        <w:t xml:space="preserve">das nichtlineare Gleichungssystem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B</m:t>
                            </m:r>
                            <m:r>
                              <m:t>B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B</m:t>
                            </m:r>
                            <m:r>
                              <m:t>E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B</m:t>
                            </m:r>
                            <m:r>
                              <m:t>E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C</m:t>
                            </m:r>
                            <m:r>
                              <m:t>E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C</m:t>
                            </m:r>
                            <m:r>
                              <m:t>C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C</m:t>
                            </m:r>
                            <m:r>
                              <m:t>E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B</m:t>
                            </m:r>
                            <m:r>
                              <m:t>E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C</m:t>
                            </m:r>
                            <m:r>
                              <m:t>E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!</m:t>
              </m:r>
            </m:lim>
          </m:limUpp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das mit dem zweidimensionalen</w:t>
      </w:r>
      <w:r>
        <w:t xml:space="preserve"> </w:t>
      </w:r>
      <w:r>
        <w:rPr>
          <w:b/>
          <w:bCs/>
        </w:rPr>
        <w:t xml:space="preserve">Newton-Raphson-Verfahren</w:t>
      </w:r>
      <w:r>
        <w:t xml:space="preserve"> </w:t>
      </w:r>
      <w:r>
        <w:t xml:space="preserve">und der</w:t>
      </w:r>
      <w:r>
        <w:t xml:space="preserve"> </w:t>
      </w:r>
      <w:r>
        <w:t xml:space="preserve">Jacobi-Matrix aus Kapitel 8 gelöst wird; Startwert ist wie dort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B</m:t>
                </m:r>
                <m:r>
                  <m:t>E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C</m:t>
                </m:r>
                <m:r>
                  <m:t>E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65</m:t>
            </m:r>
            <m:r>
              <m:t> 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,</m:t>
            </m:r>
            <m:r>
              <m:t> </m:t>
            </m:r>
            <m:sSub>
              <m:e>
                <m:r>
                  <m:t>V</m:t>
                </m:r>
              </m:e>
              <m:sub>
                <m:r>
                  <m:t>C</m:t>
                </m:r>
                <m:r>
                  <m:t>C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.</w:t>
      </w:r>
    </w:p>
    <w:p>
      <w:pPr>
        <w:pStyle w:val="BodyText"/>
      </w:pPr>
      <w:r>
        <w:t xml:space="preserve">Das gesuchte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liegt aber noch nicht fest. Hier übernimmt — wie in</w:t>
      </w:r>
      <w:r>
        <w:t xml:space="preserve"> </w:t>
      </w:r>
      <w:r>
        <w:t xml:space="preserve">Kapitel 8 begründet — die</w:t>
      </w:r>
      <w:r>
        <w:t xml:space="preserve"> </w:t>
      </w:r>
      <w:r>
        <w:rPr>
          <w:b/>
          <w:bCs/>
        </w:rPr>
        <w:t xml:space="preserve">Bisektion die äußere Schleife</w:t>
      </w:r>
      <w:r>
        <w:t xml:space="preserve">: Sie ist</w:t>
      </w:r>
      <w:r>
        <w:t xml:space="preserve"> </w:t>
      </w:r>
      <w:r>
        <w:t xml:space="preserve">nicht das Rechenverfahren des Buches (das ist Newton-Raphson), sondern</w:t>
      </w:r>
      <w:r>
        <w:t xml:space="preserve"> </w:t>
      </w:r>
      <w:r>
        <w:t xml:space="preserve">die robuste Absicherung der Suche über einen weiten Wertebereich. Der</w:t>
      </w:r>
      <w:r>
        <w:t xml:space="preserve"> </w:t>
      </w:r>
      <w:r>
        <w:t xml:space="preserve">Zusammenhang ist streng monoton und physikalisch anschaulich: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↑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↓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↓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E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t xml:space="preserve">Damit funktioniert die Intervallhalbierung zuverlässig:</w:t>
      </w:r>
    </w:p>
    <w:p>
      <w:pPr>
        <w:pStyle w:val="Compact"/>
        <w:numPr>
          <w:ilvl w:val="0"/>
          <w:numId w:val="1003"/>
        </w:numPr>
      </w:pPr>
      <w:r>
        <w:t xml:space="preserve">Startintervall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10</m:t>
            </m:r>
            <m:r>
              <m:t> </m:t>
            </m:r>
            <m:r>
              <m:rPr>
                <m:sty m:val="p"/>
              </m:rPr>
              <m:t>k</m:t>
            </m:r>
            <m:r>
              <m:t>Ω</m:t>
            </m:r>
            <m:r>
              <m:rPr>
                <m:sty m:val="p"/>
              </m:rPr>
              <m:t>,</m:t>
            </m:r>
            <m:r>
              <m:t> </m:t>
            </m:r>
            <m:r>
              <m:t>500</m:t>
            </m:r>
            <m:r>
              <m:t> </m:t>
            </m:r>
            <m:r>
              <m:rPr>
                <m:sty m:val="p"/>
              </m:rPr>
              <m:t>k</m:t>
            </m:r>
            <m:r>
              <m:t>Ω</m:t>
            </m:r>
          </m:e>
        </m:d>
      </m:oMath>
    </w:p>
    <w:p>
      <w:pPr>
        <w:pStyle w:val="Compact"/>
        <w:numPr>
          <w:ilvl w:val="0"/>
          <w:numId w:val="1003"/>
        </w:numPr>
      </w:pPr>
      <w:r>
        <w:t xml:space="preserve">Intervallmitte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y</m:t>
            </m:r>
          </m:sub>
        </m:sSub>
      </m:oMath>
      <w:r>
        <w:t xml:space="preserve"> </w:t>
      </w:r>
      <w:r>
        <w:t xml:space="preserve">bilden</w:t>
      </w:r>
    </w:p>
    <w:p>
      <w:pPr>
        <w:pStyle w:val="Compact"/>
        <w:numPr>
          <w:ilvl w:val="0"/>
          <w:numId w:val="1003"/>
        </w:numPr>
      </w:pPr>
      <w:r>
        <w:t xml:space="preserve">Newton-Raphson löst den Arbeitspunkt für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y</m:t>
            </m:r>
          </m:sub>
        </m:sSub>
      </m:oMath>
    </w:p>
    <w:p>
      <w:pPr>
        <w:pStyle w:val="Compact"/>
        <w:numPr>
          <w:ilvl w:val="0"/>
          <w:numId w:val="1003"/>
        </w:numPr>
      </w:pP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  <m:r>
          <m:rPr>
            <m:sty m:val="p"/>
          </m:rPr>
          <m:t>&lt;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: Intervall-Untergrenze anheben;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  <m:r>
          <m:rPr>
            <m:sty m:val="p"/>
          </m:rPr>
          <m:t>&gt;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: Obergrenze absenken</w:t>
      </w:r>
    </w:p>
    <w:p>
      <w:pPr>
        <w:pStyle w:val="Compact"/>
        <w:numPr>
          <w:ilvl w:val="0"/>
          <w:numId w:val="1003"/>
        </w:numPr>
      </w:pPr>
      <w:r>
        <w:t xml:space="preserve">wiederholen, bis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 </w:t>
      </w:r>
      <w:r>
        <w:t xml:space="preserve">im Toleranzband liegt</w:t>
      </w:r>
    </w:p>
    <w:p>
      <w:pPr>
        <w:pStyle w:val="FirstParagraph"/>
      </w:pPr>
      <w:r>
        <w:t xml:space="preserve">Ein Detail macht das Verfahren besonders effizient: Die</w:t>
      </w:r>
      <w:r>
        <w:t xml:space="preserve"> </w:t>
      </w:r>
      <w:r>
        <w:t xml:space="preserve">Newton-Lösung eines Bisektionsschritts dient als</w:t>
      </w:r>
      <w:r>
        <w:t xml:space="preserve"> </w:t>
      </w:r>
      <w:r>
        <w:rPr>
          <w:b/>
          <w:bCs/>
        </w:rPr>
        <w:t xml:space="preserve">Startwert des</w:t>
      </w:r>
      <w:r>
        <w:rPr>
          <w:b/>
          <w:bCs/>
        </w:rPr>
        <w:t xml:space="preserve"> </w:t>
      </w:r>
      <w:r>
        <w:rPr>
          <w:b/>
          <w:bCs/>
        </w:rPr>
        <w:t xml:space="preserve">nächsten</w:t>
      </w:r>
      <w:r>
        <w:t xml:space="preserve"> </w:t>
      </w:r>
      <w:r>
        <w:t xml:space="preserve">— die Arbeitspunkte benachbarter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-Werte liegen nahe</w:t>
      </w:r>
      <w:r>
        <w:t xml:space="preserve"> </w:t>
      </w:r>
      <w:r>
        <w:t xml:space="preserve">beieinander, und Newton konvergiert dann in immer weniger Schritten.</w:t>
      </w:r>
    </w:p>
    <w:bookmarkEnd w:id="22"/>
    <w:bookmarkStart w:id="26" w:name="das-protokoll-der-rechnung"/>
    <w:p>
      <w:pPr>
        <w:pStyle w:val="Heading3"/>
      </w:pPr>
      <w:r>
        <w:t xml:space="preserve">9.3.2 Das Protokoll der Rechnung</w:t>
      </w:r>
    </w:p>
    <w:p>
      <w:pPr>
        <w:pStyle w:val="FirstParagraph"/>
      </w:pPr>
      <w:r>
        <w:t xml:space="preserve">Der Lauf mit dem einfachen Modell ergibt: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 </w:t>
            </w:r>
            <w:r>
              <w:t xml:space="preserve">[</w:t>
            </w:r>
            <m:oMath>
              <m:r>
                <m:t>Ω</m:t>
              </m:r>
            </m:oMath>
            <w: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[V]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Newton-Iterationen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255 000,00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22,6595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132 500,00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20,5753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71 250,00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17,0196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40 625,00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11,6534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55 937,50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48 281,25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13,5745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44 453,12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12,6885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p>
      <w:pPr>
        <w:pStyle w:val="BodyText"/>
      </w:pPr>
      <w:r>
        <w:t xml:space="preserve">und mit dem erweiterten Modell: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 </w:t>
            </w:r>
            <w:r>
              <w:t xml:space="preserve">[</w:t>
            </w:r>
            <m:oMath>
              <m:r>
                <m:t>Ω</m:t>
              </m:r>
            </m:oMath>
            <w: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[V]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Newton-Iterationen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255 000,00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22,9375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132 500,00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21,1267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71 250,00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18,0783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40 625,00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13,5360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25 312,50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7,8352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32 968,75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11,2630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36 796,88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12,5036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</w:tbl>
    <w:p>
      <w:pPr>
        <w:pStyle w:val="BodyText"/>
      </w:pPr>
      <w:r>
        <w:t xml:space="preserve">Ein Wort zu den auffälligen Nachkommastellen der Endwerte, denn sie</w:t>
      </w:r>
      <w:r>
        <w:t xml:space="preserve"> </w:t>
      </w:r>
      <w:r>
        <w:t xml:space="preserve">erklären,</w:t>
      </w:r>
      <w:r>
        <w:t xml:space="preserve"> </w:t>
      </w:r>
      <w:r>
        <w:rPr>
          <w:b/>
          <w:bCs/>
        </w:rPr>
        <w:t xml:space="preserve">was diese Zahlen eigentlich sind</w:t>
      </w:r>
      <w:r>
        <w:t xml:space="preserve">: Die Bisektion kennt</w:t>
      </w:r>
      <w:r>
        <w:t xml:space="preserve"> </w:t>
      </w:r>
      <w:r>
        <w:t xml:space="preserve">nur Intervallmittelpunkte. Das Startintervall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10</m:t>
            </m:r>
            <m:r>
              <m:t> </m:t>
            </m:r>
            <m:r>
              <m:rPr>
                <m:sty m:val="p"/>
              </m:rPr>
              <m:t>k</m:t>
            </m:r>
            <m:r>
              <m:t>Ω</m:t>
            </m:r>
            <m:r>
              <m:rPr>
                <m:sty m:val="p"/>
              </m:rPr>
              <m:t>,</m:t>
            </m:r>
            <m:r>
              <m:t> </m:t>
            </m:r>
            <m:r>
              <m:t>500</m:t>
            </m:r>
            <m:r>
              <m:t> </m:t>
            </m:r>
            <m:r>
              <m:rPr>
                <m:sty m:val="p"/>
              </m:rPr>
              <m:t>k</m:t>
            </m:r>
            <m:r>
              <m:t>Ω</m:t>
            </m:r>
          </m:e>
        </m:d>
      </m:oMath>
      <w:r>
        <w:t xml:space="preserve"> </w:t>
      </w:r>
      <w:r>
        <w:t xml:space="preserve">hat die Breite</w:t>
      </w:r>
      <w:r>
        <w:t xml:space="preserve"> </w:t>
      </w:r>
      <m:oMath>
        <m:r>
          <m:t>490</m:t>
        </m:r>
        <m:r>
          <m:t> </m:t>
        </m:r>
        <m:r>
          <m:rPr>
            <m:sty m:val="p"/>
          </m:rPr>
          <m:t>k</m:t>
        </m:r>
        <m:r>
          <m:t>Ω</m:t>
        </m:r>
      </m:oMath>
      <w:r>
        <w:t xml:space="preserve">; nach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Halbierungen liegen alle</w:t>
      </w:r>
      <w:r>
        <w:t xml:space="preserve"> </w:t>
      </w:r>
      <w:r>
        <w:t xml:space="preserve">erreichbaren Werte auf einem Raster der Schrittweite</w:t>
      </w:r>
      <w:r>
        <w:t xml:space="preserve"> </w:t>
      </w:r>
      <m:oMath>
        <m:r>
          <m:t>490</m:t>
        </m:r>
        <m:r>
          <m:t> </m:t>
        </m:r>
        <m:r>
          <m:t>000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t> </m:t>
        </m:r>
        <m:r>
          <m:t>Ω</m:t>
        </m:r>
      </m:oMath>
      <w:r>
        <w:t xml:space="preserve">. Im siebten Schritt beträgt dieses Raster</w:t>
      </w:r>
      <w:r>
        <w:t xml:space="preserve"> </w:t>
      </w:r>
      <m:oMath>
        <m:r>
          <m:t>490</m:t>
        </m:r>
        <m:r>
          <m:t> </m:t>
        </m:r>
        <m:r>
          <m:t>000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t>3</m:t>
        </m:r>
        <m:r>
          <m:t> </m:t>
        </m:r>
        <m:r>
          <m:t>828</m:t>
        </m:r>
        <m:r>
          <m:rPr>
            <m:sty m:val="p"/>
          </m:rPr>
          <m:t>,</m:t>
        </m:r>
        <m:r>
          <m:t>125</m:t>
        </m:r>
        <m:r>
          <m:t> </m:t>
        </m:r>
        <m:r>
          <m:t>Ω</m:t>
        </m:r>
      </m:oMath>
      <w:r>
        <w:t xml:space="preserve">, und die exakten Endwerte sind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44</m:t>
          </m:r>
          <m:r>
            <m:t> </m:t>
          </m:r>
          <m:r>
            <m:t>453</m:t>
          </m:r>
          <m:r>
            <m:rPr>
              <m:sty m:val="p"/>
            </m:rPr>
            <m:t>,</m:t>
          </m:r>
          <m:r>
            <m:t>125</m:t>
          </m:r>
          <m:r>
            <m:t> </m:t>
          </m:r>
          <m:r>
            <m:t>Ω</m:t>
          </m:r>
          <m:r>
            <m:t>  </m:t>
          </m:r>
          <m:r>
            <m:rPr>
              <m:nor/>
              <m:sty m:val="p"/>
            </m:rPr>
            <m:t>bzw.</m:t>
          </m:r>
          <m:r>
            <m:t>  </m:t>
          </m:r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36</m:t>
          </m:r>
          <m:r>
            <m:t> </m:t>
          </m:r>
          <m:r>
            <m:t>796</m:t>
          </m:r>
          <m:r>
            <m:rPr>
              <m:sty m:val="p"/>
            </m:rPr>
            <m:t>,</m:t>
          </m:r>
          <m:r>
            <m:t>875</m:t>
          </m:r>
          <m:r>
            <m:t> </m:t>
          </m:r>
          <m:r>
            <m:t>Ω</m:t>
          </m:r>
        </m:oMath>
      </m:oMathPara>
    </w:p>
    <w:p>
      <w:pPr>
        <w:pStyle w:val="FirstParagraph"/>
      </w:pPr>
      <w:r>
        <w:t xml:space="preserve">(in den Protokollen auf zwei Nachkommastellen gerundet angezeigt).</w:t>
      </w:r>
      <w:r>
        <w:t xml:space="preserve"> </w:t>
      </w:r>
      <w:r>
        <w:t xml:space="preserve">Die Bruchteile eines Ohms sind also</w:t>
      </w:r>
      <w:r>
        <w:t xml:space="preserve"> </w:t>
      </w:r>
      <w:r>
        <w:rPr>
          <w:b/>
          <w:bCs/>
        </w:rPr>
        <w:t xml:space="preserve">reine Halbierungsarithmetik</w:t>
      </w:r>
      <w:r>
        <w:t xml:space="preserve"> </w:t>
      </w:r>
      <w:r>
        <w:t xml:space="preserve">und keine physikalische Genauigkeit: Das Toleranzband von</w:t>
      </w:r>
      <w:r>
        <w:t xml:space="preserve"> </w:t>
      </w:r>
      <m:oMath>
        <m:r>
          <m:rPr>
            <m:sty m:val="p"/>
          </m:rPr>
          <m:t>±</m:t>
        </m:r>
        <m:r>
          <m:t>5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um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lässt ohnehin</w:t>
      </w:r>
      <w:r>
        <w:t xml:space="preserve"> </w:t>
      </w:r>
      <m:oMath>
        <m:r>
          <m:rPr>
            <m:sty m:val="p"/>
          </m:rPr>
          <m:t>±</m:t>
        </m:r>
        <m:r>
          <m:t>625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V</m:t>
        </m:r>
      </m:oMath>
      <w:r>
        <w:t xml:space="preserve"> </w:t>
      </w:r>
      <w:r>
        <w:t xml:space="preserve">Spielraum, und ein realer Widerstand würde als nächstliegender</w:t>
      </w:r>
      <w:r>
        <w:t xml:space="preserve"> </w:t>
      </w:r>
      <w:r>
        <w:t xml:space="preserve">Normwert der E-Reihe mit eigener Fertigungstoleranz gewählt. Für den</w:t>
      </w:r>
      <w:r>
        <w:t xml:space="preserve"> </w:t>
      </w:r>
      <w:r>
        <w:t xml:space="preserve">Vergleich mit LTspice wurden trotzdem bewusst die Rechenwerte</w:t>
      </w:r>
      <w:r>
        <w:t xml:space="preserve"> </w:t>
      </w:r>
      <w:r>
        <w:t xml:space="preserve">übernommen (auf ganze Ohm abgeschnitten) — denn nur wenn beide</w:t>
      </w:r>
      <w:r>
        <w:t xml:space="preserve"> </w:t>
      </w:r>
      <w:r>
        <w:t xml:space="preserve">Werkzeuge dasselbe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verwenden, ist die Übereinstimmung der</w:t>
      </w:r>
      <w:r>
        <w:t xml:space="preserve"> </w:t>
      </w:r>
      <w:r>
        <w:t xml:space="preserve">Arbeitspunkte ein echter Test der Löser.</w:t>
      </w:r>
    </w:p>
    <w:p>
      <w:pPr>
        <w:pStyle w:val="BodyText"/>
      </w:pPr>
      <w:r>
        <w:t xml:space="preserve">Abbildung 9.1 zeigt beide Läufe grafisch: Der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-Wert (blau)</w:t>
      </w:r>
      <w:r>
        <w:t xml:space="preserve"> </w:t>
      </w:r>
      <w:r>
        <w:t xml:space="preserve">halbiert sich Schritt für Schritt in das Ziel hinein, die zugehörige</w:t>
      </w:r>
      <w:r>
        <w:t xml:space="preserve"> </w:t>
      </w:r>
      <w:r>
        <w:t xml:space="preserve">Kollektor-Emitter-Spannung (rot) pendelt sich in das grau hinterlegte</w:t>
      </w:r>
      <w:r>
        <w:t xml:space="preserve"> </w:t>
      </w:r>
      <w:r>
        <w:t xml:space="preserve">Toleranzband um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ein. Nach sieben Schritten ist das Ziel</w:t>
      </w:r>
      <w:r>
        <w:t xml:space="preserve"> </w:t>
      </w:r>
      <w:r>
        <w:t xml:space="preserve">jeweils erreicht.</w:t>
      </w:r>
    </w:p>
    <w:p>
      <w:pPr>
        <w:pStyle w:val="CaptionedFigure"/>
      </w:pPr>
      <w:r>
        <w:drawing>
          <wp:inline>
            <wp:extent cx="5334000" cy="2133599"/>
            <wp:effectExtent b="0" l="0" r="0" t="0"/>
            <wp:docPr descr="Abbildung 9.1: Bisektionsverlauf für beide Modellstufen. Blau: der untersuchte Basiswiderstand, rot: die von Newton-Raphson berechnete Kollektor-Emitter-Spannung, grau: das Zielband V_{CC}/2 \pm 5\,\%." title="" id="24" name="Picture"/>
            <a:graphic>
              <a:graphicData uri="http://schemas.openxmlformats.org/drawingml/2006/picture">
                <pic:pic>
                  <pic:nvPicPr>
                    <pic:cNvPr descr="../bilder/kap09_bisektio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Abbildung 9.1: Bisektionsverlauf für beide Modellstufen. Blau: der</w:t>
      </w:r>
      <w:r>
        <w:t xml:space="preserve"> </w:t>
      </w:r>
      <w:r>
        <w:t xml:space="preserve">untersuchte Basiswiderstand, rot: die von Newton-Raphson berechnete</w:t>
      </w:r>
      <w:r>
        <w:t xml:space="preserve"> </w:t>
      </w:r>
      <w:r>
        <w:t xml:space="preserve">Kollektor-Emitter-Spannung, grau: das Zielband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/</m:t>
        </m:r>
        <m:r>
          <m:t>2</m:t>
        </m:r>
        <m:r>
          <m:rPr>
            <m:sty m:val="p"/>
          </m:rPr>
          <m:t>±</m:t>
        </m:r>
        <m:r>
          <m:t>5</m:t>
        </m:r>
        <m:r>
          <m:t> </m:t>
        </m:r>
        <m:r>
          <m:rPr>
            <m:sty m:val="p"/>
          </m:rPr>
          <m:t>%</m:t>
        </m:r>
      </m:oMath>
      <w:r>
        <w:t xml:space="preserve">.</w:t>
      </w:r>
    </w:p>
    <w:bookmarkEnd w:id="26"/>
    <w:bookmarkStart w:id="33" w:name="die-endergebnisse-des-eigenen-lösers"/>
    <w:p>
      <w:pPr>
        <w:pStyle w:val="Heading3"/>
      </w:pPr>
      <w:r>
        <w:t xml:space="preserve">9.3.3 Die Endergebnisse des eigenen Lösers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Größe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einfaches Modell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erweitertes Modell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44 453</w:t>
            </w:r>
            <w:r>
              <w:t xml:space="preserve"> </w:t>
            </w:r>
            <m:oMath>
              <m:r>
                <m:t>Ω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36 797</w:t>
            </w:r>
            <w:r>
              <w:t xml:space="preserve"> </w:t>
            </w:r>
            <m:oMath>
              <m:r>
                <m:t>Ω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0,71687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0,72389 V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0,71729 V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12,68847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12,50358 V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0,5463 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0,6597 mA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123,115 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124,964 mA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β</m:t>
              </m:r>
            </m:oMath>
            <w:r>
              <w:t xml:space="preserve"> </w:t>
            </w:r>
            <w:r>
              <w:t xml:space="preserve">am 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(konstant)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</m:oMath>
            <w:r>
              <w:t xml:space="preserve"> </w:t>
            </w:r>
            <w:r>
              <w:t xml:space="preserve">= 178,9</w:t>
            </w:r>
          </w:p>
        </w:tc>
      </w:tr>
    </w:tbl>
    <w:p>
      <w:pPr>
        <w:pStyle w:val="BodyText"/>
      </w:pPr>
      <w:r>
        <w:t xml:space="preserve">Abbildung 9.2 zeigt beide Arbeitspunkte im Kennlinienfeld: Die</w:t>
      </w:r>
      <w:r>
        <w:t xml:space="preserve"> </w:t>
      </w:r>
      <w:r>
        <w:t xml:space="preserve">Modellkennlinie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C</m:t>
                </m:r>
                <m:r>
                  <m:t>E</m:t>
                </m:r>
              </m:sub>
            </m:sSub>
          </m:e>
        </m:d>
      </m:oMath>
      <w:r>
        <w:t xml:space="preserve"> </w:t>
      </w:r>
      <w:r>
        <w:t xml:space="preserve">beim jeweiligen Basis-Emitter-Wert des</w:t>
      </w:r>
      <w:r>
        <w:t xml:space="preserve"> </w:t>
      </w:r>
      <w:r>
        <w:t xml:space="preserve">Arbeitspunktes schneidet die Lastgerade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C</m:t>
                </m:r>
                <m:r>
                  <m:t>C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V</m:t>
                </m:r>
              </m:e>
              <m:sub>
                <m:r>
                  <m:t>C</m:t>
                </m:r>
                <m:r>
                  <m:t>E</m:t>
                </m:r>
              </m:sub>
            </m:sSub>
          </m:e>
        </m:d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— der Schnittpunkt ist der</w:t>
      </w:r>
      <w:r>
        <w:t xml:space="preserve"> </w:t>
      </w:r>
      <w:r>
        <w:t xml:space="preserve">Arbeitspunkt, und er liegt in beiden Fällen wie gefordert nahe der</w:t>
      </w:r>
      <w:r>
        <w:t xml:space="preserve"> </w:t>
      </w:r>
      <w:r>
        <w:t xml:space="preserve">Mitte der Lastgeraden.</w:t>
      </w:r>
    </w:p>
    <w:p>
      <w:pPr>
        <w:pStyle w:val="CaptionedFigure"/>
      </w:pPr>
      <w:r>
        <w:drawing>
          <wp:inline>
            <wp:extent cx="5334000" cy="2226365"/>
            <wp:effectExtent b="0" l="0" r="0" t="0"/>
            <wp:docPr descr="Abbildung 9.2: Modellkennlinie, Lastgerade und berechneter Arbeitspunkt für das einfache (links) und das erweiterte Modell (rechts)." title="" id="28" name="Picture"/>
            <a:graphic>
              <a:graphicData uri="http://schemas.openxmlformats.org/drawingml/2006/picture">
                <pic:pic>
                  <pic:nvPicPr>
                    <pic:cNvPr descr="../bilder/kap09_kennlinie_ap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6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Abbildung 9.2: Modellkennlinie, Lastgerade und berechneter</w:t>
      </w:r>
      <w:r>
        <w:t xml:space="preserve"> </w:t>
      </w:r>
      <w:r>
        <w:t xml:space="preserve">Arbeitspunkt für das einfache (links) und das erweiterte Modell</w:t>
      </w:r>
      <w:r>
        <w:t xml:space="preserve"> </w:t>
      </w:r>
      <w:r>
        <w:t xml:space="preserve">(rechts).</w:t>
      </w:r>
    </w:p>
    <w:p>
      <w:pPr>
        <w:pStyle w:val="BodyText"/>
      </w:pPr>
      <w:r>
        <w:t xml:space="preserve">Der Unterschied der beiden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-Werte ist kein Rechenfehler, sondern</w:t>
      </w:r>
      <w:r>
        <w:t xml:space="preserve"> </w:t>
      </w:r>
      <w:r>
        <w:t xml:space="preserve">Physik — und er ist erheblich:</w:t>
      </w:r>
      <w:r>
        <w:t xml:space="preserve"> </w:t>
      </w:r>
      <w:r>
        <w:rPr>
          <w:b/>
          <w:bCs/>
        </w:rPr>
        <w:t xml:space="preserve">17 Prozent</w:t>
      </w:r>
      <w:r>
        <w:t xml:space="preserve">. Die Ursache liegt fast</w:t>
      </w:r>
      <w:r>
        <w:t xml:space="preserve"> </w:t>
      </w:r>
      <w:r>
        <w:t xml:space="preserve">vollständig beim Hochstrom-Parameter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. Am Arbeitspunkt fließen</w:t>
      </w:r>
      <w:r>
        <w:t xml:space="preserve"> </w:t>
      </w:r>
      <w:r>
        <w:t xml:space="preserve">rund 125 mA; mit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  <m:r>
          <m:t> </m:t>
        </m:r>
        <m:r>
          <m:rPr>
            <m:sty m:val="p"/>
          </m:rPr>
          <m:t>A</m:t>
        </m:r>
      </m:oMath>
      <w:r>
        <w:t xml:space="preserve"> </w:t>
      </w:r>
      <w:r>
        <w:t xml:space="preserve">ist die</w:t>
      </w:r>
      <w:r>
        <w:t xml:space="preserve"> </w:t>
      </w:r>
      <w:r>
        <w:t xml:space="preserve">Stromverstärkung dort bereits auf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200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125</m:t>
                  </m:r>
                  <m:r>
                    <m:rPr>
                      <m:sty m:val="p"/>
                    </m:rPr>
                    <m:t>/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rad>
            </m:den>
          </m:f>
          <m:r>
            <m:rPr>
              <m:sty m:val="p"/>
            </m:rPr>
            <m:t>=</m:t>
          </m:r>
          <m:r>
            <m:t>178</m:t>
          </m:r>
          <m:r>
            <m:rPr>
              <m:sty m:val="p"/>
            </m:rPr>
            <m:t>,</m:t>
          </m:r>
          <m:r>
            <m:t>9</m:t>
          </m:r>
        </m:oMath>
      </m:oMathPara>
    </w:p>
    <w:p>
      <w:pPr>
        <w:pStyle w:val="FirstParagraph"/>
      </w:pPr>
      <w:r>
        <w:t xml:space="preserve">abgesunken (Abbildung 9.3). Für denselben Kollektorstrom wird also</w:t>
      </w:r>
      <w:r>
        <w:t xml:space="preserve"> </w:t>
      </w:r>
      <w:r>
        <w:t xml:space="preserve">mehr Basisstrom gebraucht — der Basiswiderstand muss entsprechend</w:t>
      </w:r>
      <w:r>
        <w:t xml:space="preserve"> </w:t>
      </w:r>
      <w:r>
        <w:t xml:space="preserve">kleiner ausfallen. Der interne Basiswiderstand wirkt in dieselbe</w:t>
      </w:r>
      <w:r>
        <w:t xml:space="preserve"> </w:t>
      </w:r>
      <w:r>
        <w:t xml:space="preserve">Richtung: Am Arbeitspunkt fallen an ihm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⋅</m:t>
        </m:r>
        <m:sSub>
          <m:e>
            <m:r>
              <m:t>R</m:t>
            </m:r>
          </m:e>
          <m:sub>
            <m: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66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⋅</m:t>
        </m:r>
        <m:r>
          <m:t>10</m:t>
        </m:r>
        <m:r>
          <m:t> </m:t>
        </m:r>
        <m:r>
          <m:t>Ω</m:t>
        </m:r>
        <m:r>
          <m:rPr>
            <m:sty m:val="p"/>
          </m:rPr>
          <m:t>≈</m:t>
        </m:r>
        <m:r>
          <m:t>6</m:t>
        </m:r>
        <m:r>
          <m:rPr>
            <m:sty m:val="p"/>
          </m:rPr>
          <m:t>,</m:t>
        </m:r>
        <m:r>
          <m:t>6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V</m:t>
        </m:r>
      </m:oMath>
      <w:r>
        <w:t xml:space="preserve"> </w:t>
      </w:r>
      <w:r>
        <w:t xml:space="preserve">ab, sodass die wirksame Basis-Emitter-Spannung um genau diesen Betrag</w:t>
      </w:r>
      <w:r>
        <w:t xml:space="preserve"> </w:t>
      </w:r>
      <w:r>
        <w:t xml:space="preserve">unter der äußeren liegt. Wer den Arbeitspunkt mit dem einfachen Modell</w:t>
      </w:r>
      <w:r>
        <w:t xml:space="preserve"> </w:t>
      </w:r>
      <w:r>
        <w:t xml:space="preserve">entwirft und die Schaltung dann mit einem realen Transistor aufbaut,</w:t>
      </w:r>
      <w:r>
        <w:t xml:space="preserve"> </w:t>
      </w:r>
      <w:r>
        <w:t xml:space="preserve">verfehlt das Ziel entsprechend — dieselbe Lehre, die uns in Kapitel 8</w:t>
      </w:r>
      <w:r>
        <w:t xml:space="preserve"> </w:t>
      </w:r>
      <w:r>
        <w:t xml:space="preserve">die 34-Prozent-Abweichung der idealen Schätzung eingebracht hat.</w:t>
      </w:r>
    </w:p>
    <w:p>
      <w:pPr>
        <w:pStyle w:val="CaptionedFigure"/>
      </w:pPr>
      <w:r>
        <w:drawing>
          <wp:inline>
            <wp:extent cx="5334000" cy="3067049"/>
            <wp:effectExtent b="0" l="0" r="0" t="0"/>
            <wp:docPr descr="Abbildung 9.3: Hochstrom-Abfall der Stromverstärkung nach dem I_{KF}-Gesetz. Am Arbeitspunkt (125 mA) ist \beta bereits von 200 auf 178,9 gefallen." title="" id="31" name="Picture"/>
            <a:graphic>
              <a:graphicData uri="http://schemas.openxmlformats.org/drawingml/2006/picture">
                <pic:pic>
                  <pic:nvPicPr>
                    <pic:cNvPr descr="../bilder/kap09_beta_abfall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Abbildung 9.3: Hochstrom-Abfall der Stromverstärkung nach dem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-Gesetz. Am Arbeitspunkt (125 mA) ist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bereits von 200</w:t>
      </w:r>
      <w:r>
        <w:t xml:space="preserve"> </w:t>
      </w:r>
      <w:r>
        <w:t xml:space="preserve">auf 178,9 gefallen.</w:t>
      </w:r>
    </w:p>
    <w:bookmarkEnd w:id="33"/>
    <w:bookmarkEnd w:id="34"/>
    <w:bookmarkStart w:id="43" w:name="weg-2-ltspice"/>
    <w:p>
      <w:pPr>
        <w:pStyle w:val="Heading2"/>
      </w:pPr>
      <w:r>
        <w:t xml:space="preserve">9.4 Weg 2: LTspice</w:t>
      </w:r>
    </w:p>
    <w:bookmarkStart w:id="35" w:name="von-unseren-parametern-zur-.model-karte"/>
    <w:p>
      <w:pPr>
        <w:pStyle w:val="Heading3"/>
      </w:pPr>
      <w:r>
        <w:t xml:space="preserve">9.4.1 Von unseren Parametern zur .MODEL-Karte</w:t>
      </w:r>
    </w:p>
    <w:p>
      <w:pPr>
        <w:pStyle w:val="FirstParagraph"/>
      </w:pPr>
      <w:r>
        <w:t xml:space="preserve">In LTspice wird der Transistor durch eine Modellkarte beschrieben.</w:t>
      </w:r>
      <w:r>
        <w:t xml:space="preserve"> </w:t>
      </w:r>
      <w:r>
        <w:t xml:space="preserve">Unsere beiden Modellstufen lauten als SPICE-Karten — wörtlich so, wie</w:t>
      </w:r>
      <w:r>
        <w:t xml:space="preserve"> </w:t>
      </w:r>
      <w:r>
        <w:t xml:space="preserve">sie in den Simulationsschaltungen des Begleitmaterials stehen:</w:t>
      </w:r>
    </w:p>
    <w:p>
      <w:pPr>
        <w:pStyle w:val="SourceCode"/>
      </w:pPr>
      <w:r>
        <w:rPr>
          <w:rStyle w:val="VerbatimChar"/>
        </w:rPr>
        <w:t xml:space="preserve">.MODEL simple_npn NPN(IS=1e-13 BF=200 NF=1 VAF=100)</w:t>
      </w:r>
      <w:r>
        <w:br/>
      </w:r>
      <w:r>
        <w:br/>
      </w:r>
      <w:r>
        <w:rPr>
          <w:rStyle w:val="VerbatimChar"/>
        </w:rPr>
        <w:t xml:space="preserve">.MODEL simple_npn NPN(IS=1e-13 BF=200 NF=1 VAF=100</w:t>
      </w:r>
      <w:r>
        <w:br/>
      </w:r>
      <w:r>
        <w:rPr>
          <w:rStyle w:val="VerbatimChar"/>
        </w:rPr>
        <w:t xml:space="preserve">+                     VAR=200 IKF=0.5 RB=10)</w:t>
      </w:r>
    </w:p>
    <w:p>
      <w:pPr>
        <w:pStyle w:val="FirstParagraph"/>
      </w:pPr>
      <w:r>
        <w:t xml:space="preserve">Das ist der entscheidende Punkt dieses Kapitels:</w:t>
      </w:r>
      <w:r>
        <w:t xml:space="preserve"> </w:t>
      </w:r>
      <w:r>
        <w:rPr>
          <w:b/>
          <w:bCs/>
        </w:rPr>
        <w:t xml:space="preserve">Die Parameter, die</w:t>
      </w:r>
      <w:r>
        <w:rPr>
          <w:b/>
          <w:bCs/>
        </w:rPr>
        <w:t xml:space="preserve"> </w:t>
      </w:r>
      <w:r>
        <w:rPr>
          <w:b/>
          <w:bCs/>
        </w:rPr>
        <w:t xml:space="preserve">wir in Kapitel 7 aus Messungen extrahiert und in Kapitel 6 verstanden</w:t>
      </w:r>
      <w:r>
        <w:rPr>
          <w:b/>
          <w:bCs/>
        </w:rPr>
        <w:t xml:space="preserve"> </w:t>
      </w:r>
      <w:r>
        <w:rPr>
          <w:b/>
          <w:bCs/>
        </w:rPr>
        <w:t xml:space="preserve">haben, sind exakt die Größen, die ein Simulator als Eingabe erwartet.</w:t>
      </w:r>
      <w:r>
        <w:t xml:space="preserve"> </w:t>
      </w:r>
      <w:r>
        <w:t xml:space="preserve">Zwischen unserer Handrechnung und dem professionellen Werkzeug liegt</w:t>
      </w:r>
      <w:r>
        <w:t xml:space="preserve"> </w:t>
      </w:r>
      <w:r>
        <w:t xml:space="preserve">nur noch die Schreibweise.</w:t>
      </w:r>
    </w:p>
    <w:bookmarkEnd w:id="35"/>
    <w:bookmarkStart w:id="39" w:name="die-simulationsschaltungen"/>
    <w:p>
      <w:pPr>
        <w:pStyle w:val="Heading3"/>
      </w:pPr>
      <w:r>
        <w:t xml:space="preserve">9.4.2 Die Simulationsschaltungen</w:t>
      </w:r>
    </w:p>
    <w:p>
      <w:pPr>
        <w:pStyle w:val="FirstParagraph"/>
      </w:pPr>
      <w:r>
        <w:t xml:space="preserve">Das Begleitmaterial enthält vier LTspice-Schaltungen, die genau die</w:t>
      </w:r>
      <w:r>
        <w:t xml:space="preserve"> </w:t>
      </w:r>
      <w:r>
        <w:t xml:space="preserve">Kette dieses Buches abbilden: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Schaltung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Eigen_RW_1d.asc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einfach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reine Arbeitspunktschaltung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Eigen_RW_1e.asc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erweitert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reine Arbeitspunktschaltung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Eigen_RW_1c.asc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einfach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Verstärker mit Signalquelle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Eigen_RW_1f.asc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erweitert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Verstärker mit Signalquelle</w:t>
            </w:r>
          </w:p>
        </w:tc>
      </w:tr>
    </w:tbl>
    <w:p>
      <w:pPr>
        <w:pStyle w:val="BodyText"/>
      </w:pPr>
      <w:r>
        <w:t xml:space="preserve">Die Arbeitspunktschaltungen 1d und 1e bestehen aus der Versorgung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25</m:t>
        </m:r>
        <m:r>
          <m:t> </m:t>
        </m:r>
        <m:r>
          <m:rPr>
            <m:sty m:val="p"/>
          </m:rPr>
          <m:t>V</m:t>
        </m:r>
      </m:oMath>
      <w:r>
        <w:t xml:space="preserve">, dem Kollektorwiderstand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  <m:r>
          <m:t> </m:t>
        </m:r>
        <m:r>
          <m:t>Ω</m:t>
        </m:r>
      </m:oMath>
      <w:r>
        <w:t xml:space="preserve">, dem Transistor mit der jeweiligen Modellkarte —</w:t>
      </w:r>
      <w:r>
        <w:t xml:space="preserve"> </w:t>
      </w:r>
      <w:r>
        <w:t xml:space="preserve">und dem Basiswiderstand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. Und hier zeigt sich der rote Faden</w:t>
      </w:r>
      <w:r>
        <w:t xml:space="preserve"> </w:t>
      </w:r>
      <w:r>
        <w:t xml:space="preserve">dieses Buches in seiner schönsten Form: In</w:t>
      </w:r>
      <w:r>
        <w:t xml:space="preserve"> </w:t>
      </w:r>
      <w:r>
        <w:rPr>
          <w:rStyle w:val="VerbatimChar"/>
        </w:rPr>
        <w:t xml:space="preserve">Eigen_RW_1d</w:t>
      </w:r>
      <w:r>
        <w:t xml:space="preserve"> </w:t>
      </w:r>
      <w:r>
        <w:t xml:space="preserve">steht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44</m:t>
          </m:r>
          <m:r>
            <m:t> </m:t>
          </m:r>
          <m:r>
            <m:t>453</m:t>
          </m:r>
          <m:r>
            <m:t> </m:t>
          </m:r>
          <m:r>
            <m:t>Ω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Eigen_RW_1e</w:t>
      </w:r>
      <w:r>
        <w:t xml:space="preserve"> </w:t>
      </w:r>
      <w:r>
        <w:t xml:space="preserve">steht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36</m:t>
          </m:r>
          <m:r>
            <m:t> </m:t>
          </m:r>
          <m:r>
            <m:t>796</m:t>
          </m:r>
          <m:r>
            <m:t> </m:t>
          </m:r>
          <m:r>
            <m:t>Ω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Das sind die Ergebnisse unserer Bisektionsläufe aus Abschnitt 9.3</w:t>
      </w:r>
      <w:r>
        <w:t xml:space="preserve"> </w:t>
      </w:r>
      <w:r>
        <w:t xml:space="preserve">(44 453,12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und 36 796,88</w:t>
      </w:r>
      <w:r>
        <w:t xml:space="preserve"> </w:t>
      </w:r>
      <m:oMath>
        <m:r>
          <m:t>Ω</m:t>
        </m:r>
      </m:oMath>
      <w:r>
        <w:t xml:space="preserve">), übernommen mit</w:t>
      </w:r>
      <w:r>
        <w:t xml:space="preserve"> </w:t>
      </w:r>
      <w:r>
        <w:t xml:space="preserve">abgeschnittenen Nachkommastellen — die Abweichung liegt also unter</w:t>
      </w:r>
      <w:r>
        <w:t xml:space="preserve"> </w:t>
      </w:r>
      <w:r>
        <w:t xml:space="preserve">einem Ohm. Die Werte im Schaltplan wurden nicht geschätzt und nicht</w:t>
      </w:r>
      <w:r>
        <w:t xml:space="preserve"> </w:t>
      </w:r>
      <w:r>
        <w:t xml:space="preserve">aus einer Faustformel übernommen, sondern vom eigenen Python-Löser</w:t>
      </w:r>
      <w:r>
        <w:t xml:space="preserve"> </w:t>
      </w:r>
      <w:r>
        <w:t xml:space="preserve">berechnet und dann in LTspice eingetragen.</w:t>
      </w:r>
      <w:r>
        <w:t xml:space="preserve"> </w:t>
      </w:r>
      <w:r>
        <w:t xml:space="preserve">Der Simulator dient anschließend als unabhängige Kontrolle: Sein</w:t>
      </w:r>
      <w:r>
        <w:t xml:space="preserve"> </w:t>
      </w:r>
      <w:r>
        <w:t xml:space="preserve">eingebauter Newton-Löser (LTspice meldet im Protokoll wörtlich</w:t>
      </w:r>
      <w:r>
        <w:t xml:space="preserve"> </w:t>
      </w:r>
      <w:r>
        <w:t xml:space="preserve">„Direct Newton iteration for .op point succeeded”) muss auf denselben</w:t>
      </w:r>
      <w:r>
        <w:t xml:space="preserve"> </w:t>
      </w:r>
      <w:r>
        <w:t xml:space="preserve">Arbeitspunkt kommen.</w:t>
      </w:r>
    </w:p>
    <w:p>
      <w:pPr>
        <w:pStyle w:val="BodyText"/>
      </w:pPr>
      <w:r>
        <w:t xml:space="preserve">Abbildung 9.4 zeigt die Arbeitspunktschaltung, wie sie in der</w:t>
      </w:r>
      <w:r>
        <w:t xml:space="preserve"> </w:t>
      </w:r>
      <w:r>
        <w:t xml:space="preserve">Simulationsdatei steht:</w:t>
      </w:r>
    </w:p>
    <w:p>
      <w:pPr>
        <w:pStyle w:val="CaptionedFigure"/>
      </w:pPr>
      <w:r>
        <w:drawing>
          <wp:inline>
            <wp:extent cx="5334000" cy="2153478"/>
            <wp:effectExtent b="0" l="0" r="0" t="0"/>
            <wp:docPr descr="Abbildung 9.4: Die LTspice-Arbeitspunktschaltung Eigen_RW_1d (nach der Original-Simulationsdatei gezeichnet): Fixed Bias mit dem per Bisektion berechneten Basiswiderstand und der Modellkarte simple_npn. Die Variante Eigen_RW_1e verwendet R_B = 36\,796\,\Omega und die erweiterte Modellkarte." title="" id="37" name="Picture"/>
            <a:graphic>
              <a:graphicData uri="http://schemas.openxmlformats.org/drawingml/2006/picture">
                <pic:pic>
                  <pic:nvPicPr>
                    <pic:cNvPr descr="../bilder/kap09_fixedbias_ltspic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3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Abbildung 9.4: Die LTspice-Arbeitspunktschaltung</w:t>
      </w:r>
      <w:r>
        <w:t xml:space="preserve"> </w:t>
      </w:r>
      <w:r>
        <w:rPr>
          <w:rStyle w:val="VerbatimChar"/>
        </w:rPr>
        <w:t xml:space="preserve">Eigen_RW_1d</w:t>
      </w:r>
      <w:r>
        <w:t xml:space="preserve"> </w:t>
      </w:r>
      <w:r>
        <w:t xml:space="preserve">(nach der Original-Simulationsdatei gezeichnet): Fixed Bias mit dem</w:t>
      </w:r>
      <w:r>
        <w:t xml:space="preserve"> </w:t>
      </w:r>
      <w:r>
        <w:t xml:space="preserve">per Bisektion berechneten Basiswiderstand und der Modellkarte</w:t>
      </w:r>
      <w:r>
        <w:t xml:space="preserve"> </w:t>
      </w:r>
      <w:r>
        <w:rPr>
          <w:rStyle w:val="VerbatimChar"/>
        </w:rPr>
        <w:t xml:space="preserve">simple_npn</w:t>
      </w:r>
      <w:r>
        <w:t xml:space="preserve">. Die Variante</w:t>
      </w:r>
      <w:r>
        <w:t xml:space="preserve"> </w:t>
      </w:r>
      <w:r>
        <w:rPr>
          <w:rStyle w:val="VerbatimChar"/>
        </w:rPr>
        <w:t xml:space="preserve">Eigen_RW_1e</w:t>
      </w:r>
      <w:r>
        <w:t xml:space="preserve"> </w:t>
      </w:r>
      <w:r>
        <w:t xml:space="preserve">verwendet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36</m:t>
        </m:r>
        <m:r>
          <m:t> </m:t>
        </m:r>
        <m:r>
          <m:t>796</m:t>
        </m:r>
        <m:r>
          <m:t> </m:t>
        </m:r>
        <m:r>
          <m:t>Ω</m:t>
        </m:r>
      </m:oMath>
      <w:r>
        <w:t xml:space="preserve"> </w:t>
      </w:r>
      <w:r>
        <w:t xml:space="preserve">und die erweiterte</w:t>
      </w:r>
      <w:r>
        <w:t xml:space="preserve"> </w:t>
      </w:r>
      <w:r>
        <w:t xml:space="preserve">Modellkarte.</w:t>
      </w:r>
    </w:p>
    <w:bookmarkEnd w:id="39"/>
    <w:bookmarkStart w:id="40" w:name="X48d1111780dbc7f0d6dfd6c1c05a1c47be468c8"/>
    <w:p>
      <w:pPr>
        <w:pStyle w:val="Heading3"/>
      </w:pPr>
      <w:r>
        <w:t xml:space="preserve">9.4.3 Der direkte Abgleich: zwei Löser, dieselbe Modellkarte</w:t>
      </w:r>
    </w:p>
    <w:p>
      <w:pPr>
        <w:pStyle w:val="FirstParagraph"/>
      </w:pPr>
      <w:r>
        <w:t xml:space="preserve">Die Modellkarte ist lesbar, die Schaltung ist bekannt — also lässt</w:t>
      </w:r>
      <w:r>
        <w:t xml:space="preserve"> </w:t>
      </w:r>
      <w:r>
        <w:t xml:space="preserve">sich der Abgleich vollständig durchrechnen. LTspice wertet die</w:t>
      </w:r>
      <w:r>
        <w:t xml:space="preserve"> </w:t>
      </w:r>
      <w:r>
        <w:t xml:space="preserve">Gummel-Poon-Gleichungen allerdings in der</w:t>
      </w:r>
      <w:r>
        <w:t xml:space="preserve"> </w:t>
      </w:r>
      <w:r>
        <w:rPr>
          <w:b/>
          <w:bCs/>
        </w:rPr>
        <w:t xml:space="preserve">SPICE-Konvention</w:t>
      </w:r>
      <w:r>
        <w:t xml:space="preserve"> </w:t>
      </w:r>
      <w:r>
        <w:t xml:space="preserve">aus,</w:t>
      </w:r>
      <w:r>
        <w:t xml:space="preserve"> </w:t>
      </w:r>
      <w:r>
        <w:t xml:space="preserve">die sich in drei Punkten von der anschaulichen Form unserer Kapitel</w:t>
      </w:r>
      <w:r>
        <w:t xml:space="preserve"> </w:t>
      </w:r>
      <w:r>
        <w:t xml:space="preserve">unterscheidet: Der Early-Effekt wird über die</w:t>
      </w:r>
      <w:r>
        <w:t xml:space="preserve"> </w:t>
      </w:r>
      <w:r>
        <w:t xml:space="preserve">Basis-Kollektor-Spannung geschrieben (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B</m:t>
            </m:r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A</m:t>
            </m:r>
            <m:r>
              <m:t>F</m:t>
            </m:r>
          </m:sub>
        </m:sSub>
      </m:oMath>
      <w:r>
        <w:t xml:space="preserve"> </w:t>
      </w:r>
      <w:r>
        <w:t xml:space="preserve">statt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), der Hochstromeffekt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 </w:t>
      </w:r>
      <w:r>
        <w:t xml:space="preserve">wirkt über die</w:t>
      </w:r>
      <w:r>
        <w:t xml:space="preserve"> </w:t>
      </w:r>
      <w:r>
        <w:t xml:space="preserve">normierte Basisladung</w:t>
      </w:r>
      <w:r>
        <w:t xml:space="preserve"> </w:t>
      </w:r>
      <m:oMath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direkt im</w:t>
      </w:r>
      <w:r>
        <w:t xml:space="preserve"> </w:t>
      </w:r>
      <w:r>
        <w:rPr>
          <w:b/>
          <w:bCs/>
        </w:rPr>
        <w:t xml:space="preserve">Kollektorstrom</w:t>
      </w:r>
      <w:r>
        <w:t xml:space="preserve"> </w:t>
      </w:r>
      <w:r>
        <w:t xml:space="preserve">(statt als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im Basisstrom), und gerechnet wird bei</w:t>
      </w:r>
      <w:r>
        <w:t xml:space="preserve"> </w:t>
      </w:r>
      <m:oMath>
        <m:r>
          <m:t>27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t xml:space="preserve"> </w:t>
      </w:r>
      <w:r>
        <w:t xml:space="preserve">mit exakten Naturkonstanten. Löst man die</w:t>
      </w:r>
      <w:r>
        <w:t xml:space="preserve"> </w:t>
      </w:r>
      <w:r>
        <w:t xml:space="preserve">Fixed-Bias-Schaltung mit den Widerständen</w:t>
      </w:r>
      <w:r>
        <w:t xml:space="preserve"> </w:t>
      </w:r>
      <w:r>
        <w:rPr>
          <w:b/>
          <w:bCs/>
        </w:rPr>
        <w:t xml:space="preserve">aus den Schaltplänen</w:t>
      </w:r>
      <w:r>
        <w:t xml:space="preserve"> </w:t>
      </w:r>
      <w:r>
        <w:t xml:space="preserve">einmal mit den Buchgleichungen und einmal in der SPICE-Konvention</w:t>
      </w:r>
      <w:r>
        <w:t xml:space="preserve"> </w:t>
      </w:r>
      <w:r>
        <w:t xml:space="preserve">(Rechnung:</w:t>
      </w:r>
      <w:r>
        <w:t xml:space="preserve"> </w:t>
      </w:r>
      <w:r>
        <w:rPr>
          <w:rStyle w:val="VerbatimChar"/>
        </w:rPr>
        <w:t xml:space="preserve">kap09_spice_abgleich.py</w:t>
      </w:r>
      <w:r>
        <w:t xml:space="preserve">), ergibt sich:</w:t>
      </w:r>
    </w:p>
    <w:p>
      <w:pPr>
        <w:pStyle w:val="BodyText"/>
      </w:pPr>
      <w:r>
        <w:rPr>
          <w:b/>
          <w:bCs/>
        </w:rPr>
        <w:t xml:space="preserve">Einfaches Modell</w:t>
      </w:r>
      <w:r>
        <w:t xml:space="preserve"> </w:t>
      </w:r>
      <w:r>
        <w:t xml:space="preserve">(</w:t>
      </w:r>
      <w:r>
        <w:rPr>
          <w:rStyle w:val="VerbatimChar"/>
        </w:rPr>
        <w:t xml:space="preserve">Eigen_RW_1d</w:t>
      </w:r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44</m:t>
        </m:r>
        <m:r>
          <m:t> </m:t>
        </m:r>
        <m:r>
          <m:t>453</m:t>
        </m:r>
        <m:r>
          <m:t> </m:t>
        </m:r>
        <m:r>
          <m:t>Ω</m:t>
        </m:r>
      </m:oMath>
      <w:r>
        <w:t xml:space="preserve">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Größe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Buchgleichungen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SPICE-Konvention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Abweichung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0,71687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0,71696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+0,01 %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12,688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12,759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+0,071 V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0,54627 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0,54626 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$-$0,00 %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123,116 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122,409 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$-$0,57 %</w:t>
            </w:r>
          </w:p>
        </w:tc>
      </w:tr>
    </w:tbl>
    <w:p>
      <w:pPr>
        <w:pStyle w:val="BodyText"/>
      </w:pPr>
      <w:r>
        <w:rPr>
          <w:b/>
          <w:bCs/>
        </w:rPr>
        <w:t xml:space="preserve">Erweitertes Modell</w:t>
      </w:r>
      <w:r>
        <w:t xml:space="preserve"> </w:t>
      </w:r>
      <w:r>
        <w:t xml:space="preserve">(</w:t>
      </w:r>
      <w:r>
        <w:rPr>
          <w:rStyle w:val="VerbatimChar"/>
        </w:rPr>
        <w:t xml:space="preserve">Eigen_RW_1e</w:t>
      </w:r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36</m:t>
        </m:r>
        <m:r>
          <m:t> </m:t>
        </m:r>
        <m:r>
          <m:t>796</m:t>
        </m:r>
        <m:r>
          <m:t> </m:t>
        </m:r>
        <m:r>
          <m:t>Ω</m:t>
        </m:r>
      </m:oMath>
      <w:r>
        <w:t xml:space="preserve">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Größe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Buchgleichungen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SPICE-Konvention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Abweichung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0,72389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0,72844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+0,63 %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12,503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12,879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+0,376 V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0,65975 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0,65963 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$-$0,02 %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124,967 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121,206 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$-$3,01 %</w:t>
            </w:r>
          </w:p>
        </w:tc>
      </w:tr>
    </w:tbl>
    <w:p>
      <w:pPr>
        <w:pStyle w:val="BodyText"/>
      </w:pPr>
      <w:r>
        <w:t xml:space="preserve">Das Ergebnis bestätigt den Abgleich — und es lehrt Maßhalten: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Beim einfachen Modell stimmen beide Löser auf ein halbes Prozent</w:t>
      </w:r>
      <w:r>
        <w:rPr>
          <w:b/>
          <w:bCs/>
        </w:rPr>
        <w:t xml:space="preserve"> </w:t>
      </w:r>
      <w:r>
        <w:rPr>
          <w:b/>
          <w:bCs/>
        </w:rPr>
        <w:t xml:space="preserve">überein.</w:t>
      </w:r>
      <w:r>
        <w:t xml:space="preserve"> </w:t>
      </w:r>
      <w:r>
        <w:t xml:space="preserve">Die verbleibenden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57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sind fast</w:t>
      </w:r>
      <w:r>
        <w:t xml:space="preserve"> </w:t>
      </w:r>
      <w:r>
        <w:t xml:space="preserve">vollständig der Early-Konvention zuzuschreiben (Abschnitt 9.4.4,</w:t>
      </w:r>
      <w:r>
        <w:t xml:space="preserve"> </w:t>
      </w:r>
      <w:r>
        <w:t xml:space="preserve">Punkt 4: erwartet waren</w:t>
      </w:r>
      <w:r>
        <w:t xml:space="preserve"> </w:t>
      </w:r>
      <m:oMath>
        <m:r>
          <m:rPr>
            <m:sty m:val="p"/>
          </m:rPr>
          <m:t>≈</m:t>
        </m:r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</m:t>
        </m:r>
        <m:r>
          <m:t> </m:t>
        </m:r>
        <m:r>
          <m:rPr>
            <m:sty m:val="p"/>
          </m:rPr>
          <m:t>%</m:t>
        </m:r>
      </m:oMath>
      <w:r>
        <w:t xml:space="preserve">, leicht</w:t>
      </w:r>
      <w:r>
        <w:t xml:space="preserve"> </w:t>
      </w:r>
      <w:r>
        <w:t xml:space="preserve">gemildert durch den Thermospannungs-Effekt). Der Arbeitspunkt der</w:t>
      </w:r>
      <w:r>
        <w:t xml:space="preserve"> </w:t>
      </w:r>
      <w:r>
        <w:t xml:space="preserve">Handrechnung ist damit durch den unabhängigen Simulator bestätigt.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Beim erweiterten Modell beträgt der Unterschied 3 %</w:t>
      </w:r>
      <w:r>
        <w:t xml:space="preserve"> </w:t>
      </w:r>
      <w:r>
        <w:t xml:space="preserve">— nicht</w:t>
      </w:r>
      <w:r>
        <w:t xml:space="preserve"> </w:t>
      </w:r>
      <w:r>
        <w:t xml:space="preserve">wegen anderer Parameter (die Karte enthält exakt die Werte des</w:t>
      </w:r>
      <w:r>
        <w:t xml:space="preserve"> </w:t>
      </w:r>
      <w:r>
        <w:t xml:space="preserve">Python-Programms), sondern wegen der Gleichungsform: Die</w:t>
      </w:r>
      <w:r>
        <w:t xml:space="preserve"> </w:t>
      </w:r>
      <w:r>
        <w:t xml:space="preserve">Vorlesungsform setzt den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-Abfall als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I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I</m:t>
                </m:r>
              </m:e>
              <m:sub>
                <m:r>
                  <m:t>K</m:t>
                </m:r>
                <m:r>
                  <m:t>F</m:t>
                </m:r>
              </m:sub>
            </m:sSub>
          </m:e>
        </m:rad>
      </m:oMath>
      <w:r>
        <w:t xml:space="preserve"> </w:t>
      </w:r>
      <w:r>
        <w:t xml:space="preserve">im</w:t>
      </w:r>
      <w:r>
        <w:t xml:space="preserve"> </w:t>
      </w:r>
      <w:r>
        <w:t xml:space="preserve">Basisstrom an, SPICE dividiert stattdessen den Kollektorstrom</w:t>
      </w:r>
      <w:r>
        <w:t xml:space="preserve"> </w:t>
      </w:r>
      <w:r>
        <w:t xml:space="preserve">durch die Basisladung</w:t>
      </w:r>
      <w:r>
        <w:t xml:space="preserve"> </w:t>
      </w:r>
      <m:oMath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, in die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  <m:r>
              <m:t>F</m:t>
            </m:r>
          </m:sub>
        </m:sSub>
      </m:oMath>
      <w:r>
        <w:t xml:space="preserve"> </w:t>
      </w:r>
      <w:r>
        <w:t xml:space="preserve">und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  <m:r>
              <m:t>R</m:t>
            </m:r>
          </m:sub>
        </m:sSub>
      </m:oMath>
      <w:r>
        <w:t xml:space="preserve"> </w:t>
      </w:r>
      <w:r>
        <w:t xml:space="preserve">gemeinsam eingehen. Bei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r>
          <m:t>125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25</m:t>
        </m:r>
        <m:r>
          <m:t> </m:t>
        </m:r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 </w:t>
      </w:r>
      <w:r>
        <w:t xml:space="preserve">macht diese Formulierungsfrage rund 3 % aus. Beide</w:t>
      </w:r>
      <w:r>
        <w:t xml:space="preserve"> </w:t>
      </w:r>
      <w:r>
        <w:t xml:space="preserve">Formen beschreiben dieselbe Physik; die Vorlesungsform ist die</w:t>
      </w:r>
      <w:r>
        <w:t xml:space="preserve"> </w:t>
      </w:r>
      <w:r>
        <w:t xml:space="preserve">anschauliche Näherung der SPICE-Ladungsformulierung.</w:t>
      </w:r>
    </w:p>
    <w:p>
      <w:pPr>
        <w:pStyle w:val="FirstParagraph"/>
      </w:pPr>
      <w:r>
        <w:t xml:space="preserve">Für die Praxis heißt das: Wer seinen eigenen Löser gegen einen</w:t>
      </w:r>
      <w:r>
        <w:t xml:space="preserve"> </w:t>
      </w:r>
      <w:r>
        <w:t xml:space="preserve">Simulator stellt, muss</w:t>
      </w:r>
      <w:r>
        <w:t xml:space="preserve"> </w:t>
      </w:r>
      <w:r>
        <w:rPr>
          <w:b/>
          <w:bCs/>
        </w:rPr>
        <w:t xml:space="preserve">Parameter und Gleichungsform</w:t>
      </w:r>
      <w:r>
        <w:t xml:space="preserve"> </w:t>
      </w:r>
      <w:r>
        <w:t xml:space="preserve">abgleichen —</w:t>
      </w:r>
      <w:r>
        <w:t xml:space="preserve"> </w:t>
      </w:r>
      <w:r>
        <w:t xml:space="preserve">gleiche Parameter allein garantieren erst Übereinstimmung im</w:t>
      </w:r>
      <w:r>
        <w:t xml:space="preserve"> </w:t>
      </w:r>
      <w:r>
        <w:t xml:space="preserve">Prozentbereich, gleiche Gleichungen dann Übereinstimmung bis auf</w:t>
      </w:r>
      <w:r>
        <w:t xml:space="preserve"> </w:t>
      </w:r>
      <w:r>
        <w:t xml:space="preserve">Rundung und Toleranzen.</w:t>
      </w:r>
    </w:p>
    <w:bookmarkEnd w:id="40"/>
    <w:bookmarkStart w:id="41" w:name="woher-kommen-die-abweichungen"/>
    <w:p>
      <w:pPr>
        <w:pStyle w:val="Heading3"/>
      </w:pPr>
      <w:r>
        <w:t xml:space="preserve">9.4.4 Woher kommen die Abweichungen?</w:t>
      </w:r>
    </w:p>
    <w:p>
      <w:pPr>
        <w:pStyle w:val="FirstParagraph"/>
      </w:pPr>
      <w:r>
        <w:t xml:space="preserve">Ein Vergleich ist nur so viel wert wie das Verständnis seiner</w:t>
      </w:r>
      <w:r>
        <w:t xml:space="preserve"> </w:t>
      </w:r>
      <w:r>
        <w:t xml:space="preserve">Abweichungen. Deshalb gehen wir die Fehlerquellen einzeln durch und</w:t>
      </w:r>
      <w:r>
        <w:t xml:space="preserve"> </w:t>
      </w:r>
      <w:r>
        <w:t xml:space="preserve">geben jeweils die Größenordnung an — jede lässt sich aus den Zahlen</w:t>
      </w:r>
      <w:r>
        <w:t xml:space="preserve"> </w:t>
      </w:r>
      <w:r>
        <w:t xml:space="preserve">dieses Kapitels nachrechnen.</w:t>
      </w:r>
    </w:p>
    <w:p>
      <w:pPr>
        <w:pStyle w:val="BodyText"/>
      </w:pPr>
      <w:r>
        <w:rPr>
          <w:b/>
          <w:bCs/>
        </w:rPr>
        <w:t xml:space="preserve">1. Die Bisektionstoleranz (die größte gewollte Abweichung).</w:t>
      </w:r>
      <w:r>
        <w:t xml:space="preserve"> </w:t>
      </w:r>
      <w:r>
        <w:t xml:space="preserve">Das Verfahren stoppt, sobald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 </w:t>
      </w:r>
      <w:r>
        <w:t xml:space="preserve">im Toleranzband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/</m:t>
        </m:r>
        <m:r>
          <m:t>2</m:t>
        </m:r>
        <m:r>
          <m:rPr>
            <m:sty m:val="p"/>
          </m:rPr>
          <m:t>±</m:t>
        </m:r>
        <m:r>
          <m:t>5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liegt — also irgendwo zwischen 11,875 V und</w:t>
      </w:r>
      <w:r>
        <w:t xml:space="preserve"> </w:t>
      </w:r>
      <w:r>
        <w:t xml:space="preserve">13,125 V. Beim einfachen Modell endet der Lauf bei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,</m:t>
        </m:r>
        <m:r>
          <m:t>69</m:t>
        </m:r>
        <m:r>
          <m:t> </m:t>
        </m:r>
        <m:r>
          <m:rPr>
            <m:sty m:val="p"/>
          </m:rPr>
          <m:t>V</m:t>
        </m:r>
      </m:oMath>
      <w:r>
        <w:t xml:space="preserve">, das sind 1,5 % über dem Idealwert;</w:t>
      </w:r>
      <w:r>
        <w:t xml:space="preserve"> </w:t>
      </w:r>
      <w:r>
        <w:t xml:space="preserve">beim erweiterten Modell landet der siebte Schritt zufällig fast exakt</w:t>
      </w:r>
      <w:r>
        <w:t xml:space="preserve"> </w:t>
      </w:r>
      <w:r>
        <w:t xml:space="preserve">auf dem Ziel (12,504 V). Diese Abweichung ist kein Fehler, sondern</w:t>
      </w:r>
      <w:r>
        <w:t xml:space="preserve"> </w:t>
      </w:r>
      <w:r>
        <w:t xml:space="preserve">die vereinbarte Genauigkeit: Wer sie verkleinern will, verschärft die</w:t>
      </w:r>
      <w:r>
        <w:t xml:space="preserve"> </w:t>
      </w:r>
      <w:r>
        <w:t xml:space="preserve">Toleranz und erhält weitere Bisektionsschritte.</w:t>
      </w:r>
    </w:p>
    <w:p>
      <w:pPr>
        <w:pStyle w:val="BodyText"/>
      </w:pPr>
      <w:r>
        <w:rPr>
          <w:b/>
          <w:bCs/>
        </w:rPr>
        <w:t xml:space="preserve">2. Das Abschneiden beim Übertrag nach LTspice (vernachlässigbar).</w:t>
      </w:r>
      <w:r>
        <w:t xml:space="preserve"> </w:t>
      </w:r>
      <w:r>
        <w:t xml:space="preserve">Im Schaltplan stehen 44 453 statt 44 453,12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und 36 796</w:t>
      </w:r>
      <w:r>
        <w:t xml:space="preserve"> </w:t>
      </w:r>
      <w:r>
        <w:t xml:space="preserve">statt 36 796,88</w:t>
      </w:r>
      <w:r>
        <w:t xml:space="preserve"> </w:t>
      </w:r>
      <m:oMath>
        <m:r>
          <m:t>Ω</m:t>
        </m:r>
      </m:oMath>
      <w:r>
        <w:t xml:space="preserve">. Die Empfindlichkeit lässt sich direkt aus</w:t>
      </w:r>
      <w:r>
        <w:t xml:space="preserve"> </w:t>
      </w:r>
      <w:r>
        <w:t xml:space="preserve">den Protokolltabellen ablesen: Zwischen den letzten Bisektionsschritten</w:t>
      </w:r>
      <w:r>
        <w:t xml:space="preserve"> </w:t>
      </w:r>
      <w:r>
        <w:t xml:space="preserve">ändert sich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 </w:t>
      </w:r>
      <w:r>
        <w:t xml:space="preserve">um rund 0,9 V je 3,8 k</w:t>
      </w:r>
      <m:oMath>
        <m:r>
          <m:t>Ω</m:t>
        </m:r>
      </m:oMath>
      <w:r>
        <w:t xml:space="preserve">, also etwa</w:t>
      </w:r>
      <w:r>
        <w:t xml:space="preserve"> </w:t>
      </w:r>
      <w:r>
        <w:rPr>
          <w:b/>
          <w:bCs/>
        </w:rPr>
        <w:t xml:space="preserve">0,25 mV pro Ohm</w:t>
      </w:r>
      <w:r>
        <w:t xml:space="preserve">. Ein abgeschnittenes Ohm verschiebt den</w:t>
      </w:r>
      <w:r>
        <w:t xml:space="preserve"> </w:t>
      </w:r>
      <w:r>
        <w:t xml:space="preserve">Arbeitspunkt demnach um weniger als eine Millivolt-Viertel — drei</w:t>
      </w:r>
      <w:r>
        <w:t xml:space="preserve"> </w:t>
      </w:r>
      <w:r>
        <w:t xml:space="preserve">Größenordnungen unter der Bisektionstoleranz.</w:t>
      </w:r>
    </w:p>
    <w:p>
      <w:pPr>
        <w:pStyle w:val="BodyText"/>
      </w:pPr>
      <w:r>
        <w:rPr>
          <w:b/>
          <w:bCs/>
        </w:rPr>
        <w:t xml:space="preserve">3. Die Modellstufe (die größte physikalische Abweichung).</w:t>
      </w:r>
      <w:r>
        <w:t xml:space="preserve"> </w:t>
      </w:r>
      <w:r>
        <w:t xml:space="preserve">Einfaches und erweitertes Modell unterscheiden sich im Ergebnis um</w:t>
      </w:r>
      <w:r>
        <w:t xml:space="preserve"> </w:t>
      </w:r>
      <w:r>
        <w:t xml:space="preserve">17 % in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. Die Ursachen — Hochstrom-Abfall der Stromverstärkung</w:t>
      </w:r>
      <w:r>
        <w:t xml:space="preserve"> </w:t>
      </w:r>
      <w:r>
        <w:t xml:space="preserve">(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), interner Basiswiderstand (</w:t>
      </w:r>
      <m:oMath>
        <m:sSub>
          <m:e>
            <m:r>
              <m:t>R</m:t>
            </m:r>
          </m:e>
          <m:sub>
            <m: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</m:sub>
        </m:sSub>
      </m:oMath>
      <w:r>
        <w:t xml:space="preserve">) und</w:t>
      </w:r>
      <w:r>
        <w:t xml:space="preserve"> </w:t>
      </w:r>
      <w:r>
        <w:t xml:space="preserve">Basis-Early-Effekt (</w:t>
      </w:r>
      <m:oMath>
        <m:sSub>
          <m:e>
            <m:r>
              <m:t>V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) — hat Abschnitt 9.3.3 quantifiziert.</w:t>
      </w:r>
      <w:r>
        <w:t xml:space="preserve"> </w:t>
      </w:r>
      <w:r>
        <w:t xml:space="preserve">Diese Abweichung ist die Kernaussage des Kapitels: Sie zeigt, welche</w:t>
      </w:r>
      <w:r>
        <w:t xml:space="preserve"> </w:t>
      </w:r>
      <w:r>
        <w:t xml:space="preserve">Parameter man nicht weglassen darf.</w:t>
      </w:r>
    </w:p>
    <w:p>
      <w:pPr>
        <w:pStyle w:val="BodyText"/>
      </w:pPr>
      <w:r>
        <w:rPr>
          <w:b/>
          <w:bCs/>
        </w:rPr>
        <w:t xml:space="preserve">4. Die SPICE-interne Early-Formulierung (Prozentbereich).</w:t>
      </w:r>
      <w:r>
        <w:t xml:space="preserve"> </w:t>
      </w:r>
      <w:r>
        <w:t xml:space="preserve">SPICE schreibt den Early-Faktor über die Basis-Kollektor-Spannung,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V</m:t>
                </m:r>
              </m:e>
              <m:sub>
                <m:r>
                  <m:t>B</m:t>
                </m:r>
                <m:r>
                  <m:t>C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V</m:t>
                </m:r>
              </m:e>
              <m:sub>
                <m:r>
                  <m:t>A</m:t>
                </m:r>
                <m:r>
                  <m:t>F</m:t>
                </m:r>
              </m:sub>
            </m:sSub>
          </m:e>
        </m:d>
      </m:oMath>
      <w:r>
        <w:t xml:space="preserve">, unsere Gleichungen über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V</m:t>
                </m:r>
              </m:e>
              <m:sub>
                <m:r>
                  <m:t>C</m:t>
                </m:r>
                <m:r>
                  <m:t>E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V</m:t>
                </m:r>
              </m:e>
              <m:sub>
                <m:r>
                  <m:t>A</m:t>
                </m:r>
              </m:sub>
            </m:sSub>
          </m:e>
        </m:d>
      </m:oMath>
      <w:r>
        <w:t xml:space="preserve">. Wegen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 </w:t>
      </w:r>
      <w:r>
        <w:t xml:space="preserve">unterscheiden sich beide Faktoren am Arbeitspunkt um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,</m:t>
              </m:r>
              <m:r>
                <m:t>717</m:t>
              </m:r>
              <m:r>
                <m:t> </m:t>
              </m:r>
              <m:r>
                <m:rPr>
                  <m:sty m:val="p"/>
                </m:rPr>
                <m:t>V</m:t>
              </m:r>
            </m:num>
            <m:den>
              <m:r>
                <m:t>100</m:t>
              </m:r>
              <m:r>
                <m:t> </m:t>
              </m:r>
              <m:r>
                <m:rPr>
                  <m:sty m:val="p"/>
                </m:rPr>
                <m:t>V</m:t>
              </m:r>
            </m:den>
          </m:f>
          <m:r>
            <m:rPr>
              <m:sty m:val="p"/>
            </m:rPr>
            <m:t>≈</m:t>
          </m:r>
          <m:r>
            <m:t>0</m:t>
          </m:r>
          <m:r>
            <m:rPr>
              <m:sty m:val="p"/>
            </m:rPr>
            <m:t>,</m:t>
          </m:r>
          <m:r>
            <m:t>7</m:t>
          </m:r>
          <m:r>
            <m:t> 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t xml:space="preserve">im Kollektorstrom; über die Lastgerade übersetzt sich das in</w:t>
      </w:r>
      <w:r>
        <w:t xml:space="preserve"> </w:t>
      </w:r>
      <w:r>
        <w:t xml:space="preserve">Verschiebungen von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 </w:t>
      </w:r>
      <w:r>
        <w:t xml:space="preserve">in der Größenordnung von einem Zehntel</w:t>
      </w:r>
      <w:r>
        <w:t xml:space="preserve"> </w:t>
      </w:r>
      <w:r>
        <w:t xml:space="preserve">Volt. Deshalb erwarten wir von LTspice Übereinstimmung im</w:t>
      </w:r>
      <w:r>
        <w:t xml:space="preserve"> </w:t>
      </w:r>
      <w:r>
        <w:t xml:space="preserve">Prozentbereich, nicht auf die letzte Stelle.</w:t>
      </w:r>
    </w:p>
    <w:p>
      <w:pPr>
        <w:pStyle w:val="BodyText"/>
      </w:pPr>
      <w:r>
        <w:rPr>
          <w:b/>
          <w:bCs/>
        </w:rPr>
        <w:t xml:space="preserve">5. Die</w:t>
      </w:r>
      <w:r>
        <w:rPr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b</m:t>
            </m:r>
          </m:sub>
        </m:sSub>
      </m:oMath>
      <w:r>
        <w:rPr>
          <w:b/>
          <w:bCs/>
        </w:rPr>
        <w:t xml:space="preserve">-Formulierung des Hochstromeffekts (3 % beim</w:t>
      </w:r>
      <w:r>
        <w:rPr>
          <w:b/>
          <w:bCs/>
        </w:rPr>
        <w:t xml:space="preserve"> </w:t>
      </w:r>
      <w:r>
        <w:rPr>
          <w:b/>
          <w:bCs/>
        </w:rPr>
        <w:t xml:space="preserve">erweiterten Modell).</w:t>
      </w:r>
      <w:r>
        <w:t xml:space="preserve"> </w:t>
      </w:r>
      <w:r>
        <w:t xml:space="preserve">Wie der direkte Abgleich in Abschnitt 9.4.3</w:t>
      </w:r>
      <w:r>
        <w:t xml:space="preserve"> </w:t>
      </w:r>
      <w:r>
        <w:t xml:space="preserve">gezeigt hat, setzen Vorlesungsform (</w:t>
      </w:r>
      <m:oMath>
        <m:sSub>
          <m:e>
            <m:r>
              <m:t>β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im</w:t>
      </w:r>
      <w:r>
        <w:t xml:space="preserve"> </w:t>
      </w:r>
      <w:r>
        <w:t xml:space="preserve">Basisstrom) und SPICE (Basisladung</w:t>
      </w:r>
      <w:r>
        <w:t xml:space="preserve"> </w:t>
      </w:r>
      <m:oMath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im Kollektorstrom) den</w:t>
      </w:r>
      <w:r>
        <w:t xml:space="preserve"> </w:t>
      </w:r>
      <w:r>
        <w:t xml:space="preserve">Parameter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 </w:t>
      </w:r>
      <w:r>
        <w:t xml:space="preserve">an unterschiedlicher Stelle an. Bei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25</m:t>
        </m:r>
        <m:r>
          <m:t> </m:t>
        </m:r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 </w:t>
      </w:r>
      <w:r>
        <w:t xml:space="preserve">macht das rund 3 % im Kollektorstrom</w:t>
      </w:r>
      <w:r>
        <w:t xml:space="preserve"> </w:t>
      </w:r>
      <w:r>
        <w:t xml:space="preserve">aus — die größte Konventionsabweichung des Vergleichs. Sie betrifft</w:t>
      </w:r>
      <w:r>
        <w:t xml:space="preserve"> </w:t>
      </w:r>
      <w:r>
        <w:t xml:space="preserve">nur das erweiterte Modell; im einfachen Modell existiert der Effekt</w:t>
      </w:r>
      <w:r>
        <w:t xml:space="preserve"> </w:t>
      </w:r>
      <w:r>
        <w:t xml:space="preserve">nicht.</w:t>
      </w:r>
    </w:p>
    <w:p>
      <w:pPr>
        <w:pStyle w:val="BodyText"/>
      </w:pPr>
      <w:r>
        <w:rPr>
          <w:b/>
          <w:bCs/>
        </w:rPr>
        <w:t xml:space="preserve">6. Thermospannungs-Konventionen (überraschend wichtig).</w:t>
      </w:r>
      <w:r>
        <w:t xml:space="preserve"> </w:t>
      </w:r>
      <w:r>
        <w:t xml:space="preserve">Unser Löser und LTspice verwenden nicht exakt dieselbe</w:t>
      </w:r>
      <w:r>
        <w:t xml:space="preserve"> </w:t>
      </w:r>
      <w:r>
        <w:t xml:space="preserve">Thermospannung, aus zwei kleinen Gründen: Erstens rechnen die</w:t>
      </w:r>
      <w:r>
        <w:t xml:space="preserve"> </w:t>
      </w:r>
      <w:r>
        <w:t xml:space="preserve">Python-Programme mit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300</m:t>
        </m:r>
        <m:r>
          <m:t> </m:t>
        </m:r>
        <m:r>
          <m:rPr>
            <m:sty m:val="p"/>
          </m:rPr>
          <m:t>K</m:t>
        </m:r>
      </m:oMath>
      <w:r>
        <w:t xml:space="preserve">, LTspice standardmäßig mit</w:t>
      </w:r>
      <w:r>
        <w:t xml:space="preserve"> </w:t>
      </w:r>
      <m:oMath>
        <m:r>
          <m:t>27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=</m:t>
        </m:r>
        <m:r>
          <m:t>300</m:t>
        </m:r>
        <m:r>
          <m:rPr>
            <m:sty m:val="p"/>
          </m:rPr>
          <m:t>,</m:t>
        </m:r>
        <m:r>
          <m:t>15</m:t>
        </m:r>
        <m:r>
          <m:t> </m:t>
        </m:r>
        <m:r>
          <m:rPr>
            <m:sty m:val="p"/>
          </m:rPr>
          <m:t>K</m:t>
        </m:r>
      </m:oMath>
      <w:r>
        <w:t xml:space="preserve"> </w:t>
      </w:r>
      <w:r>
        <w:t xml:space="preserve">(+0,05 %). Zweitens</w:t>
      </w:r>
      <w:r>
        <w:t xml:space="preserve"> </w:t>
      </w:r>
      <w:r>
        <w:t xml:space="preserve">verwenden die Programme gerundete Naturkonstanten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381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23</m:t>
            </m:r>
          </m:sup>
        </m:sSup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602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</m:oMath>
      <w:r>
        <w:t xml:space="preserve">), deren</w:t>
      </w:r>
      <w:r>
        <w:t xml:space="preserve"> </w:t>
      </w:r>
      <w:r>
        <w:t xml:space="preserve">Quotient um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035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vom exakten Wert abweicht. Netto: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25</m:t>
        </m:r>
        <m:r>
          <m:rPr>
            <m:sty m:val="p"/>
          </m:rPr>
          <m:t>,</m:t>
        </m:r>
        <m:r>
          <m:t>861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V</m:t>
        </m:r>
      </m:oMath>
      <w:r>
        <w:t xml:space="preserve"> </w:t>
      </w:r>
      <w:r>
        <w:t xml:space="preserve">(unser Löser) gegenüber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25</m:t>
        </m:r>
        <m:r>
          <m:rPr>
            <m:sty m:val="p"/>
          </m:rPr>
          <m:t>,</m:t>
        </m:r>
        <m:r>
          <m:t>865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V</m:t>
        </m:r>
      </m:oMath>
      <w:r>
        <w:t xml:space="preserve"> </w:t>
      </w:r>
      <w:r>
        <w:t xml:space="preserve">(LTspice) — ein Unterschied von nur</w:t>
      </w:r>
      <w:r>
        <w:t xml:space="preserve"> </w:t>
      </w:r>
      <w:r>
        <w:t xml:space="preserve">0,016 %. Aber er steht im</w:t>
      </w:r>
      <w:r>
        <w:t xml:space="preserve"> </w:t>
      </w:r>
      <w:r>
        <w:rPr>
          <w:b/>
          <w:bCs/>
        </w:rPr>
        <w:t xml:space="preserve">Exponenten</w:t>
      </w:r>
      <w:r>
        <w:t xml:space="preserve">: Bei festem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 </w:t>
      </w:r>
      <w:r>
        <w:t xml:space="preserve">ändert</w:t>
      </w:r>
      <w:r>
        <w:t xml:space="preserve"> </w:t>
      </w:r>
      <w:r>
        <w:t xml:space="preserve">sich der Kollektorstrom um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Δ</m:t>
              </m:r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Δ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den>
          </m:f>
          <m:r>
            <m:rPr>
              <m:sty m:val="p"/>
            </m:rPr>
            <m:t>≈</m:t>
          </m:r>
          <m:r>
            <m:t>27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,</m:t>
          </m:r>
          <m:r>
            <m:t>00016</m:t>
          </m:r>
          <m:r>
            <m:rPr>
              <m:sty m:val="p"/>
            </m:rPr>
            <m:t>≈</m:t>
          </m:r>
          <m:r>
            <m:t>0</m:t>
          </m:r>
          <m:r>
            <m:rPr>
              <m:sty m:val="p"/>
            </m:rPr>
            <m:t>,</m:t>
          </m:r>
          <m:r>
            <m:t>4</m:t>
          </m:r>
          <m:r>
            <m:t> </m:t>
          </m:r>
          <m:r>
            <m:rPr>
              <m:sty m:val="p"/>
            </m:rPr>
            <m:t>%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Die Exponentialfunktion verstärkt winzige Konventionsunterschiede um</w:t>
      </w:r>
      <w:r>
        <w:t xml:space="preserve"> </w:t>
      </w:r>
      <w:r>
        <w:t xml:space="preserve">den Faktor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≈</m:t>
        </m:r>
        <m:r>
          <m:t>28</m:t>
        </m:r>
      </m:oMath>
      <w:r>
        <w:t xml:space="preserve"> </w:t>
      </w:r>
      <w:r>
        <w:t xml:space="preserve">— dieselbe Empfindlichkeit, die</w:t>
      </w:r>
      <w:r>
        <w:t xml:space="preserve"> </w:t>
      </w:r>
      <w:r>
        <w:t xml:space="preserve">uns in Kapitel 7 bei der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</m:oMath>
      <w:r>
        <w:t xml:space="preserve">-Extraktion begegnet ist. Wer</w:t>
      </w:r>
      <w:r>
        <w:t xml:space="preserve"> </w:t>
      </w:r>
      <w:r>
        <w:t xml:space="preserve">Simulator und Handrechnung bis in die Nachkommastellen vergleichen</w:t>
      </w:r>
      <w:r>
        <w:t xml:space="preserve"> </w:t>
      </w:r>
      <w:r>
        <w:t xml:space="preserve">will, muss deshalb zuerst Temperatur und Konstanten abgleichen.</w:t>
      </w:r>
    </w:p>
    <w:p>
      <w:pPr>
        <w:pStyle w:val="BodyText"/>
      </w:pPr>
      <w:r>
        <w:rPr>
          <w:b/>
          <w:bCs/>
        </w:rPr>
        <w:t xml:space="preserve">7. Numerik (bedeutungslos).</w:t>
      </w:r>
      <w:r>
        <w:t xml:space="preserve"> </w:t>
      </w:r>
      <w:r>
        <w:t xml:space="preserve">Die Newton-Toleranz von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 </w:t>
      </w:r>
      <w:r>
        <w:t xml:space="preserve">und die Maschinengenauigkeit liegen viele Größenordnungen unter allen</w:t>
      </w:r>
      <w:r>
        <w:t xml:space="preserve"> </w:t>
      </w:r>
      <w:r>
        <w:t xml:space="preserve">obigen Effekten.</w:t>
      </w:r>
    </w:p>
    <w:p>
      <w:pPr>
        <w:pStyle w:val="BodyText"/>
      </w:pPr>
      <w:r>
        <w:t xml:space="preserve">Die Rangfolge ist damit klar: Modellstufe (17 %)</w:t>
      </w:r>
      <w:r>
        <w:t xml:space="preserve"> </w:t>
      </w:r>
      <m:oMath>
        <m:r>
          <m:rPr>
            <m:sty m:val="p"/>
          </m:rPr>
          <m:t>≫</m:t>
        </m:r>
      </m:oMath>
      <w:r>
        <w:t xml:space="preserve"> </w:t>
      </w:r>
      <w:r>
        <w:t xml:space="preserve">Bisektionstoleranz (bis 5 %)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m:oMath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-Formulierung (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3 %,</w:t>
      </w:r>
      <w:r>
        <w:t xml:space="preserve"> </w:t>
      </w:r>
      <w:r>
        <w:t xml:space="preserve">nur erweitertes Modell)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Early-Formulierung (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0,7 %)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Thermospannungs-Konventionen (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0,4 % in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t xml:space="preserve">)</w:t>
      </w:r>
      <w:r>
        <w:t xml:space="preserve"> </w:t>
      </w:r>
      <m:oMath>
        <m:r>
          <m:rPr>
            <m:sty m:val="p"/>
          </m:rPr>
          <m:t>≫</m:t>
        </m:r>
      </m:oMath>
      <w:r>
        <w:t xml:space="preserve"> </w:t>
      </w:r>
      <w:r>
        <w:t xml:space="preserve">Übertrags-Rundung und Numerik. Wer diese Rangfolge kennt, weiß bei</w:t>
      </w:r>
      <w:r>
        <w:t xml:space="preserve"> </w:t>
      </w:r>
      <w:r>
        <w:t xml:space="preserve">jedem Vergleich zwischen Handrechnung und Simulator, welche</w:t>
      </w:r>
      <w:r>
        <w:t xml:space="preserve"> </w:t>
      </w:r>
      <w:r>
        <w:t xml:space="preserve">Abweichung normal ist — und welche auf einen echten Fehler deutet.</w:t>
      </w:r>
    </w:p>
    <w:bookmarkEnd w:id="41"/>
    <w:bookmarkStart w:id="42" w:name="Xa5d0c93e6fd9c0e52f29d9c996d4d991012b845"/>
    <w:p>
      <w:pPr>
        <w:pStyle w:val="Heading3"/>
      </w:pPr>
      <w:r>
        <w:t xml:space="preserve">9.4.5 Ausblick: die Verstärkerschaltungen 1c und 1f</w:t>
      </w:r>
    </w:p>
    <w:p>
      <w:pPr>
        <w:pStyle w:val="FirstParagraph"/>
      </w:pPr>
      <w:r>
        <w:t xml:space="preserve">Die Schaltungen 1c und 1f erweitern die Arbeitspunktschaltung zum</w:t>
      </w:r>
      <w:r>
        <w:t xml:space="preserve"> </w:t>
      </w:r>
      <w:r>
        <w:t xml:space="preserve">vollständigen Verstärker: eine Sinusquelle</w:t>
      </w:r>
      <w:r>
        <w:t xml:space="preserve"> </w:t>
      </w:r>
      <w:r>
        <w:t xml:space="preserve">(100 mV Amplitude, 50 Hz) speist über einen Koppelkondensator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  <m:r>
          <m:t> </m:t>
        </m:r>
        <m:r>
          <m:t>μ</m:t>
        </m:r>
        <m:r>
          <m:rPr>
            <m:sty m:val="p"/>
          </m:rPr>
          <m:t>F</m:t>
        </m:r>
      </m:oMath>
      <w:r>
        <w:t xml:space="preserve"> </w:t>
      </w:r>
      <w:r>
        <w:t xml:space="preserve">in die Basis, ein zweiter</w:t>
      </w:r>
      <w:r>
        <w:t xml:space="preserve"> </w:t>
      </w:r>
      <w:r>
        <w:t xml:space="preserve">Koppelkondensator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t> </m:t>
        </m:r>
        <m:r>
          <m:t>μ</m:t>
        </m:r>
        <m:r>
          <m:rPr>
            <m:sty m:val="p"/>
          </m:rPr>
          <m:t>F</m:t>
        </m:r>
      </m:oMath>
      <w:r>
        <w:t xml:space="preserve"> </w:t>
      </w:r>
      <w:r>
        <w:t xml:space="preserve">führt das verstärkte</w:t>
      </w:r>
      <w:r>
        <w:t xml:space="preserve"> </w:t>
      </w:r>
      <w:r>
        <w:t xml:space="preserve">Signal auf den Lastwiderstand</w:t>
      </w:r>
      <w:r>
        <w:t xml:space="preserve"> </w:t>
      </w:r>
      <m:oMath>
        <m:sSub>
          <m:e>
            <m:r>
              <m:t>R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1</m:t>
        </m:r>
        <m:r>
          <m:t> </m:t>
        </m:r>
        <m:r>
          <m:rPr>
            <m:sty m:val="p"/>
          </m:rPr>
          <m:t>M</m:t>
        </m:r>
        <m:r>
          <m:t>Ω</m:t>
        </m:r>
      </m:oMath>
      <w:r>
        <w:t xml:space="preserve">; simuliert</w:t>
      </w:r>
      <w:r>
        <w:t xml:space="preserve"> </w:t>
      </w:r>
      <w:r>
        <w:t xml:space="preserve">wird das Zeitverhalten (</w:t>
      </w:r>
      <w:r>
        <w:rPr>
          <w:rStyle w:val="VerbatimChar"/>
        </w:rPr>
        <w:t xml:space="preserve">.tran 0.1</w:t>
      </w:r>
      <w:r>
        <w:t xml:space="preserve">). Damit verlassen wir die reine</w:t>
      </w:r>
      <w:r>
        <w:t xml:space="preserve"> </w:t>
      </w:r>
      <w:r>
        <w:t xml:space="preserve">Gleichstromrechnung — die Frage, welche Spannungsverstärkung sich am</w:t>
      </w:r>
      <w:r>
        <w:t xml:space="preserve"> </w:t>
      </w:r>
      <w:r>
        <w:t xml:space="preserve">so eingestellten Arbeitspunkt ergibt und welche Rolle die</w:t>
      </w:r>
      <w:r>
        <w:t xml:space="preserve"> </w:t>
      </w:r>
      <w:r>
        <w:t xml:space="preserve">Koppelkondensatoren spielen, ist die Leitfrage der</w:t>
      </w:r>
      <w:r>
        <w:t xml:space="preserve"> </w:t>
      </w:r>
      <w:r>
        <w:t xml:space="preserve">Kleinsignalanalyse in Teil IV dieses Buches. Die beiden Schaltungen</w:t>
      </w:r>
      <w:r>
        <w:t xml:space="preserve"> </w:t>
      </w:r>
      <w:r>
        <w:t xml:space="preserve">stehen dort als Simulationsreferenz bereit.</w:t>
      </w:r>
    </w:p>
    <w:bookmarkEnd w:id="42"/>
    <w:bookmarkEnd w:id="43"/>
    <w:bookmarkStart w:id="47" w:name="weg-3-das-simulink-modell"/>
    <w:p>
      <w:pPr>
        <w:pStyle w:val="Heading2"/>
      </w:pPr>
      <w:r>
        <w:t xml:space="preserve">9.5 Weg 3: Das Simulink-Modell</w:t>
      </w:r>
    </w:p>
    <w:p>
      <w:pPr>
        <w:pStyle w:val="FirstParagraph"/>
      </w:pPr>
      <w:r>
        <w:t xml:space="preserve">Der dritte Weg verzichtet auf jeden fertigen Schaltungssimulator und</w:t>
      </w:r>
      <w:r>
        <w:t xml:space="preserve"> </w:t>
      </w:r>
      <w:r>
        <w:t xml:space="preserve">baut die Modellgleichungen selbst auf — als Blockschaltbild in</w:t>
      </w:r>
      <w:r>
        <w:t xml:space="preserve"> </w:t>
      </w:r>
      <w:r>
        <w:t xml:space="preserve">Simulink (Abbildung 9.5). Das Modell implementiert exakt die</w:t>
      </w:r>
      <w:r>
        <w:t xml:space="preserve"> </w:t>
      </w:r>
      <w:r>
        <w:t xml:space="preserve">Gleichungen des erweiterten Modells aus Abschnitt 9.2; jede Formel</w:t>
      </w:r>
      <w:r>
        <w:t xml:space="preserve"> </w:t>
      </w:r>
      <w:r>
        <w:t xml:space="preserve">findet sich als Blockgruppe wieder:</w:t>
      </w:r>
    </w:p>
    <w:p>
      <w:pPr>
        <w:pStyle w:val="CaptionedFigure"/>
      </w:pPr>
      <w:r>
        <w:drawing>
          <wp:inline>
            <wp:extent cx="5334000" cy="3494689"/>
            <wp:effectExtent b="0" l="0" r="0" t="0"/>
            <wp:docPr descr="Abbildung 9.5: Das Gummel-Poon-Modell als Simulink-Blockschaltbild (Bildschirmfoto aus dem Begleitmaterial). Links die implementierten Gleichungen, rechts die Blockstruktur mit den beiden gesteuerten Stromquellen an den Anschlüssen." title="" id="45" name="Picture"/>
            <a:graphic>
              <a:graphicData uri="http://schemas.openxmlformats.org/drawingml/2006/picture">
                <pic:pic>
                  <pic:nvPicPr>
                    <pic:cNvPr descr="../bilder/kap09_simulink_modell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4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Abbildung 9.5: Das Gummel-Poon-Modell als Simulink-Blockschaltbild</w:t>
      </w:r>
      <w:r>
        <w:t xml:space="preserve"> </w:t>
      </w:r>
      <w:r>
        <w:t xml:space="preserve">(Bildschirmfoto aus dem Begleitmaterial). Links die implementierten</w:t>
      </w:r>
      <w:r>
        <w:t xml:space="preserve"> </w:t>
      </w:r>
      <w:r>
        <w:t xml:space="preserve">Gleichungen, rechts die Blockstruktur mit den beiden gesteuerten</w:t>
      </w:r>
      <w:r>
        <w:t xml:space="preserve"> </w:t>
      </w:r>
      <w:r>
        <w:t xml:space="preserve">Stromquellen an den Anschlüssen.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Kollektorstrom-Pfad:</w:t>
      </w:r>
      <w:r>
        <w:t xml:space="preserve"> </w:t>
      </w:r>
      <w:r>
        <w:t xml:space="preserve">Die Klemmenspannung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 </w:t>
      </w:r>
      <w:r>
        <w:t xml:space="preserve">läuft durch</w:t>
      </w:r>
      <w:r>
        <w:t xml:space="preserve"> </w:t>
      </w:r>
      <w:r>
        <w:t xml:space="preserve">einen Verstärkungsblock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, ein Summierer bildet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; parallel dazu entsteht aus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über den Block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sSub>
              <m:e>
                <m:r>
                  <m:t>V</m:t>
                </m:r>
              </m:e>
              <m:sub>
                <m:r>
                  <m:t>T</m:t>
                </m:r>
              </m:sub>
            </m:sSub>
          </m:e>
        </m:d>
      </m:oMath>
      <w:r>
        <w:t xml:space="preserve"> </w:t>
      </w:r>
      <w:r>
        <w:t xml:space="preserve">und den Exponentialblock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der</w:t>
      </w:r>
      <w:r>
        <w:t xml:space="preserve"> </w:t>
      </w:r>
      <w:r>
        <w:t xml:space="preserve">Shockley-Kern. Ein Multiplizierer und die Verstärkung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ergeben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nach der Early-Gleichung.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Stromverstärkungs-Pfad:</w:t>
      </w:r>
      <w:r>
        <w:t xml:space="preserve"> </w:t>
      </w:r>
      <w:r>
        <w:t xml:space="preserve">Der berechnete Kollektorstrom wird über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 </w:t>
      </w:r>
      <w:r>
        <w:t xml:space="preserve">zurückgeführt, ein Summierer bildet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der Wurzelblock</w:t>
      </w:r>
      <w:r>
        <w:t xml:space="preserve"> </w:t>
      </w:r>
      <m:oMath>
        <m:rad>
          <m:radPr>
            <m:degHide m:val="on"/>
          </m:radPr>
          <m:deg/>
          <m:e>
            <m:r>
              <m:t>u</m:t>
            </m:r>
          </m:e>
        </m:rad>
      </m:oMath>
      <w:r>
        <w:t xml:space="preserve"> </w:t>
      </w:r>
      <w:r>
        <w:t xml:space="preserve">und die Konstante</w:t>
      </w:r>
      <w:r>
        <w:t xml:space="preserve"> </w:t>
      </w:r>
      <m:oMath>
        <m:sSub>
          <m:e>
            <m:r>
              <m:t>β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liefern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— die Rückkopplungsschleife im Diagramm ist</w:t>
      </w:r>
      <w:r>
        <w:t xml:space="preserve"> </w:t>
      </w:r>
      <w:r>
        <w:t xml:space="preserve">wörtlich die implizite Kopplung, die wir in Kapitel 8 mit der</w:t>
      </w:r>
      <w:r>
        <w:t xml:space="preserve"> </w:t>
      </w:r>
      <w:r>
        <w:t xml:space="preserve">Fixpunkt- bzw. Newton-Iteration aufgelöst haben.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Basisstrom-Pfad:</w:t>
      </w:r>
      <w:r>
        <w:t xml:space="preserve"> </w:t>
      </w:r>
      <w:r>
        <w:t xml:space="preserve">Aus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 </w:t>
      </w:r>
      <w:r>
        <w:t xml:space="preserve">wird über den Block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der</w:t>
      </w:r>
      <w:r>
        <w:t xml:space="preserve"> </w:t>
      </w:r>
      <w:r>
        <w:t xml:space="preserve">Spannungsabfall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⋅</m:t>
        </m:r>
        <m:sSub>
          <m:e>
            <m:r>
              <m:t>R</m:t>
            </m:r>
          </m:e>
          <m:sub>
            <m: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abgezogen</w:t>
      </w:r>
      <w:r>
        <w:t xml:space="preserve"> </w:t>
      </w:r>
      <w:r>
        <w:t xml:space="preserve">(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t xml:space="preserve">-Definition), der Basis-Early-Faktor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entsteht über den Block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, und</w:t>
      </w:r>
      <w:r>
        <w:t xml:space="preserve"> </w:t>
      </w:r>
      <w:r>
        <w:t xml:space="preserve">zusammen mit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β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ergibt sich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Anschluss an die Außenwelt:</w:t>
      </w:r>
      <w:r>
        <w:t xml:space="preserve"> </w:t>
      </w:r>
      <w:r>
        <w:t xml:space="preserve">Zwei</w:t>
      </w:r>
      <w:r>
        <w:t xml:space="preserve"> </w:t>
      </w:r>
      <w:r>
        <w:rPr>
          <w:b/>
          <w:bCs/>
        </w:rPr>
        <w:t xml:space="preserve">gesteuerte Stromquellen</w:t>
      </w:r>
      <w:r>
        <w:t xml:space="preserve"> </w:t>
      </w:r>
      <w:r>
        <w:t xml:space="preserve">prägen die berechneten Ströme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und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an den Klemmen ein —</w:t>
      </w:r>
      <w:r>
        <w:t xml:space="preserve"> </w:t>
      </w:r>
      <w:r>
        <w:t xml:space="preserve">der Block verhält sich nach außen wie ein Transistor mit den</w:t>
      </w:r>
      <w:r>
        <w:t xml:space="preserve"> </w:t>
      </w:r>
      <w:r>
        <w:t xml:space="preserve">Anschlüssen Kollektor, Basis und Emitter und kann in einer</w:t>
      </w:r>
      <w:r>
        <w:t xml:space="preserve"> </w:t>
      </w:r>
      <w:r>
        <w:t xml:space="preserve">Simulink-Physical-Modeling-Schaltung genau wie das LTspice-Modell in</w:t>
      </w:r>
      <w:r>
        <w:t xml:space="preserve"> </w:t>
      </w:r>
      <w:r>
        <w:t xml:space="preserve">die Fixed-Bias-Beschaltung eingebaut werden.</w:t>
      </w:r>
    </w:p>
    <w:p>
      <w:pPr>
        <w:pStyle w:val="FirstParagraph"/>
      </w:pPr>
      <w:r>
        <w:t xml:space="preserve">Was bei Simulink von außen zu sehen ist, macht sichtbar, was LTspice</w:t>
      </w:r>
      <w:r>
        <w:t xml:space="preserve"> </w:t>
      </w:r>
      <w:r>
        <w:t xml:space="preserve">im Inneren verbirgt: Ein „Transistormodell” ist nichts weiter als die</w:t>
      </w:r>
      <w:r>
        <w:t xml:space="preserve"> </w:t>
      </w:r>
      <w:r>
        <w:t xml:space="preserve">konsequente Verdrahtung einer Handvoll Gleichungen. Wer das</w:t>
      </w:r>
      <w:r>
        <w:t xml:space="preserve"> </w:t>
      </w:r>
      <w:r>
        <w:t xml:space="preserve">Blockschaltbild lesen kann, hat das Gummel-Poon-Modell verstanden —</w:t>
      </w:r>
      <w:r>
        <w:t xml:space="preserve"> </w:t>
      </w:r>
      <w:r>
        <w:t xml:space="preserve">und umgekehrt.</w:t>
      </w:r>
    </w:p>
    <w:bookmarkEnd w:id="47"/>
    <w:bookmarkStart w:id="48" w:name="zusammenfassung"/>
    <w:p>
      <w:pPr>
        <w:pStyle w:val="Heading2"/>
      </w:pPr>
      <w:r>
        <w:t xml:space="preserve">9.6 Zusammenfassung</w:t>
      </w:r>
    </w:p>
    <w:p>
      <w:pPr>
        <w:pStyle w:val="Compact"/>
        <w:numPr>
          <w:ilvl w:val="0"/>
          <w:numId w:val="1006"/>
        </w:numPr>
      </w:pPr>
      <w:r>
        <w:t xml:space="preserve">Ein Schaltungssimulator tut nichts Geheimnisvolles: Er löst die</w:t>
      </w:r>
      <w:r>
        <w:t xml:space="preserve"> </w:t>
      </w:r>
      <w:r>
        <w:t xml:space="preserve">Gummel-Poon-Gleichungen zusammen mit den Netzwerkgleichungen — mit dem Newton-Raphson-Verfahren, das wir seit Kapitel 8 selbst</w:t>
      </w:r>
      <w:r>
        <w:t xml:space="preserve"> </w:t>
      </w:r>
      <w:r>
        <w:t xml:space="preserve">beherrschen.</w:t>
      </w:r>
    </w:p>
    <w:p>
      <w:pPr>
        <w:pStyle w:val="Compact"/>
        <w:numPr>
          <w:ilvl w:val="0"/>
          <w:numId w:val="1006"/>
        </w:numPr>
      </w:pPr>
      <w:r>
        <w:t xml:space="preserve">Der eigene Löser bestimmt per Bisektion (äußere Schleife) und</w:t>
      </w:r>
      <w:r>
        <w:t xml:space="preserve"> </w:t>
      </w:r>
      <w:r>
        <w:t xml:space="preserve">Newton-Raphson (innere Schleife) den Basiswiderstand für den</w:t>
      </w:r>
      <w:r>
        <w:t xml:space="preserve"> </w:t>
      </w:r>
      <w:r>
        <w:t xml:space="preserve">Arbeitspunkt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44 453,12</w:t>
      </w:r>
      <w:r>
        <w:rPr>
          <w:b/>
          <w:bCs/>
        </w:rPr>
        <w:t xml:space="preserve"> </w:t>
      </w:r>
      <m:oMath>
        <m:r>
          <m:t>Ω</m:t>
        </m:r>
      </m:oMath>
      <w:r>
        <w:t xml:space="preserve"> </w:t>
      </w:r>
      <w:r>
        <w:t xml:space="preserve">mit dem</w:t>
      </w:r>
      <w:r>
        <w:t xml:space="preserve"> </w:t>
      </w:r>
      <w:r>
        <w:t xml:space="preserve">einfachen,</w:t>
      </w:r>
      <w:r>
        <w:t xml:space="preserve"> </w:t>
      </w:r>
      <w:r>
        <w:rPr>
          <w:b/>
          <w:bCs/>
        </w:rPr>
        <w:t xml:space="preserve">36 796,88</w:t>
      </w:r>
      <w:r>
        <w:rPr>
          <w:b/>
          <w:bCs/>
        </w:rPr>
        <w:t xml:space="preserve"> </w:t>
      </w:r>
      <m:oMath>
        <m:r>
          <m:t>Ω</m:t>
        </m:r>
      </m:oMath>
      <w:r>
        <w:t xml:space="preserve"> </w:t>
      </w:r>
      <w:r>
        <w:t xml:space="preserve">mit dem erweiterten Modell. Diese</w:t>
      </w:r>
      <w:r>
        <w:t xml:space="preserve"> </w:t>
      </w:r>
      <w:r>
        <w:t xml:space="preserve">Werte stehen — mit abgeschnittenen Nachkommastellen — in den</w:t>
      </w:r>
      <w:r>
        <w:t xml:space="preserve"> </w:t>
      </w:r>
      <w:r>
        <w:t xml:space="preserve">LTspice-Vergleichsschaltungen des Begleitmaterials.</w:t>
      </w:r>
    </w:p>
    <w:p>
      <w:pPr>
        <w:pStyle w:val="Compact"/>
        <w:numPr>
          <w:ilvl w:val="0"/>
          <w:numId w:val="1006"/>
        </w:numPr>
      </w:pPr>
      <w:r>
        <w:t xml:space="preserve">Der Unterschied von 17 % zwischen beiden Modellstufen entsteht</w:t>
      </w:r>
      <w:r>
        <w:t xml:space="preserve"> </w:t>
      </w:r>
      <w:r>
        <w:t xml:space="preserve">fast vollständig durch den Hochstrom-Abfall der Stromverstärkung</w:t>
      </w:r>
      <w:r>
        <w:t xml:space="preserve"> </w:t>
      </w:r>
      <w:r>
        <w:t xml:space="preserve">(</w:t>
      </w:r>
      <m:oMath>
        <m:sSub>
          <m:e>
            <m:r>
              <m:t>β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178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statt 200 bei 125 mA) — wer die</w:t>
      </w:r>
      <w:r>
        <w:t xml:space="preserve"> </w:t>
      </w:r>
      <w:r>
        <w:t xml:space="preserve">erweiterten Parameter ignoriert, verfehlt den Arbeitspunkt.</w:t>
      </w:r>
    </w:p>
    <w:p>
      <w:pPr>
        <w:pStyle w:val="Compact"/>
        <w:numPr>
          <w:ilvl w:val="0"/>
          <w:numId w:val="1006"/>
        </w:numPr>
      </w:pPr>
      <w:r>
        <w:t xml:space="preserve">Der direkte Abgleich mit denselben Modellkarten bestätigt die</w:t>
      </w:r>
      <w:r>
        <w:t xml:space="preserve"> </w:t>
      </w:r>
      <w:r>
        <w:t xml:space="preserve">Handrechnung: Beim einfachen Modell stimmen Buchgleichungen und</w:t>
      </w:r>
      <w:r>
        <w:t xml:space="preserve"> </w:t>
      </w:r>
      <w:r>
        <w:t xml:space="preserve">SPICE-Konvention auf ein halbes Prozent überein</w:t>
      </w:r>
      <w:r>
        <w:t xml:space="preserve"> </w:t>
      </w:r>
      <w:r>
        <w:t xml:space="preserve">(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 </w:t>
      </w:r>
      <w:r>
        <w:t xml:space="preserve">12,688 V gegenüber 12,759 V); beim erweiterten Modell</w:t>
      </w:r>
      <w:r>
        <w:t xml:space="preserve"> </w:t>
      </w:r>
      <w:r>
        <w:t xml:space="preserve">bleibt eine erklärbare 3-%-Differenz, weil SPICE den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-Effekt über die Basisladung</w:t>
      </w:r>
      <w:r>
        <w:t xml:space="preserve"> </w:t>
      </w:r>
      <m:oMath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im Kollektorstrom</w:t>
      </w:r>
      <w:r>
        <w:t xml:space="preserve"> </w:t>
      </w:r>
      <w:r>
        <w:t xml:space="preserve">ansetzt, die Vorlesungsform als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im</w:t>
      </w:r>
      <w:r>
        <w:t xml:space="preserve"> </w:t>
      </w:r>
      <w:r>
        <w:t xml:space="preserve">Basisstrom.</w:t>
      </w:r>
    </w:p>
    <w:p>
      <w:pPr>
        <w:pStyle w:val="Compact"/>
        <w:numPr>
          <w:ilvl w:val="0"/>
          <w:numId w:val="1006"/>
        </w:numPr>
      </w:pPr>
      <w:r>
        <w:t xml:space="preserve">Die Rangfolge der Abweichungsquellen — Modellstufe,</w:t>
      </w:r>
      <w:r>
        <w:t xml:space="preserve"> </w:t>
      </w:r>
      <w:r>
        <w:t xml:space="preserve">Bisektionstoleranz, Gleichungskonventionen, Thermospannung — macht</w:t>
      </w:r>
      <w:r>
        <w:t xml:space="preserve"> </w:t>
      </w:r>
      <w:r>
        <w:t xml:space="preserve">jeden Vergleich zwischen Handrechnung und Simulator bewertbar.</w:t>
      </w:r>
    </w:p>
    <w:p>
      <w:pPr>
        <w:pStyle w:val="Compact"/>
        <w:numPr>
          <w:ilvl w:val="0"/>
          <w:numId w:val="1006"/>
        </w:numPr>
      </w:pPr>
      <w:r>
        <w:t xml:space="preserve">Das Simulink-Blockschaltbild macht die Modellgleichungen sichtbar:</w:t>
      </w:r>
      <w:r>
        <w:t xml:space="preserve"> </w:t>
      </w:r>
      <w:r>
        <w:t xml:space="preserve">Exponentialblock, Early-Faktoren,</w:t>
      </w:r>
      <w:r>
        <w:t xml:space="preserve"> </w:t>
      </w:r>
      <m:oMath>
        <m:r>
          <m:t>β</m:t>
        </m:r>
      </m:oMath>
      <w:r>
        <w:t xml:space="preserve">-Rückkopplung und zwei</w:t>
      </w:r>
      <w:r>
        <w:t xml:space="preserve"> </w:t>
      </w:r>
      <w:r>
        <w:t xml:space="preserve">gesteuerte Stromquellen — mehr ist ein Transistormodell nicht.</w:t>
      </w:r>
    </w:p>
    <w:p>
      <w:pPr>
        <w:pStyle w:val="FirstParagraph"/>
      </w:pPr>
      <w:r>
        <w:t xml:space="preserve">Damit ist der Bogen von Teil III geschlossen: von der Messung</w:t>
      </w:r>
      <w:r>
        <w:t xml:space="preserve"> </w:t>
      </w:r>
      <w:r>
        <w:t xml:space="preserve">(Kapitel 7) über das Modell (Kapitel 6) und die eigene numerische</w:t>
      </w:r>
      <w:r>
        <w:t xml:space="preserve"> </w:t>
      </w:r>
      <w:r>
        <w:t xml:space="preserve">Lösung (Kapitel 8) bis zur professionellen Simulation (dieses</w:t>
      </w:r>
      <w:r>
        <w:t xml:space="preserve"> </w:t>
      </w:r>
      <w:r>
        <w:t xml:space="preserve">Kapitel). Teil IV wechselt nun die Perspektive: vom Großsignal- zum</w:t>
      </w:r>
      <w:r>
        <w:t xml:space="preserve"> </w:t>
      </w:r>
      <w:r>
        <w:t xml:space="preserve">Kleinsignalverhalten — was passiert, wenn wir den sorgfältig</w:t>
      </w:r>
      <w:r>
        <w:t xml:space="preserve"> </w:t>
      </w:r>
      <w:r>
        <w:t xml:space="preserve">eingestellten Arbeitspunkt mit einem kleinen Signal auslenken?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23" Target="media/rId23.png" /><Relationship Type="http://schemas.openxmlformats.org/officeDocument/2006/relationships/image" Id="rId36" Target="media/rId36.png" /><Relationship Type="http://schemas.openxmlformats.org/officeDocument/2006/relationships/image" Id="rId27" Target="media/rId27.png" /><Relationship Type="http://schemas.openxmlformats.org/officeDocument/2006/relationships/image" Id="rId44" Target="media/rId4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Kapitel 9 — Simulation mit den ermittelten Parametern</dc:title>
  <dc:creator>Prof. Dr.-Ing. Ralph Wystup</dc:creator>
  <dc:language>de</dc:language>
  <cp:keywords/>
  <dcterms:created xsi:type="dcterms:W3CDTF">2026-09-30T08:21:33Z</dcterms:created>
  <dcterms:modified xsi:type="dcterms:W3CDTF">2026-09-30T08:21:33Z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Transistortechnik — von der Messung zum Modell</vt:lpwstr>
  </property>
</Properties>
</file>