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52" w:rsidRPr="00BA509E" w:rsidRDefault="00BA509E" w:rsidP="00B8182C">
      <w:pPr>
        <w:spacing w:after="120"/>
        <w:ind w:firstLine="720"/>
        <w:rPr>
          <w:b/>
        </w:rPr>
      </w:pPr>
      <w:r w:rsidRPr="00BA509E">
        <w:rPr>
          <w:b/>
        </w:rPr>
        <w:t xml:space="preserve">Proposta de orientação sobre cálculo de tamanho amostral </w:t>
      </w:r>
    </w:p>
    <w:p w:rsidR="00734B77" w:rsidRDefault="00734B77" w:rsidP="00B8182C">
      <w:pPr>
        <w:spacing w:after="120"/>
      </w:pPr>
    </w:p>
    <w:p w:rsidR="00734B77" w:rsidRPr="00734B77" w:rsidRDefault="00734B77" w:rsidP="00B8182C">
      <w:pPr>
        <w:spacing w:after="120"/>
        <w:ind w:firstLine="720"/>
        <w:rPr>
          <w:u w:val="single"/>
        </w:rPr>
      </w:pPr>
      <w:r w:rsidRPr="00734B77">
        <w:rPr>
          <w:u w:val="single"/>
        </w:rPr>
        <w:t>Cálculos de tamanho amostral</w:t>
      </w:r>
      <w:r>
        <w:rPr>
          <w:u w:val="single"/>
        </w:rPr>
        <w:t xml:space="preserve"> e poder estatístico</w:t>
      </w:r>
    </w:p>
    <w:p w:rsidR="00734B77" w:rsidRDefault="00734B77" w:rsidP="00B8182C">
      <w:pPr>
        <w:spacing w:after="120"/>
      </w:pPr>
    </w:p>
    <w:p w:rsidR="001D2AB5" w:rsidRDefault="00734B77" w:rsidP="00B8182C">
      <w:pPr>
        <w:spacing w:after="120"/>
        <w:ind w:firstLine="720"/>
        <w:jc w:val="both"/>
      </w:pPr>
      <w:r>
        <w:t xml:space="preserve">Seguindo a tendência de diversos órgãos regulamentadores ao redor do mundo, o CEUA-CCS </w:t>
      </w:r>
      <w:r w:rsidR="00BA509E">
        <w:t xml:space="preserve">exige </w:t>
      </w:r>
      <w:r>
        <w:t>a realização de cálculos de poder estatístico e tamanho amostral para a autorizaçã</w:t>
      </w:r>
      <w:r w:rsidR="00BA509E">
        <w:t>o de experimentos em animais. A</w:t>
      </w:r>
      <w:r>
        <w:t xml:space="preserve"> raz</w:t>
      </w:r>
      <w:r w:rsidR="00BA509E">
        <w:t>ão é</w:t>
      </w:r>
      <w:r>
        <w:t xml:space="preserve"> simples: experimentos com baixo poder estatístico </w:t>
      </w:r>
      <w:r w:rsidR="0064381C">
        <w:t xml:space="preserve">tem uma </w:t>
      </w:r>
      <w:r w:rsidR="00BA509E">
        <w:t>grande</w:t>
      </w:r>
      <w:r w:rsidR="0064381C">
        <w:t xml:space="preserve"> chance tanto de apresentarem resultados falsamente negativos (pela própria definição do conceito de poder estatístico, que é a capacidade de um teste estatístico detectar um determinado tamanho de </w:t>
      </w:r>
      <w:r w:rsidR="00BA509E">
        <w:t>efeito</w:t>
      </w:r>
      <w:r w:rsidR="0064381C">
        <w:t xml:space="preserve"> </w:t>
      </w:r>
      <w:r w:rsidR="00BA509E">
        <w:t>se ele existir</w:t>
      </w:r>
      <w:r w:rsidR="0064381C">
        <w:t xml:space="preserve">) como de resultados positivos (já que, em se utilizando um limiar de significância fixo, um resultado significativo terá menos chance de ser verdadeiro se o poder estatístico for baixo). Desta forma, </w:t>
      </w:r>
      <w:r w:rsidR="001B4FCD">
        <w:t xml:space="preserve">a ausência de um cálculo de tamanho amostral e poder estatístico </w:t>
      </w:r>
      <w:r w:rsidR="0064381C">
        <w:t xml:space="preserve">representam </w:t>
      </w:r>
      <w:r w:rsidR="001B4FCD">
        <w:t xml:space="preserve">a exposição de animais de experimentação a experimentos </w:t>
      </w:r>
      <w:r w:rsidR="001D2AB5">
        <w:t>inapropriados para responder uma pergunta experimental.</w:t>
      </w:r>
    </w:p>
    <w:p w:rsidR="001D2AB5" w:rsidRDefault="001D2AB5" w:rsidP="00B8182C">
      <w:pPr>
        <w:spacing w:after="120"/>
        <w:ind w:firstLine="720"/>
        <w:jc w:val="both"/>
      </w:pPr>
      <w:r>
        <w:t xml:space="preserve">A realização de cálculos de poder estatístico para </w:t>
      </w:r>
      <w:r w:rsidR="00BA509E">
        <w:t xml:space="preserve">a maior parte dos </w:t>
      </w:r>
      <w:r>
        <w:t xml:space="preserve">experimentos a serem analisados por testes de estatística paramétrica, é simples e pode ser realizada em inúmeras calculadoras online (como em </w:t>
      </w:r>
      <w:hyperlink r:id="rId4" w:history="1">
        <w:r w:rsidRPr="004D38DC">
          <w:rPr>
            <w:rStyle w:val="Hyperlink"/>
          </w:rPr>
          <w:t>http://powerandsamplesize.com</w:t>
        </w:r>
      </w:hyperlink>
      <w:r>
        <w:t xml:space="preserve"> e </w:t>
      </w:r>
      <w:hyperlink r:id="rId5" w:history="1">
        <w:r w:rsidRPr="004D38DC">
          <w:rPr>
            <w:rStyle w:val="Hyperlink"/>
          </w:rPr>
          <w:t>http://www.stat.ubc.ca/~rollin/stats/ssize/</w:t>
        </w:r>
      </w:hyperlink>
      <w:r>
        <w:t xml:space="preserve">) ou softwares disponíveis gratuitamente (como o </w:t>
      </w:r>
      <w:proofErr w:type="spellStart"/>
      <w:r>
        <w:t>GPower</w:t>
      </w:r>
      <w:proofErr w:type="spellEnd"/>
      <w:r>
        <w:t>, disponível em</w:t>
      </w:r>
      <w:r w:rsidR="009D75A3">
        <w:t xml:space="preserve"> </w:t>
      </w:r>
      <w:hyperlink r:id="rId6" w:history="1">
        <w:r w:rsidR="009D75A3" w:rsidRPr="004D38DC">
          <w:rPr>
            <w:rStyle w:val="Hyperlink"/>
          </w:rPr>
          <w:t>http://www.gpower.hhu.de/</w:t>
        </w:r>
      </w:hyperlink>
      <w:r w:rsidR="009D75A3">
        <w:t>)</w:t>
      </w:r>
      <w:r>
        <w:t>.</w:t>
      </w:r>
    </w:p>
    <w:p w:rsidR="00734B77" w:rsidRDefault="001D2AB5" w:rsidP="00B8182C">
      <w:pPr>
        <w:spacing w:after="120"/>
        <w:ind w:firstLine="720"/>
        <w:jc w:val="both"/>
      </w:pPr>
      <w:r>
        <w:t xml:space="preserve"> Em resumo, 4 parâmetros </w:t>
      </w:r>
      <w:r w:rsidR="009D75A3">
        <w:t xml:space="preserve">básicos </w:t>
      </w:r>
      <w:r>
        <w:t>são necessários para calcular o tamanho de amostra recomendado para um experimento:</w:t>
      </w:r>
    </w:p>
    <w:p w:rsidR="001D2AB5" w:rsidRDefault="001D2AB5" w:rsidP="00B8182C">
      <w:pPr>
        <w:spacing w:after="120"/>
        <w:ind w:firstLine="720"/>
        <w:jc w:val="both"/>
      </w:pPr>
      <w:r>
        <w:t xml:space="preserve">1. O tamanho da diferença </w:t>
      </w:r>
      <w:r w:rsidR="0059701C">
        <w:t xml:space="preserve">entre grupos </w:t>
      </w:r>
      <w:r>
        <w:t>que se planeja detectar com o estudo (o qual deve ser estabelecido pelo pesquisador).</w:t>
      </w:r>
    </w:p>
    <w:p w:rsidR="001D2AB5" w:rsidRDefault="001D2AB5" w:rsidP="00B8182C">
      <w:pPr>
        <w:spacing w:after="120"/>
        <w:ind w:firstLine="720"/>
        <w:jc w:val="both"/>
      </w:pPr>
      <w:r>
        <w:t>2. O poder estatístico desejado (recomendamos que o mesmo seja de pelo menos 80%).</w:t>
      </w:r>
    </w:p>
    <w:p w:rsidR="001D2AB5" w:rsidRDefault="001D2AB5" w:rsidP="00B8182C">
      <w:pPr>
        <w:spacing w:after="120"/>
        <w:ind w:firstLine="720"/>
        <w:jc w:val="both"/>
      </w:pPr>
      <w:r>
        <w:t>3. A variância ou desvio padrão esperado para os grupos experimentais.</w:t>
      </w:r>
    </w:p>
    <w:p w:rsidR="001D2AB5" w:rsidRDefault="001D2AB5" w:rsidP="00B8182C">
      <w:pPr>
        <w:spacing w:after="120"/>
        <w:ind w:firstLine="720"/>
        <w:jc w:val="both"/>
      </w:pPr>
      <w:r>
        <w:t>4. O limiar de significância a ser utilizado no teste estatístico.</w:t>
      </w:r>
    </w:p>
    <w:p w:rsidR="00671F31" w:rsidRDefault="0059701C" w:rsidP="00B8182C">
      <w:pPr>
        <w:spacing w:after="120"/>
        <w:ind w:firstLine="720"/>
        <w:jc w:val="both"/>
      </w:pPr>
      <w:r>
        <w:t xml:space="preserve">Diferentes testes paramétricos </w:t>
      </w:r>
      <w:r w:rsidR="001D65D8">
        <w:t>ou calculadoras podem requere</w:t>
      </w:r>
      <w:r w:rsidR="00BA509E">
        <w:t>r</w:t>
      </w:r>
      <w:r>
        <w:t xml:space="preserve"> </w:t>
      </w:r>
      <w:r w:rsidR="007B3794">
        <w:t xml:space="preserve">que </w:t>
      </w:r>
      <w:r w:rsidR="001D65D8">
        <w:t>as informações (e.g. a definição de tamanho de diferença) sejam descritos de maneira discretamente diferente. Para ilustrar o processo</w:t>
      </w:r>
      <w:r w:rsidR="00BA509E">
        <w:t xml:space="preserve"> com um exemplo simples</w:t>
      </w:r>
      <w:r w:rsidR="001D65D8">
        <w:t xml:space="preserve">, </w:t>
      </w:r>
      <w:r w:rsidR="00671F31">
        <w:t xml:space="preserve">vamos mostrar como os parâmetros devem ser utilizados para um cálculo de tamanho amostral de um teste t bicaudal </w:t>
      </w:r>
      <w:r w:rsidR="0005319B">
        <w:t>para</w:t>
      </w:r>
      <w:r w:rsidR="00671F31">
        <w:t xml:space="preserve"> amostras independentes no site </w:t>
      </w:r>
      <w:hyperlink r:id="rId7" w:history="1">
        <w:r w:rsidR="00671F31" w:rsidRPr="004D38DC">
          <w:rPr>
            <w:rStyle w:val="Hyperlink"/>
          </w:rPr>
          <w:t>http://powerandsamplesize.com</w:t>
        </w:r>
      </w:hyperlink>
      <w:r w:rsidR="00671F31">
        <w:t>:</w:t>
      </w:r>
    </w:p>
    <w:p w:rsidR="00671F31" w:rsidRDefault="00671F31" w:rsidP="00B8182C">
      <w:pPr>
        <w:spacing w:after="120"/>
        <w:ind w:firstLine="720"/>
        <w:jc w:val="both"/>
      </w:pPr>
      <w:r>
        <w:t>1. Entre no site</w:t>
      </w:r>
    </w:p>
    <w:p w:rsidR="00671F31" w:rsidRDefault="00671F31" w:rsidP="00B8182C">
      <w:pPr>
        <w:spacing w:after="120"/>
        <w:ind w:firstLine="720"/>
        <w:jc w:val="both"/>
      </w:pPr>
      <w:r>
        <w:t>2. Clique em “</w:t>
      </w:r>
      <w:proofErr w:type="spellStart"/>
      <w:r>
        <w:t>go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calculators</w:t>
      </w:r>
      <w:proofErr w:type="spellEnd"/>
      <w:r>
        <w:t xml:space="preserve">” e em “Compare 2 </w:t>
      </w:r>
      <w:proofErr w:type="spellStart"/>
      <w:r>
        <w:t>means</w:t>
      </w:r>
      <w:proofErr w:type="spellEnd"/>
      <w:r>
        <w:t xml:space="preserve"> – 2 </w:t>
      </w:r>
      <w:proofErr w:type="spellStart"/>
      <w:r>
        <w:t>samples</w:t>
      </w:r>
      <w:proofErr w:type="spellEnd"/>
      <w:r>
        <w:t xml:space="preserve"> – 2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” (isso levará você para este link: </w:t>
      </w:r>
      <w:hyperlink r:id="rId8" w:history="1">
        <w:r w:rsidRPr="004D38DC">
          <w:rPr>
            <w:rStyle w:val="Hyperlink"/>
          </w:rPr>
          <w:t>http://powerandsamplesize.com/Calculators/Compare-2-Means/2-Sample-Equality</w:t>
        </w:r>
      </w:hyperlink>
      <w:r>
        <w:t>).</w:t>
      </w:r>
    </w:p>
    <w:p w:rsidR="00717344" w:rsidRDefault="00867AEF" w:rsidP="00DC3B6D">
      <w:pPr>
        <w:spacing w:after="120"/>
        <w:ind w:firstLine="720"/>
        <w:jc w:val="both"/>
      </w:pPr>
      <w:r>
        <w:t xml:space="preserve">3. No primeiro campo de cima para baixo, você </w:t>
      </w:r>
      <w:r w:rsidR="0005319B">
        <w:t xml:space="preserve">pode </w:t>
      </w:r>
      <w:r>
        <w:t>opta</w:t>
      </w:r>
      <w:r w:rsidR="0005319B">
        <w:t>r</w:t>
      </w:r>
      <w:r>
        <w:t xml:space="preserve"> em calcular (a) um tamanho amostra</w:t>
      </w:r>
      <w:r w:rsidR="00DC3B6D">
        <w:t>l</w:t>
      </w:r>
      <w:r>
        <w:t xml:space="preserve"> para obter um determinado poder estatístico ou (b) o </w:t>
      </w:r>
      <w:r>
        <w:lastRenderedPageBreak/>
        <w:t>poder estatíst</w:t>
      </w:r>
      <w:r w:rsidR="00DC3B6D">
        <w:t>ico de um determinado tamanho</w:t>
      </w:r>
      <w:r>
        <w:t xml:space="preserve"> amostra</w:t>
      </w:r>
      <w:r w:rsidR="00DC3B6D">
        <w:t xml:space="preserve">l. </w:t>
      </w:r>
      <w:r w:rsidR="00717344">
        <w:t xml:space="preserve">Para fins </w:t>
      </w:r>
      <w:r w:rsidR="00DC3B6D">
        <w:t>de planejamento experimental</w:t>
      </w:r>
      <w:r w:rsidR="00717344">
        <w:t>, o caso (a) será mais comum, então vamos analisá-lo</w:t>
      </w:r>
      <w:r w:rsidR="00DC3B6D">
        <w:t xml:space="preserve"> a seguir</w:t>
      </w:r>
      <w:r w:rsidR="00717344">
        <w:t>.</w:t>
      </w:r>
    </w:p>
    <w:p w:rsidR="00717344" w:rsidRDefault="00DC3B6D" w:rsidP="00B8182C">
      <w:pPr>
        <w:spacing w:after="120"/>
        <w:ind w:firstLine="720"/>
        <w:jc w:val="both"/>
      </w:pPr>
      <w:r>
        <w:t>4. Na linha abaixo, você dev</w:t>
      </w:r>
      <w:r w:rsidR="00717344">
        <w:t xml:space="preserve">e inserir </w:t>
      </w:r>
      <w:r>
        <w:t xml:space="preserve">(a) </w:t>
      </w:r>
      <w:r w:rsidR="00717344">
        <w:t>o poder estatístico desejado (em forma de deci</w:t>
      </w:r>
      <w:r>
        <w:t>mal – e.g. “0.8” significa 80%)</w:t>
      </w:r>
      <w:r w:rsidR="00717344">
        <w:t xml:space="preserve"> e </w:t>
      </w:r>
      <w:r>
        <w:t xml:space="preserve">(b) </w:t>
      </w:r>
      <w:r w:rsidR="00717344">
        <w:t>a chance do erro tipo 1, que equivale ao limiar de significância estatística desejado (e.g. 5% p</w:t>
      </w:r>
      <w:r>
        <w:t>ara um valor p de 0.05). O camp</w:t>
      </w:r>
      <w:r w:rsidR="00717344">
        <w:t>o “</w:t>
      </w:r>
      <w:proofErr w:type="spellStart"/>
      <w:r w:rsidR="00717344">
        <w:t>sample</w:t>
      </w:r>
      <w:proofErr w:type="spellEnd"/>
      <w:r w:rsidR="00717344">
        <w:t xml:space="preserve"> </w:t>
      </w:r>
      <w:proofErr w:type="spellStart"/>
      <w:r w:rsidR="00717344">
        <w:t>size</w:t>
      </w:r>
      <w:proofErr w:type="spellEnd"/>
      <w:r w:rsidR="00717344">
        <w:t>” não deve ser p</w:t>
      </w:r>
      <w:r>
        <w:t>reenchido, pois é exatamente este número</w:t>
      </w:r>
      <w:r w:rsidR="00717344">
        <w:t xml:space="preserve"> que vamos calcular</w:t>
      </w:r>
      <w:r>
        <w:t xml:space="preserve"> em nosso exemplo</w:t>
      </w:r>
      <w:r w:rsidR="00717344">
        <w:t>.</w:t>
      </w:r>
    </w:p>
    <w:p w:rsidR="00717344" w:rsidRDefault="00DC3B6D" w:rsidP="00B8182C">
      <w:pPr>
        <w:spacing w:after="120"/>
        <w:ind w:firstLine="720"/>
        <w:jc w:val="both"/>
      </w:pPr>
      <w:r>
        <w:t>5</w:t>
      </w:r>
      <w:r w:rsidR="00717344">
        <w:t>. Nas próximas linhas (“</w:t>
      </w:r>
      <w:proofErr w:type="spellStart"/>
      <w:r w:rsidR="00717344">
        <w:t>Group</w:t>
      </w:r>
      <w:proofErr w:type="spellEnd"/>
      <w:r w:rsidR="00717344">
        <w:t xml:space="preserve"> ‘A’ </w:t>
      </w:r>
      <w:proofErr w:type="spellStart"/>
      <w:r w:rsidR="00717344">
        <w:t>mean</w:t>
      </w:r>
      <w:proofErr w:type="spellEnd"/>
      <w:r w:rsidR="00717344">
        <w:t>” e “</w:t>
      </w:r>
      <w:proofErr w:type="spellStart"/>
      <w:r w:rsidR="00717344">
        <w:t>Group</w:t>
      </w:r>
      <w:proofErr w:type="spellEnd"/>
      <w:r w:rsidR="00717344">
        <w:t xml:space="preserve"> ‘B’ </w:t>
      </w:r>
      <w:proofErr w:type="spellStart"/>
      <w:r w:rsidR="00717344">
        <w:t>mean</w:t>
      </w:r>
      <w:proofErr w:type="spellEnd"/>
      <w:r w:rsidR="00717344">
        <w:t xml:space="preserve">) você deve especificar o tamanho de diferença que pretende detectar, </w:t>
      </w:r>
      <w:r w:rsidR="00AC1C8E">
        <w:t>ao inserir as médias</w:t>
      </w:r>
      <w:r w:rsidR="0068023E">
        <w:t xml:space="preserve"> esperadas para </w:t>
      </w:r>
      <w:r w:rsidR="00AC1C8E">
        <w:t xml:space="preserve">os dois grupos no caso desta diferença existir. </w:t>
      </w:r>
      <w:r w:rsidR="00666495">
        <w:t xml:space="preserve">Por exemplo, se você está desenhando um experimento capaz de detectar uma redução de 50% </w:t>
      </w:r>
      <w:r w:rsidR="0024113D">
        <w:t>em um determinado parâmetro em relação ao grupo controle</w:t>
      </w:r>
      <w:r w:rsidR="00B55734">
        <w:t xml:space="preserve"> (</w:t>
      </w:r>
      <w:r w:rsidR="001207FC">
        <w:t xml:space="preserve">cuja média esperada é de 40 </w:t>
      </w:r>
      <w:proofErr w:type="spellStart"/>
      <w:r w:rsidR="001207FC">
        <w:t>mg</w:t>
      </w:r>
      <w:proofErr w:type="spellEnd"/>
      <w:r w:rsidR="001207FC">
        <w:t>/dl, por exemplo)</w:t>
      </w:r>
      <w:r w:rsidR="00B55734">
        <w:t>, pode ins</w:t>
      </w:r>
      <w:r w:rsidR="001207FC">
        <w:t>erir 40 no grupo A (controle) e 20 no grupo B (tratado). Note que a</w:t>
      </w:r>
      <w:r w:rsidR="00B55734">
        <w:t>s unid</w:t>
      </w:r>
      <w:r w:rsidR="0012360E">
        <w:t>ades nesse caso não importam (</w:t>
      </w:r>
      <w:r w:rsidR="00B55734">
        <w:t>e.</w:t>
      </w:r>
      <w:r w:rsidR="0012360E">
        <w:t>g.</w:t>
      </w:r>
      <w:r w:rsidR="001207FC">
        <w:t xml:space="preserve"> você poderia inserir “100” e “50” se quisesse considerar o valor do controle como 100%)</w:t>
      </w:r>
      <w:r w:rsidR="00780AAF">
        <w:t xml:space="preserve">, </w:t>
      </w:r>
      <w:r w:rsidR="007F159D">
        <w:t xml:space="preserve">mas lembre que </w:t>
      </w:r>
      <w:r w:rsidR="007F159D" w:rsidRPr="00324442">
        <w:rPr>
          <w:i/>
        </w:rPr>
        <w:t xml:space="preserve">o desvio padrão deverá ser </w:t>
      </w:r>
      <w:r w:rsidR="003B509E" w:rsidRPr="00324442">
        <w:rPr>
          <w:i/>
        </w:rPr>
        <w:t xml:space="preserve">inserido </w:t>
      </w:r>
      <w:r w:rsidR="00324442" w:rsidRPr="00324442">
        <w:rPr>
          <w:i/>
        </w:rPr>
        <w:t>na mesma unidade que as médias</w:t>
      </w:r>
      <w:r w:rsidR="00324442">
        <w:t>.</w:t>
      </w:r>
    </w:p>
    <w:p w:rsidR="00001E6C" w:rsidRDefault="00324442" w:rsidP="00B8182C">
      <w:pPr>
        <w:spacing w:after="120"/>
        <w:ind w:firstLine="720"/>
      </w:pPr>
      <w:r>
        <w:t>7. Na linha seguinte</w:t>
      </w:r>
      <w:r w:rsidR="00A57E82">
        <w:t>, você deverá inserir o desvio padrão. No caso do teste t, o mesmo usa um desvio padrão calculado a part</w:t>
      </w:r>
      <w:r w:rsidR="00001E6C">
        <w:t xml:space="preserve">ir dos desvios dos dois grupos (calculado por </w:t>
      </w:r>
      <w:r w:rsidR="00001E6C">
        <w:rPr>
          <w:rFonts w:ascii="Times" w:eastAsia="Times New Roman" w:hAnsi="Times" w:cs="Times New Roman"/>
          <w:noProof/>
          <w:sz w:val="20"/>
          <w:szCs w:val="20"/>
          <w:lang w:eastAsia="pt-BR"/>
        </w:rPr>
        <w:drawing>
          <wp:inline distT="0" distB="0" distL="0" distR="0">
            <wp:extent cx="1319543" cy="222347"/>
            <wp:effectExtent l="0" t="0" r="1270" b="6350"/>
            <wp:docPr id="1" name="Picture 1" descr=" s_{X_1X_2} = \sqrt{(s_{X_1}^2+s_{X_2}^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s_{X_1X_2} = \sqrt{(s_{X_1}^2+s_{X_2}^2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852" cy="2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E6C">
        <w:t xml:space="preserve">). Se você não dispuser de um desvio padrão esperado para o grupo tratado (uma situação comum), utilizar a estimativa de desvio padrão dos controles é uma alternativa razoável, a não ser que seu tratamento </w:t>
      </w:r>
      <w:r w:rsidR="00EC59AE">
        <w:t>aumente de forma</w:t>
      </w:r>
      <w:r w:rsidR="001207FC">
        <w:t xml:space="preserve"> </w:t>
      </w:r>
      <w:r w:rsidR="00EC59AE">
        <w:t xml:space="preserve">significativa a variância </w:t>
      </w:r>
      <w:r w:rsidR="005B13F0">
        <w:t>da variável a ser medida e</w:t>
      </w:r>
      <w:r w:rsidR="00E64E1A">
        <w:t>ntre os indivíduos</w:t>
      </w:r>
      <w:r w:rsidR="005B13F0">
        <w:t xml:space="preserve">. Novamente, lembre que o desvio padrão deve estar na mesma unidade </w:t>
      </w:r>
      <w:r w:rsidR="009B2AEC">
        <w:t xml:space="preserve">que as médias – i.e. </w:t>
      </w:r>
      <w:r w:rsidR="009F28CE">
        <w:t>se você espera uma média de</w:t>
      </w:r>
      <w:r w:rsidR="009B2AEC">
        <w:t xml:space="preserve"> 40 </w:t>
      </w:r>
      <w:proofErr w:type="spellStart"/>
      <w:r w:rsidR="009B2AEC">
        <w:t>mg</w:t>
      </w:r>
      <w:proofErr w:type="spellEnd"/>
      <w:r w:rsidR="009B2AEC">
        <w:t>/dl, um desvio padrão de 10</w:t>
      </w:r>
      <w:r w:rsidR="009F28CE">
        <w:t xml:space="preserve"> </w:t>
      </w:r>
      <w:proofErr w:type="spellStart"/>
      <w:r w:rsidR="009F28CE">
        <w:t>mg</w:t>
      </w:r>
      <w:proofErr w:type="spellEnd"/>
      <w:r w:rsidR="009F28CE">
        <w:t>/dl e quer detectar uma redução de 50%, você pode inserir tudo em unidades brutas (média</w:t>
      </w:r>
      <w:r w:rsidR="004F1D6A">
        <w:t>s de 40 e 20, desvio padrão de 10</w:t>
      </w:r>
      <w:r w:rsidR="009F28CE">
        <w:t>) ou normalizadas (médias de 1</w:t>
      </w:r>
      <w:r w:rsidR="001207FC">
        <w:t xml:space="preserve">00 e </w:t>
      </w:r>
      <w:r w:rsidR="009F28CE">
        <w:t>5</w:t>
      </w:r>
      <w:r w:rsidR="001207FC">
        <w:t xml:space="preserve">0 , desvio padrão de </w:t>
      </w:r>
      <w:r w:rsidR="004F1D6A">
        <w:t>25</w:t>
      </w:r>
      <w:r w:rsidR="009F28CE">
        <w:t>) sem que isso mude o resultado do teste.</w:t>
      </w:r>
    </w:p>
    <w:p w:rsidR="009F28CE" w:rsidRDefault="009F28CE" w:rsidP="00B8182C">
      <w:pPr>
        <w:spacing w:after="120"/>
        <w:ind w:firstLine="720"/>
      </w:pPr>
      <w:r>
        <w:t xml:space="preserve">8. </w:t>
      </w:r>
      <w:r w:rsidR="00B44FE0">
        <w:t>A última linha (</w:t>
      </w:r>
      <w:proofErr w:type="spellStart"/>
      <w:r w:rsidR="00B44FE0" w:rsidRPr="009B2AEC">
        <w:t>sampling</w:t>
      </w:r>
      <w:proofErr w:type="spellEnd"/>
      <w:r w:rsidR="00B44FE0" w:rsidRPr="009B2AEC">
        <w:t xml:space="preserve"> </w:t>
      </w:r>
      <w:proofErr w:type="spellStart"/>
      <w:r w:rsidR="00B44FE0" w:rsidRPr="009B2AEC">
        <w:t>ratio</w:t>
      </w:r>
      <w:proofErr w:type="spellEnd"/>
      <w:r w:rsidR="00B44FE0">
        <w:t xml:space="preserve">) </w:t>
      </w:r>
      <w:r w:rsidR="00FF7E8F">
        <w:t xml:space="preserve">contempla a possibilidade de experimentos com grupos de tamanho diferente. </w:t>
      </w:r>
      <w:r w:rsidR="000F144F">
        <w:t xml:space="preserve">Idealmente, o melhor poder estatístico de um estudo sempre será obtido com grupos experimentais do mesmo tamanho (nesse caso, use 1 neste campo). Entretanto, se por alguma razão isso não for factível, você pode alterar o parâmetro inserindo o valor de </w:t>
      </w:r>
      <w:proofErr w:type="spellStart"/>
      <w:r w:rsidR="000F144F">
        <w:t>kappa</w:t>
      </w:r>
      <w:proofErr w:type="spellEnd"/>
      <w:r w:rsidR="000F144F">
        <w:t xml:space="preserve"> (definido como a razão entre o tamanho amostral dos dois grupos – i.e. n do grupo A/n do grupo B)</w:t>
      </w:r>
      <w:r w:rsidR="00287D9B">
        <w:t>.</w:t>
      </w:r>
      <w:r w:rsidR="009B2AEC">
        <w:t xml:space="preserve"> Neste caso, o resultado dado pelo teste no campo </w:t>
      </w:r>
      <w:proofErr w:type="spellStart"/>
      <w:r w:rsidR="009B2AEC">
        <w:t>sample</w:t>
      </w:r>
      <w:proofErr w:type="spellEnd"/>
      <w:r w:rsidR="009B2AEC">
        <w:t xml:space="preserve"> </w:t>
      </w:r>
      <w:proofErr w:type="spellStart"/>
      <w:r w:rsidR="009B2AEC">
        <w:t>size</w:t>
      </w:r>
      <w:proofErr w:type="spellEnd"/>
      <w:r w:rsidR="009B2AEC">
        <w:t xml:space="preserve"> representará o tamanho amostral necessário para o grupo B, e você deverá calcular o tamanho amostral do grupo A </w:t>
      </w:r>
      <w:proofErr w:type="spellStart"/>
      <w:r w:rsidR="009B2AEC">
        <w:t>a</w:t>
      </w:r>
      <w:proofErr w:type="spellEnd"/>
      <w:r w:rsidR="009B2AEC">
        <w:t xml:space="preserve"> partir desta razão.</w:t>
      </w:r>
    </w:p>
    <w:p w:rsidR="002E63E4" w:rsidRDefault="002E63E4" w:rsidP="00B8182C">
      <w:pPr>
        <w:spacing w:after="120"/>
        <w:ind w:firstLine="720"/>
      </w:pPr>
      <w:r>
        <w:t>9. Depois de preencher todos os itens, clique em “</w:t>
      </w:r>
      <w:proofErr w:type="spellStart"/>
      <w:r>
        <w:t>Calculate</w:t>
      </w:r>
      <w:proofErr w:type="spellEnd"/>
      <w:r>
        <w:t xml:space="preserve">” e veja o </w:t>
      </w:r>
      <w:r w:rsidR="009B2AEC">
        <w:t xml:space="preserve">número </w:t>
      </w:r>
      <w:r>
        <w:t>que aparece no campo “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>”.</w:t>
      </w:r>
    </w:p>
    <w:p w:rsidR="006F5236" w:rsidRDefault="00B8182C" w:rsidP="002E63E4">
      <w:pPr>
        <w:spacing w:after="120"/>
        <w:ind w:firstLine="720"/>
      </w:pPr>
      <w:r>
        <w:t xml:space="preserve">Tomando um exemplo simples, se você tem um experimento planejado para (a) detectar uma redução de 50% em um parâmetro cuja média nos controles é 40 </w:t>
      </w:r>
      <w:proofErr w:type="spellStart"/>
      <w:r>
        <w:t>mg</w:t>
      </w:r>
      <w:proofErr w:type="spellEnd"/>
      <w:r>
        <w:t xml:space="preserve">/dl, (b) </w:t>
      </w:r>
      <w:r w:rsidR="004F1D6A">
        <w:t>com um desvio padrão de 10</w:t>
      </w:r>
      <w:r>
        <w:t xml:space="preserve"> </w:t>
      </w:r>
      <w:proofErr w:type="spellStart"/>
      <w:r>
        <w:t>mg</w:t>
      </w:r>
      <w:proofErr w:type="spellEnd"/>
      <w:r>
        <w:t xml:space="preserve">/dl, (c) com um poder estatístico de 80%, (d) um limiar de significância de p=0.05, (e) com grupos de tamanho igual, seu poder estatístico </w:t>
      </w:r>
      <w:r w:rsidR="004F1D6A">
        <w:t>será de 4 animais por grupo.</w:t>
      </w:r>
      <w:r w:rsidR="006F5236">
        <w:t xml:space="preserve"> </w:t>
      </w:r>
    </w:p>
    <w:p w:rsidR="00287D9B" w:rsidRDefault="006F5236" w:rsidP="002E63E4">
      <w:pPr>
        <w:spacing w:after="120"/>
        <w:ind w:firstLine="720"/>
      </w:pPr>
      <w:r>
        <w:lastRenderedPageBreak/>
        <w:t xml:space="preserve">Note que para detectar uma diferença menor (e.g. uma redução de 25%) com o mesmo poder estatístico, o tamanho amostral será maior (nesse caso, 16). Caso o poder estatístico desejado seja maior (e.g. 90%), o tamanho amostral também aumenta (no caso anterior, de 4 para 6). </w:t>
      </w:r>
    </w:p>
    <w:p w:rsidR="00220FB1" w:rsidRDefault="002E63E4" w:rsidP="002E63E4">
      <w:pPr>
        <w:spacing w:after="120"/>
        <w:ind w:firstLine="720"/>
      </w:pPr>
      <w:r>
        <w:t>Cálculos de outros testes paramétricos</w:t>
      </w:r>
      <w:r w:rsidR="009443ED">
        <w:t xml:space="preserve">, como testes t de 1 amostra, ANOVA de uma via, e comparações entre proporções (e.g. </w:t>
      </w:r>
      <w:proofErr w:type="spellStart"/>
      <w:r w:rsidR="009443ED">
        <w:t>qui-quadrado</w:t>
      </w:r>
      <w:proofErr w:type="spellEnd"/>
      <w:r w:rsidR="009443ED">
        <w:t>)</w:t>
      </w:r>
      <w:r>
        <w:t xml:space="preserve"> também são relativamente simples, e podem ser realizados no próprio site. Cálculos de tamanho amostral para métodos </w:t>
      </w:r>
      <w:proofErr w:type="spellStart"/>
      <w:r>
        <w:t>não-paramétricos</w:t>
      </w:r>
      <w:proofErr w:type="spellEnd"/>
      <w:r>
        <w:t xml:space="preserve"> </w:t>
      </w:r>
      <w:r w:rsidR="009443ED">
        <w:t xml:space="preserve">(como os testes de Mann-Whitney e </w:t>
      </w:r>
      <w:proofErr w:type="spellStart"/>
      <w:r w:rsidR="009443ED">
        <w:t>Kruskal-Wallis</w:t>
      </w:r>
      <w:proofErr w:type="spellEnd"/>
      <w:r w:rsidR="009443ED">
        <w:t xml:space="preserve">) </w:t>
      </w:r>
      <w:r>
        <w:t xml:space="preserve">são mais complexos e geralmente dependem de uma estimativa prévia de distribuição, o que pode ser mais difícil de realizar. Nestes casos, </w:t>
      </w:r>
      <w:r w:rsidR="009443ED">
        <w:t>uma regra simples é calcular o tamanho amostral para uma comparação paramétrica e adicionar 15%, o que representa uma estimativa conservadora do tamanho amostral necessário</w:t>
      </w:r>
      <w:r w:rsidR="00220FB1">
        <w:t>.</w:t>
      </w:r>
    </w:p>
    <w:p w:rsidR="00220FB1" w:rsidRDefault="00220FB1" w:rsidP="002E63E4">
      <w:pPr>
        <w:spacing w:after="120"/>
        <w:ind w:firstLine="720"/>
      </w:pPr>
      <w:r>
        <w:t>Para mais informações, qualquer livro de bioestatística possui uma seção de cálculo de tamanho amostral. Recomendamos ainda</w:t>
      </w:r>
      <w:r w:rsidR="00F624FF">
        <w:t xml:space="preserve"> as seguintes referências</w:t>
      </w:r>
      <w:r>
        <w:t>:</w:t>
      </w:r>
    </w:p>
    <w:p w:rsidR="002E63E4" w:rsidRDefault="00220FB1" w:rsidP="002E63E4">
      <w:pPr>
        <w:spacing w:after="120"/>
        <w:ind w:firstLine="720"/>
      </w:pPr>
      <w:r>
        <w:rPr>
          <w:b/>
        </w:rPr>
        <w:t>XXXXXXXXX</w:t>
      </w:r>
      <w:r w:rsidR="002E63E4">
        <w:t xml:space="preserve"> </w:t>
      </w:r>
    </w:p>
    <w:p w:rsidR="00F624FF" w:rsidRPr="00F624FF" w:rsidRDefault="00F624FF" w:rsidP="002E63E4">
      <w:pPr>
        <w:spacing w:after="120"/>
        <w:ind w:firstLine="720"/>
        <w:rPr>
          <w:b/>
        </w:rPr>
      </w:pPr>
      <w:r>
        <w:rPr>
          <w:b/>
        </w:rPr>
        <w:t>XXXXXXXXX</w:t>
      </w:r>
    </w:p>
    <w:p w:rsidR="00093C13" w:rsidRDefault="00093C13" w:rsidP="00093C13">
      <w:pPr>
        <w:spacing w:after="120"/>
        <w:ind w:firstLine="720"/>
      </w:pPr>
      <w:r>
        <w:t>Atenciosamente,</w:t>
      </w:r>
    </w:p>
    <w:p w:rsidR="00093C13" w:rsidRDefault="00093C13" w:rsidP="00093C13">
      <w:pPr>
        <w:spacing w:after="120"/>
        <w:ind w:firstLine="720"/>
      </w:pPr>
    </w:p>
    <w:p w:rsidR="00093C13" w:rsidRDefault="00093C13" w:rsidP="00093C13">
      <w:pPr>
        <w:spacing w:after="120"/>
        <w:ind w:firstLine="720"/>
      </w:pPr>
      <w:r>
        <w:t>CEUA- CCS</w:t>
      </w:r>
      <w:bookmarkStart w:id="0" w:name="_GoBack"/>
      <w:bookmarkEnd w:id="0"/>
    </w:p>
    <w:p w:rsidR="002E63E4" w:rsidRPr="002E63E4" w:rsidRDefault="002E63E4" w:rsidP="002E63E4">
      <w:pPr>
        <w:spacing w:after="120"/>
      </w:pPr>
    </w:p>
    <w:p w:rsidR="00324442" w:rsidRDefault="00324442" w:rsidP="00B8182C">
      <w:pPr>
        <w:spacing w:after="120"/>
        <w:ind w:firstLine="720"/>
        <w:jc w:val="both"/>
      </w:pPr>
    </w:p>
    <w:p w:rsidR="00717344" w:rsidRDefault="00717344" w:rsidP="00B8182C">
      <w:pPr>
        <w:spacing w:after="120"/>
        <w:ind w:firstLine="720"/>
        <w:jc w:val="both"/>
      </w:pPr>
    </w:p>
    <w:p w:rsidR="00671F31" w:rsidRDefault="00671F31" w:rsidP="00B8182C">
      <w:pPr>
        <w:spacing w:after="120"/>
        <w:ind w:firstLine="720"/>
        <w:jc w:val="both"/>
      </w:pPr>
    </w:p>
    <w:p w:rsidR="00671F31" w:rsidRDefault="00671F31" w:rsidP="00B8182C">
      <w:pPr>
        <w:spacing w:after="120"/>
        <w:ind w:firstLine="720"/>
        <w:jc w:val="both"/>
      </w:pPr>
    </w:p>
    <w:p w:rsidR="001D2AB5" w:rsidRDefault="001D2AB5" w:rsidP="00B8182C">
      <w:pPr>
        <w:spacing w:after="120"/>
        <w:ind w:firstLine="720"/>
        <w:jc w:val="both"/>
      </w:pPr>
    </w:p>
    <w:p w:rsidR="0064381C" w:rsidRDefault="0064381C" w:rsidP="00B8182C">
      <w:pPr>
        <w:spacing w:after="120"/>
      </w:pPr>
    </w:p>
    <w:sectPr w:rsidR="0064381C" w:rsidSect="000F45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>
    <w:useFELayout/>
  </w:compat>
  <w:rsids>
    <w:rsidRoot w:val="00734B77"/>
    <w:rsid w:val="00001E6C"/>
    <w:rsid w:val="0005319B"/>
    <w:rsid w:val="00093C13"/>
    <w:rsid w:val="000F144F"/>
    <w:rsid w:val="000F4552"/>
    <w:rsid w:val="001207FC"/>
    <w:rsid w:val="0012360E"/>
    <w:rsid w:val="001B4FCD"/>
    <w:rsid w:val="001D2AB5"/>
    <w:rsid w:val="001D65D8"/>
    <w:rsid w:val="00220FB1"/>
    <w:rsid w:val="0024113D"/>
    <w:rsid w:val="00287D9B"/>
    <w:rsid w:val="002E63E4"/>
    <w:rsid w:val="00314691"/>
    <w:rsid w:val="00324442"/>
    <w:rsid w:val="003B509E"/>
    <w:rsid w:val="004F1D6A"/>
    <w:rsid w:val="0059701C"/>
    <w:rsid w:val="005B13F0"/>
    <w:rsid w:val="0064381C"/>
    <w:rsid w:val="00666495"/>
    <w:rsid w:val="00671F31"/>
    <w:rsid w:val="0068023E"/>
    <w:rsid w:val="006A7C14"/>
    <w:rsid w:val="006F5236"/>
    <w:rsid w:val="00717344"/>
    <w:rsid w:val="00734B77"/>
    <w:rsid w:val="00780AAF"/>
    <w:rsid w:val="007B3794"/>
    <w:rsid w:val="007F159D"/>
    <w:rsid w:val="00867AEF"/>
    <w:rsid w:val="009443ED"/>
    <w:rsid w:val="009B2AEC"/>
    <w:rsid w:val="009D75A3"/>
    <w:rsid w:val="009E3C0C"/>
    <w:rsid w:val="009F28CE"/>
    <w:rsid w:val="00A57E82"/>
    <w:rsid w:val="00AC1C8E"/>
    <w:rsid w:val="00B44FE0"/>
    <w:rsid w:val="00B55734"/>
    <w:rsid w:val="00B8182C"/>
    <w:rsid w:val="00BA509E"/>
    <w:rsid w:val="00DC3B6D"/>
    <w:rsid w:val="00E64E1A"/>
    <w:rsid w:val="00EC59AE"/>
    <w:rsid w:val="00F624FF"/>
    <w:rsid w:val="00FF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91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AB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E6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E6C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A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E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E6C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andsamplesize.com/Calculators/Compare-2-Means/2-Sample-Equal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werandsamplesize.com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power.hhu.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t.ubc.ca/~rollin/stats/ssiz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owerandsamplesize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6070</Characters>
  <Application>Microsoft Office Word</Application>
  <DocSecurity>0</DocSecurity>
  <Lines>50</Lines>
  <Paragraphs>14</Paragraphs>
  <ScaleCrop>false</ScaleCrop>
  <Company>Microsoft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Olavo Bohrer Amaral</dc:creator>
  <cp:lastModifiedBy>Decania Proj</cp:lastModifiedBy>
  <cp:revision>2</cp:revision>
  <dcterms:created xsi:type="dcterms:W3CDTF">2015-06-18T12:47:00Z</dcterms:created>
  <dcterms:modified xsi:type="dcterms:W3CDTF">2015-06-18T12:47:00Z</dcterms:modified>
</cp:coreProperties>
</file>