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before="0"/>
      </w:pPr>
      <w:r>
        <w:rPr>
          <w:b w:val="0"/>
          <w:i w:val="0"/>
          <w:color w:val="212529"/>
          <w:sz w:val="21"/>
        </w:rPr>
      </w:r>
    </w:p>
    <w:p>
      <w:pPr>
        <w:spacing w:after="80" w:before="0"/>
        <w:jc w:val="center"/>
      </w:pPr>
      <w:r>
        <w:rPr>
          <w:b/>
          <w:i w:val="0"/>
          <w:color w:val="1F4E79"/>
          <w:sz w:val="60"/>
        </w:rPr>
        <w:t>Retail Sales Data Analysis</w:t>
      </w:r>
    </w:p>
    <w:p>
      <w:pPr>
        <w:spacing w:after="520" w:before="0"/>
        <w:jc w:val="center"/>
      </w:pPr>
      <w:r>
        <w:rPr>
          <w:b w:val="0"/>
          <w:i w:val="0"/>
          <w:color w:val="5C6670"/>
          <w:sz w:val="30"/>
        </w:rPr>
        <w:t>From Raw Data to Business Insight</w:t>
      </w:r>
    </w:p>
    <w:p>
      <w:pPr>
        <w:spacing w:after="800" w:before="0"/>
        <w:jc w:val="center"/>
      </w:pPr>
      <w:r>
        <w:rPr>
          <w:b/>
          <w:i w:val="0"/>
          <w:color w:val="212529"/>
          <w:sz w:val="26"/>
        </w:rPr>
        <w:t>Final Internship Project Report</w:t>
      </w:r>
    </w:p>
    <w:tbl>
      <w:tblPr>
        <w:tblStyle w:val="TableGrid"/>
        <w:tblW w:type="auto" w:w="0"/>
        <w:jc w:val="center"/>
        <w:tblLayout w:type="fixed"/>
        <w:tblLook w:firstColumn="1" w:firstRow="1" w:lastColumn="0" w:lastRow="0" w:noHBand="0" w:noVBand="1" w:val="04A0"/>
      </w:tblPr>
      <w:tblGrid>
        <w:gridCol w:w="4824"/>
        <w:gridCol w:w="4824"/>
      </w:tblGrid>
      <w:tr>
        <w:tc>
          <w:tcPr>
            <w:tcW w:type="dxa" w:w="2448"/>
            <w:shd w:val="clear" w:fill="1F4E79"/>
          </w:tcPr>
          <w:p>
            <w:pPr>
              <w:spacing w:after="20" w:before="20"/>
            </w:pPr>
            <w:r/>
            <w:r>
              <w:rPr>
                <w:b/>
                <w:color w:val="FFFFFF"/>
                <w:sz w:val="19"/>
              </w:rPr>
              <w:t>Item</w:t>
            </w:r>
          </w:p>
        </w:tc>
        <w:tc>
          <w:tcPr>
            <w:tcW w:type="dxa" w:w="7200"/>
            <w:shd w:val="clear" w:fill="1F4E79"/>
          </w:tcPr>
          <w:p>
            <w:pPr>
              <w:spacing w:after="20" w:before="20"/>
            </w:pPr>
            <w:r/>
            <w:r>
              <w:rPr>
                <w:b/>
                <w:color w:val="FFFFFF"/>
                <w:sz w:val="19"/>
              </w:rPr>
              <w:t>Detail</w:t>
            </w:r>
          </w:p>
        </w:tc>
      </w:tr>
      <w:tr>
        <w:tc>
          <w:tcPr>
            <w:tcW w:type="dxa" w:w="2448"/>
          </w:tcPr>
          <w:p>
            <w:pPr>
              <w:spacing w:after="20" w:before="20"/>
            </w:pPr>
            <w:r/>
            <w:r>
              <w:rPr>
                <w:color w:val="212529"/>
                <w:sz w:val="19"/>
              </w:rPr>
              <w:t>Project</w:t>
            </w:r>
          </w:p>
        </w:tc>
        <w:tc>
          <w:tcPr>
            <w:tcW w:type="dxa" w:w="7200"/>
          </w:tcPr>
          <w:p>
            <w:pPr>
              <w:spacing w:after="20" w:before="20"/>
            </w:pPr>
            <w:r/>
            <w:r>
              <w:rPr>
                <w:color w:val="212529"/>
                <w:sz w:val="19"/>
              </w:rPr>
              <w:t>Data analysis of the Swynex retail orders dataset</w:t>
            </w:r>
          </w:p>
        </w:tc>
      </w:tr>
      <w:tr>
        <w:tc>
          <w:tcPr>
            <w:tcW w:type="dxa" w:w="2448"/>
            <w:shd w:val="clear" w:fill="EEF3F8"/>
          </w:tcPr>
          <w:p>
            <w:pPr>
              <w:spacing w:after="20" w:before="20"/>
            </w:pPr>
            <w:r/>
            <w:r>
              <w:rPr>
                <w:color w:val="212529"/>
                <w:sz w:val="19"/>
              </w:rPr>
              <w:t>Scope</w:t>
            </w:r>
          </w:p>
        </w:tc>
        <w:tc>
          <w:tcPr>
            <w:tcW w:type="dxa" w:w="7200"/>
            <w:shd w:val="clear" w:fill="EEF3F8"/>
          </w:tcPr>
          <w:p>
            <w:pPr>
              <w:spacing w:after="20" w:before="20"/>
            </w:pPr>
            <w:r/>
            <w:r>
              <w:rPr>
                <w:color w:val="212529"/>
                <w:sz w:val="19"/>
              </w:rPr>
              <w:t>Data acquisition, cleaning, analysis, interactive dashboard and business insight</w:t>
            </w:r>
          </w:p>
        </w:tc>
      </w:tr>
      <w:tr>
        <w:tc>
          <w:tcPr>
            <w:tcW w:type="dxa" w:w="2448"/>
          </w:tcPr>
          <w:p>
            <w:pPr>
              <w:spacing w:after="20" w:before="20"/>
            </w:pPr>
            <w:r/>
            <w:r>
              <w:rPr>
                <w:color w:val="212529"/>
                <w:sz w:val="19"/>
              </w:rPr>
              <w:t>Dataset</w:t>
            </w:r>
          </w:p>
        </w:tc>
        <w:tc>
          <w:tcPr>
            <w:tcW w:type="dxa" w:w="7200"/>
          </w:tcPr>
          <w:p>
            <w:pPr>
              <w:spacing w:after="20" w:before="20"/>
            </w:pPr>
            <w:r/>
            <w:r>
              <w:rPr>
                <w:color w:val="212529"/>
                <w:sz w:val="19"/>
              </w:rPr>
              <w:t>626 retail orders, 12 fields, 11 Jan 2024 to 09 Dec 2026</w:t>
            </w:r>
          </w:p>
        </w:tc>
      </w:tr>
      <w:tr>
        <w:tc>
          <w:tcPr>
            <w:tcW w:type="dxa" w:w="2448"/>
            <w:shd w:val="clear" w:fill="EEF3F8"/>
          </w:tcPr>
          <w:p>
            <w:pPr>
              <w:spacing w:after="20" w:before="20"/>
            </w:pPr>
            <w:r/>
            <w:r>
              <w:rPr>
                <w:color w:val="212529"/>
                <w:sz w:val="19"/>
              </w:rPr>
              <w:t>Prepared by</w:t>
            </w:r>
          </w:p>
        </w:tc>
        <w:tc>
          <w:tcPr>
            <w:tcW w:type="dxa" w:w="7200"/>
            <w:shd w:val="clear" w:fill="EEF3F8"/>
          </w:tcPr>
          <w:p>
            <w:pPr>
              <w:spacing w:after="20" w:before="20"/>
            </w:pPr>
            <w:r/>
            <w:r>
              <w:rPr>
                <w:color w:val="212529"/>
                <w:sz w:val="19"/>
              </w:rPr>
              <w:t>[Intern name]</w:t>
            </w:r>
          </w:p>
        </w:tc>
      </w:tr>
      <w:tr>
        <w:tc>
          <w:tcPr>
            <w:tcW w:type="dxa" w:w="2448"/>
          </w:tcPr>
          <w:p>
            <w:pPr>
              <w:spacing w:after="20" w:before="20"/>
            </w:pPr>
            <w:r/>
            <w:r>
              <w:rPr>
                <w:color w:val="212529"/>
                <w:sz w:val="19"/>
              </w:rPr>
              <w:t>Organisation</w:t>
            </w:r>
          </w:p>
        </w:tc>
        <w:tc>
          <w:tcPr>
            <w:tcW w:type="dxa" w:w="7200"/>
          </w:tcPr>
          <w:p>
            <w:pPr>
              <w:spacing w:after="20" w:before="20"/>
            </w:pPr>
            <w:r/>
            <w:r>
              <w:rPr>
                <w:color w:val="212529"/>
                <w:sz w:val="19"/>
              </w:rPr>
              <w:t>Swynex</w:t>
            </w:r>
          </w:p>
        </w:tc>
      </w:tr>
      <w:tr>
        <w:tc>
          <w:tcPr>
            <w:tcW w:type="dxa" w:w="2448"/>
            <w:shd w:val="clear" w:fill="EEF3F8"/>
          </w:tcPr>
          <w:p>
            <w:pPr>
              <w:spacing w:after="20" w:before="20"/>
            </w:pPr>
            <w:r/>
            <w:r>
              <w:rPr>
                <w:color w:val="212529"/>
                <w:sz w:val="19"/>
              </w:rPr>
              <w:t>Date</w:t>
            </w:r>
          </w:p>
        </w:tc>
        <w:tc>
          <w:tcPr>
            <w:tcW w:type="dxa" w:w="7200"/>
            <w:shd w:val="clear" w:fill="EEF3F8"/>
          </w:tcPr>
          <w:p>
            <w:pPr>
              <w:spacing w:after="20" w:before="20"/>
            </w:pPr>
            <w:r/>
            <w:r>
              <w:rPr>
                <w:color w:val="212529"/>
                <w:sz w:val="19"/>
              </w:rPr>
              <w:t>15 October 2026</w:t>
            </w:r>
          </w:p>
        </w:tc>
      </w:tr>
      <w:tr>
        <w:tc>
          <w:tcPr>
            <w:tcW w:type="dxa" w:w="2448"/>
          </w:tcPr>
          <w:p>
            <w:pPr>
              <w:spacing w:after="20" w:before="20"/>
            </w:pPr>
            <w:r/>
            <w:r>
              <w:rPr>
                <w:color w:val="212529"/>
                <w:sz w:val="19"/>
              </w:rPr>
              <w:t>Status</w:t>
            </w:r>
          </w:p>
        </w:tc>
        <w:tc>
          <w:tcPr>
            <w:tcW w:type="dxa" w:w="7200"/>
          </w:tcPr>
          <w:p>
            <w:pPr>
              <w:spacing w:after="20" w:before="20"/>
            </w:pPr>
            <w:r/>
            <w:r>
              <w:rPr>
                <w:color w:val="212529"/>
                <w:sz w:val="19"/>
              </w:rPr>
              <w:t>Final submission - supersedes the Task 1-3 working files</w:t>
            </w:r>
          </w:p>
        </w:tc>
      </w:tr>
    </w:tbl>
    <w:p>
      <w:pPr>
        <w:spacing w:after="600" w:before="0"/>
      </w:pPr>
      <w:r>
        <w:rPr>
          <w:b w:val="0"/>
          <w:i w:val="0"/>
          <w:color w:val="212529"/>
          <w:sz w:val="21"/>
        </w:rPr>
      </w:r>
    </w:p>
    <w:p>
      <w:pPr>
        <w:spacing w:after="140" w:before="0"/>
        <w:jc w:val="center"/>
      </w:pPr>
      <w:r>
        <w:rPr>
          <w:b w:val="0"/>
          <w:i/>
          <w:color w:val="5C6670"/>
          <w:sz w:val="19"/>
        </w:rPr>
        <w:t>This report consolidates the four project tasks: sourcing and cleaning the dataset, analysing it, building an interactive dashboard, and drawing out the business insights. It also corrects two measurement defects carried through the earlier tasks.</w:t>
      </w:r>
    </w:p>
    <w:p>
      <w:r>
        <w:br w:type="page"/>
      </w:r>
    </w:p>
    <w:p>
      <w:pPr>
        <w:pStyle w:val="Heading1"/>
      </w:pPr>
      <w:r>
        <w:t>Contents</w:t>
      </w:r>
    </w:p>
    <w:p>
      <w:pPr>
        <w:spacing w:after="60"/>
      </w:pPr>
      <w:r>
        <w:rPr>
          <w:color w:val="212529"/>
          <w:sz w:val="21"/>
        </w:rPr>
        <w:t>1.</w:t>
        <w:tab/>
        <w:t>Executive Summary</w:t>
      </w:r>
    </w:p>
    <w:p>
      <w:pPr>
        <w:spacing w:after="60"/>
      </w:pPr>
      <w:r>
        <w:rPr>
          <w:color w:val="212529"/>
          <w:sz w:val="21"/>
        </w:rPr>
        <w:t>2.</w:t>
        <w:tab/>
        <w:t>Problem Statement</w:t>
      </w:r>
    </w:p>
    <w:p>
      <w:pPr>
        <w:spacing w:after="60"/>
      </w:pPr>
      <w:r>
        <w:rPr>
          <w:color w:val="212529"/>
          <w:sz w:val="21"/>
        </w:rPr>
        <w:t>3.</w:t>
        <w:tab/>
        <w:t>Dataset Information</w:t>
      </w:r>
    </w:p>
    <w:p>
      <w:pPr>
        <w:spacing w:after="60"/>
      </w:pPr>
      <w:r>
        <w:rPr>
          <w:color w:val="212529"/>
          <w:sz w:val="21"/>
        </w:rPr>
        <w:t>4.</w:t>
        <w:tab/>
        <w:t>Data Cleaning Process</w:t>
      </w:r>
    </w:p>
    <w:p>
      <w:pPr>
        <w:spacing w:after="60"/>
      </w:pPr>
      <w:r>
        <w:rPr>
          <w:color w:val="212529"/>
          <w:sz w:val="21"/>
        </w:rPr>
        <w:t>5.</w:t>
        <w:tab/>
        <w:t>Analysis and Findings</w:t>
      </w:r>
    </w:p>
    <w:p>
      <w:pPr>
        <w:spacing w:after="60"/>
      </w:pPr>
      <w:r>
        <w:rPr>
          <w:color w:val="212529"/>
          <w:sz w:val="21"/>
        </w:rPr>
        <w:t>6.</w:t>
        <w:tab/>
        <w:t>Interactive Dashboard</w:t>
      </w:r>
    </w:p>
    <w:p>
      <w:pPr>
        <w:spacing w:after="60"/>
      </w:pPr>
      <w:r>
        <w:rPr>
          <w:color w:val="212529"/>
          <w:sz w:val="21"/>
        </w:rPr>
        <w:t>7.</w:t>
        <w:tab/>
        <w:t>Key Business Insights</w:t>
      </w:r>
    </w:p>
    <w:p>
      <w:pPr>
        <w:spacing w:after="60"/>
      </w:pPr>
      <w:r>
        <w:rPr>
          <w:color w:val="212529"/>
          <w:sz w:val="21"/>
        </w:rPr>
        <w:t>8.</w:t>
        <w:tab/>
        <w:t>Recommendations</w:t>
      </w:r>
    </w:p>
    <w:p>
      <w:pPr>
        <w:spacing w:after="60"/>
      </w:pPr>
      <w:r>
        <w:rPr>
          <w:color w:val="212529"/>
          <w:sz w:val="21"/>
        </w:rPr>
        <w:t>9.</w:t>
        <w:tab/>
        <w:t>Limitations and Caveats</w:t>
      </w:r>
    </w:p>
    <w:p>
      <w:pPr>
        <w:spacing w:after="60"/>
      </w:pPr>
      <w:r>
        <w:rPr>
          <w:color w:val="212529"/>
          <w:sz w:val="21"/>
        </w:rPr>
        <w:t>10.</w:t>
        <w:tab/>
        <w:t>Conclusion</w:t>
      </w:r>
    </w:p>
    <w:p>
      <w:pPr>
        <w:spacing w:after="60"/>
      </w:pPr>
      <w:r>
        <w:rPr>
          <w:color w:val="212529"/>
          <w:sz w:val="21"/>
        </w:rPr>
        <w:t>A.</w:t>
        <w:tab/>
        <w:t>Appendix - Cleaning Log and Raw Data Audit</w:t>
      </w:r>
    </w:p>
    <w:p>
      <w:r>
        <w:br w:type="page"/>
      </w:r>
    </w:p>
    <w:p>
      <w:pPr>
        <w:pStyle w:val="Heading1"/>
      </w:pPr>
      <w:r>
        <w:t>1. Executive Summary</w:t>
      </w:r>
    </w:p>
    <w:p>
      <w:pPr>
        <w:spacing w:after="140" w:before="0"/>
      </w:pPr>
      <w:r>
        <w:rPr>
          <w:b w:val="0"/>
          <w:i w:val="0"/>
          <w:color w:val="212529"/>
          <w:sz w:val="21"/>
        </w:rPr>
        <w:t>This project analyses 626 retail orders placed between 11 Jan 2024 and 09 Dec 2026, worth 365,723.12 in gross revenue. The work covers the full chain required of the internship: sourcing and cleaning the raw extract, analysing it, building an interactive dashboard, and translating the result into decisions. The cleaned dataset and every figure in this report are reproducible from the accompanying scripts.</w:t>
      </w:r>
    </w:p>
    <w:tbl>
      <w:tblPr>
        <w:tblStyle w:val="TableGrid"/>
        <w:tblW w:type="auto" w:w="0"/>
        <w:jc w:val="center"/>
        <w:tblLayout w:type="fixed"/>
        <w:tblLook w:firstColumn="1" w:firstRow="1" w:lastColumn="0" w:lastRow="0" w:noHBand="0" w:noVBand="1" w:val="04A0"/>
      </w:tblPr>
      <w:tblGrid>
        <w:gridCol w:w="4824"/>
        <w:gridCol w:w="4824"/>
      </w:tblGrid>
      <w:tr>
        <w:tc>
          <w:tcPr>
            <w:tcW w:type="dxa" w:w="4608"/>
            <w:shd w:val="clear" w:fill="1F4E79"/>
          </w:tcPr>
          <w:p>
            <w:pPr>
              <w:spacing w:after="20" w:before="20"/>
            </w:pPr>
            <w:r/>
            <w:r>
              <w:rPr>
                <w:b/>
                <w:color w:val="FFFFFF"/>
                <w:sz w:val="19"/>
              </w:rPr>
              <w:t>Headline metric</w:t>
            </w:r>
          </w:p>
        </w:tc>
        <w:tc>
          <w:tcPr>
            <w:tcW w:type="dxa" w:w="5040"/>
            <w:shd w:val="clear" w:fill="1F4E79"/>
          </w:tcPr>
          <w:p>
            <w:pPr>
              <w:spacing w:after="20" w:before="20"/>
            </w:pPr>
            <w:r/>
            <w:r>
              <w:rPr>
                <w:b/>
                <w:color w:val="FFFFFF"/>
                <w:sz w:val="19"/>
              </w:rPr>
              <w:t>Value</w:t>
            </w:r>
          </w:p>
        </w:tc>
      </w:tr>
      <w:tr>
        <w:tc>
          <w:tcPr>
            <w:tcW w:type="dxa" w:w="4608"/>
          </w:tcPr>
          <w:p>
            <w:pPr>
              <w:spacing w:after="20" w:before="20"/>
            </w:pPr>
            <w:r/>
            <w:r>
              <w:rPr>
                <w:color w:val="212529"/>
                <w:sz w:val="19"/>
              </w:rPr>
              <w:t>Total revenue</w:t>
            </w:r>
          </w:p>
        </w:tc>
        <w:tc>
          <w:tcPr>
            <w:tcW w:type="dxa" w:w="5040"/>
          </w:tcPr>
          <w:p>
            <w:pPr>
              <w:spacing w:after="20" w:before="20"/>
              <w:jc w:val="right"/>
            </w:pPr>
            <w:r/>
            <w:r>
              <w:rPr>
                <w:color w:val="212529"/>
                <w:sz w:val="19"/>
              </w:rPr>
              <w:t>365,723.12</w:t>
            </w:r>
          </w:p>
        </w:tc>
      </w:tr>
      <w:tr>
        <w:tc>
          <w:tcPr>
            <w:tcW w:type="dxa" w:w="4608"/>
            <w:shd w:val="clear" w:fill="EEF3F8"/>
          </w:tcPr>
          <w:p>
            <w:pPr>
              <w:spacing w:after="20" w:before="20"/>
            </w:pPr>
            <w:r/>
            <w:r>
              <w:rPr>
                <w:color w:val="212529"/>
                <w:sz w:val="19"/>
              </w:rPr>
              <w:t>Total orders</w:t>
            </w:r>
          </w:p>
        </w:tc>
        <w:tc>
          <w:tcPr>
            <w:tcW w:type="dxa" w:w="5040"/>
            <w:shd w:val="clear" w:fill="EEF3F8"/>
          </w:tcPr>
          <w:p>
            <w:pPr>
              <w:spacing w:after="20" w:before="20"/>
              <w:jc w:val="right"/>
            </w:pPr>
            <w:r/>
            <w:r>
              <w:rPr>
                <w:color w:val="212529"/>
                <w:sz w:val="19"/>
              </w:rPr>
              <w:t>626</w:t>
            </w:r>
          </w:p>
        </w:tc>
      </w:tr>
      <w:tr>
        <w:tc>
          <w:tcPr>
            <w:tcW w:type="dxa" w:w="4608"/>
          </w:tcPr>
          <w:p>
            <w:pPr>
              <w:spacing w:after="20" w:before="20"/>
            </w:pPr>
            <w:r/>
            <w:r>
              <w:rPr>
                <w:color w:val="212529"/>
                <w:sz w:val="19"/>
              </w:rPr>
              <w:t>Units sold</w:t>
            </w:r>
          </w:p>
        </w:tc>
        <w:tc>
          <w:tcPr>
            <w:tcW w:type="dxa" w:w="5040"/>
          </w:tcPr>
          <w:p>
            <w:pPr>
              <w:spacing w:after="20" w:before="20"/>
              <w:jc w:val="right"/>
            </w:pPr>
            <w:r/>
            <w:r>
              <w:rPr>
                <w:color w:val="212529"/>
                <w:sz w:val="19"/>
              </w:rPr>
              <w:t>2,837</w:t>
            </w:r>
          </w:p>
        </w:tc>
      </w:tr>
      <w:tr>
        <w:tc>
          <w:tcPr>
            <w:tcW w:type="dxa" w:w="4608"/>
            <w:shd w:val="clear" w:fill="EEF3F8"/>
          </w:tcPr>
          <w:p>
            <w:pPr>
              <w:spacing w:after="20" w:before="20"/>
            </w:pPr>
            <w:r/>
            <w:r>
              <w:rPr>
                <w:color w:val="212529"/>
                <w:sz w:val="19"/>
              </w:rPr>
              <w:t>Average order value</w:t>
            </w:r>
          </w:p>
        </w:tc>
        <w:tc>
          <w:tcPr>
            <w:tcW w:type="dxa" w:w="5040"/>
            <w:shd w:val="clear" w:fill="EEF3F8"/>
          </w:tcPr>
          <w:p>
            <w:pPr>
              <w:spacing w:after="20" w:before="20"/>
              <w:jc w:val="right"/>
            </w:pPr>
            <w:r/>
            <w:r>
              <w:rPr>
                <w:color w:val="212529"/>
                <w:sz w:val="19"/>
              </w:rPr>
              <w:t>584.22</w:t>
            </w:r>
          </w:p>
        </w:tc>
      </w:tr>
      <w:tr>
        <w:tc>
          <w:tcPr>
            <w:tcW w:type="dxa" w:w="4608"/>
          </w:tcPr>
          <w:p>
            <w:pPr>
              <w:spacing w:after="20" w:before="20"/>
            </w:pPr>
            <w:r/>
            <w:r>
              <w:rPr>
                <w:color w:val="212529"/>
                <w:sz w:val="19"/>
              </w:rPr>
              <w:t>Unique customers (by email)</w:t>
            </w:r>
          </w:p>
        </w:tc>
        <w:tc>
          <w:tcPr>
            <w:tcW w:type="dxa" w:w="5040"/>
          </w:tcPr>
          <w:p>
            <w:pPr>
              <w:spacing w:after="20" w:before="20"/>
              <w:jc w:val="right"/>
            </w:pPr>
            <w:r/>
            <w:r>
              <w:rPr>
                <w:color w:val="212529"/>
                <w:sz w:val="19"/>
              </w:rPr>
              <w:t>577</w:t>
            </w:r>
          </w:p>
        </w:tc>
      </w:tr>
      <w:tr>
        <w:tc>
          <w:tcPr>
            <w:tcW w:type="dxa" w:w="4608"/>
            <w:shd w:val="clear" w:fill="EEF3F8"/>
          </w:tcPr>
          <w:p>
            <w:pPr>
              <w:spacing w:after="20" w:before="20"/>
            </w:pPr>
            <w:r/>
            <w:r>
              <w:rPr>
                <w:color w:val="212529"/>
                <w:sz w:val="19"/>
              </w:rPr>
              <w:t>Distinct products / categories</w:t>
            </w:r>
          </w:p>
        </w:tc>
        <w:tc>
          <w:tcPr>
            <w:tcW w:type="dxa" w:w="5040"/>
            <w:shd w:val="clear" w:fill="EEF3F8"/>
          </w:tcPr>
          <w:p>
            <w:pPr>
              <w:spacing w:after="20" w:before="20"/>
              <w:jc w:val="right"/>
            </w:pPr>
            <w:r/>
            <w:r>
              <w:rPr>
                <w:color w:val="212529"/>
                <w:sz w:val="19"/>
              </w:rPr>
              <w:t>25 / 5</w:t>
            </w:r>
          </w:p>
        </w:tc>
      </w:tr>
      <w:tr>
        <w:tc>
          <w:tcPr>
            <w:tcW w:type="dxa" w:w="4608"/>
          </w:tcPr>
          <w:p>
            <w:pPr>
              <w:spacing w:after="20" w:before="20"/>
            </w:pPr>
            <w:r/>
            <w:r>
              <w:rPr>
                <w:color w:val="212529"/>
                <w:sz w:val="19"/>
              </w:rPr>
              <w:t>Order period</w:t>
            </w:r>
          </w:p>
        </w:tc>
        <w:tc>
          <w:tcPr>
            <w:tcW w:type="dxa" w:w="5040"/>
          </w:tcPr>
          <w:p>
            <w:pPr>
              <w:spacing w:after="20" w:before="20"/>
              <w:jc w:val="right"/>
            </w:pPr>
            <w:r/>
            <w:r>
              <w:rPr>
                <w:color w:val="212529"/>
                <w:sz w:val="19"/>
              </w:rPr>
              <w:t>11 Jan 2024 to 09 Dec 2026</w:t>
            </w:r>
          </w:p>
        </w:tc>
      </w:tr>
      <w:tr>
        <w:tc>
          <w:tcPr>
            <w:tcW w:type="dxa" w:w="4608"/>
            <w:shd w:val="clear" w:fill="EEF3F8"/>
          </w:tcPr>
          <w:p>
            <w:pPr>
              <w:spacing w:after="20" w:before="20"/>
            </w:pPr>
            <w:r/>
            <w:r>
              <w:rPr>
                <w:color w:val="212529"/>
                <w:sz w:val="19"/>
              </w:rPr>
              <w:t>Complete data rows</w:t>
            </w:r>
          </w:p>
        </w:tc>
        <w:tc>
          <w:tcPr>
            <w:tcW w:type="dxa" w:w="5040"/>
            <w:shd w:val="clear" w:fill="EEF3F8"/>
          </w:tcPr>
          <w:p>
            <w:pPr>
              <w:spacing w:after="20" w:before="20"/>
              <w:jc w:val="right"/>
            </w:pPr>
            <w:r/>
            <w:r>
              <w:rPr>
                <w:color w:val="212529"/>
                <w:sz w:val="19"/>
              </w:rPr>
              <w:t>523 of 626 (83.5%)</w:t>
            </w:r>
          </w:p>
        </w:tc>
      </w:tr>
    </w:tbl>
    <w:p>
      <w:pPr>
        <w:spacing w:before="60" w:after="200"/>
      </w:pPr>
      <w:r>
        <w:rPr>
          <w:i/>
          <w:color w:val="5C6670"/>
          <w:sz w:val="17"/>
        </w:rPr>
        <w:t>Table 1: Headline metrics from the cleaned dataset.</w:t>
      </w:r>
    </w:p>
    <w:p>
      <w:pPr>
        <w:pStyle w:val="Heading2"/>
      </w:pPr>
      <w:r>
        <w:t>What the analysis found</w:t>
      </w:r>
    </w:p>
    <w:p>
      <w:pPr>
        <w:pStyle w:val="ListBullet"/>
        <w:spacing w:after="80"/>
      </w:pPr>
      <w:r>
        <w:rPr>
          <w:b/>
          <w:color w:val="212529"/>
          <w:sz w:val="21"/>
        </w:rPr>
        <w:t xml:space="preserve">A broadly balanced portfolio. </w:t>
      </w:r>
      <w:r>
        <w:rPr>
          <w:color w:val="212529"/>
          <w:sz w:val="21"/>
        </w:rPr>
        <w:t>Revenue is spread evenly across five markets and five categories. Australia leads with 78,633.63 (21.5%), but no market holds more than a fifth of the business.</w:t>
      </w:r>
    </w:p>
    <w:p>
      <w:pPr>
        <w:pStyle w:val="ListBullet"/>
        <w:spacing w:after="80"/>
      </w:pPr>
      <w:r>
        <w:rPr>
          <w:b/>
          <w:color w:val="212529"/>
          <w:sz w:val="21"/>
        </w:rPr>
        <w:t xml:space="preserve">Trading is stable, not collapsing. </w:t>
      </w:r>
      <w:r>
        <w:rPr>
          <w:color w:val="212529"/>
          <w:sz w:val="21"/>
        </w:rPr>
        <w:t>On a like-for-like January to August basis, 2026 revenue is -0.3% against 2025, with average order value +2.3%. The business is flat, not declining.</w:t>
      </w:r>
    </w:p>
    <w:p>
      <w:pPr>
        <w:pStyle w:val="ListBullet"/>
        <w:spacing w:after="80"/>
      </w:pPr>
      <w:r>
        <w:rPr>
          <w:b/>
          <w:color w:val="212529"/>
          <w:sz w:val="21"/>
        </w:rPr>
        <w:t xml:space="preserve">Zero customer retention. </w:t>
      </w:r>
      <w:r>
        <w:rPr>
          <w:color w:val="212529"/>
          <w:sz w:val="21"/>
        </w:rPr>
        <w:t>577 unique customers placed 626 orders: nobody ordered twice. There is no repeat-revenue base at all.</w:t>
      </w:r>
    </w:p>
    <w:p>
      <w:pPr>
        <w:pStyle w:val="ListBullet"/>
        <w:spacing w:after="80"/>
      </w:pPr>
      <w:r>
        <w:rPr>
          <w:b/>
          <w:color w:val="212529"/>
          <w:sz w:val="21"/>
        </w:rPr>
        <w:t xml:space="preserve">A flat product mix. </w:t>
      </w:r>
      <w:r>
        <w:rPr>
          <w:color w:val="212529"/>
          <w:sz w:val="21"/>
        </w:rPr>
        <w:t>No product exceeds 5.8% of revenue, and the top ten products sit in a narrow band. There is no hero product to lean on.</w:t>
      </w:r>
    </w:p>
    <w:p>
      <w:pPr>
        <w:pStyle w:val="Heading2"/>
      </w:pPr>
      <w:r>
        <w:t>Two corrections to the earlier tasks</w:t>
      </w:r>
    </w:p>
    <w:p>
      <w:pPr>
        <w:spacing w:after="140"/>
      </w:pPr>
      <w:r>
        <w:rPr>
          <w:b/>
          <w:color w:val="212529"/>
          <w:sz w:val="21"/>
        </w:rPr>
        <w:t xml:space="preserve">1. The UK was understated. </w:t>
      </w:r>
      <w:r>
        <w:rPr>
          <w:b w:val="0"/>
          <w:color w:val="212529"/>
          <w:sz w:val="21"/>
        </w:rPr>
        <w:t>England (13,630.14) and United Kingdom (56,115.69) were two labels for one market. Merged, the UK is worth 69,745.83 and moves from rank 5 to rank 2 - the second-largest market, not the fifth. The Task 2 and Task 3 dashboards show it incorrectly.</w:t>
      </w:r>
    </w:p>
    <w:p>
      <w:pPr>
        <w:spacing w:after="140"/>
      </w:pPr>
      <w:r>
        <w:rPr>
          <w:b/>
          <w:color w:val="212529"/>
          <w:sz w:val="21"/>
        </w:rPr>
        <w:t xml:space="preserve">2. The growth figures were an artefact. </w:t>
      </w:r>
      <w:r>
        <w:rPr>
          <w:b w:val="0"/>
          <w:color w:val="212529"/>
          <w:sz w:val="21"/>
        </w:rPr>
        <w:t>Whole-year totals suggest +187% growth and then -21.8% decline. Both are caused by incomplete coverage: 2024 only fills up from October, and the extract stops on 09 December 2026. A like-for-like comparison is flat.</w:t>
      </w:r>
    </w:p>
    <w:p>
      <w:r>
        <w:br w:type="page"/>
      </w:r>
    </w:p>
    <w:p>
      <w:pPr>
        <w:pStyle w:val="Heading1"/>
      </w:pPr>
      <w:r>
        <w:t>2. Problem Statement</w:t>
      </w:r>
    </w:p>
    <w:p>
      <w:pPr>
        <w:pStyle w:val="Heading2"/>
      </w:pPr>
      <w:r>
        <w:t>2.1 Context</w:t>
      </w:r>
    </w:p>
    <w:p>
      <w:pPr>
        <w:spacing w:after="140" w:before="0"/>
      </w:pPr>
      <w:r>
        <w:rPr>
          <w:b w:val="0"/>
          <w:i w:val="0"/>
          <w:color w:val="212529"/>
          <w:sz w:val="21"/>
        </w:rPr>
        <w:t>Swynex records retail orders across several systems, and the sales extract lands in a single flat file that mixes transactional records with reporting fragments. Management wants to know where revenue actually comes from and whether trading is improving, but the raw file cannot be queried or charted safely: the header is displaced, missing values are typed as text, country names are inconsistent, and dates are stored as strings. Any figure taken straight from the raw file is therefore unreliable.</w:t>
      </w:r>
    </w:p>
    <w:p>
      <w:pPr>
        <w:pStyle w:val="Heading2"/>
      </w:pPr>
      <w:r>
        <w:t>2.2 The business questions</w:t>
      </w:r>
    </w:p>
    <w:p>
      <w:pPr>
        <w:pStyle w:val="ListNumber"/>
        <w:spacing w:after="80"/>
      </w:pPr>
      <w:r>
        <w:rPr>
          <w:b/>
          <w:sz w:val="21"/>
        </w:rPr>
        <w:t xml:space="preserve">Market performance. </w:t>
      </w:r>
      <w:r>
        <w:rPr>
          <w:sz w:val="21"/>
        </w:rPr>
        <w:t>Which markets generate the most revenue, and how concentrated is the business?</w:t>
      </w:r>
    </w:p>
    <w:p>
      <w:pPr>
        <w:pStyle w:val="ListNumber"/>
        <w:spacing w:after="80"/>
      </w:pPr>
      <w:r>
        <w:rPr>
          <w:b/>
          <w:sz w:val="21"/>
        </w:rPr>
        <w:t xml:space="preserve">Product performance. </w:t>
      </w:r>
      <w:r>
        <w:rPr>
          <w:sz w:val="21"/>
        </w:rPr>
        <w:t>Which product categories and individual products drive sales?</w:t>
      </w:r>
    </w:p>
    <w:p>
      <w:pPr>
        <w:pStyle w:val="ListNumber"/>
        <w:spacing w:after="80"/>
      </w:pPr>
      <w:r>
        <w:rPr>
          <w:b/>
          <w:sz w:val="21"/>
        </w:rPr>
        <w:t xml:space="preserve">Trend. </w:t>
      </w:r>
      <w:r>
        <w:rPr>
          <w:sz w:val="21"/>
        </w:rPr>
        <w:t>Is revenue growing, flat or declining once data coverage is accounted for?</w:t>
      </w:r>
    </w:p>
    <w:p>
      <w:pPr>
        <w:pStyle w:val="ListNumber"/>
        <w:spacing w:after="80"/>
      </w:pPr>
      <w:r>
        <w:rPr>
          <w:b/>
          <w:sz w:val="21"/>
        </w:rPr>
        <w:t xml:space="preserve">Payment behaviour. </w:t>
      </w:r>
      <w:r>
        <w:rPr>
          <w:sz w:val="21"/>
        </w:rPr>
        <w:t>How do customers pay, and does the payment mix carry any operational risk?</w:t>
      </w:r>
    </w:p>
    <w:p>
      <w:pPr>
        <w:pStyle w:val="ListNumber"/>
        <w:spacing w:after="80"/>
      </w:pPr>
      <w:r>
        <w:rPr>
          <w:b/>
          <w:sz w:val="21"/>
        </w:rPr>
        <w:t xml:space="preserve">Geography. </w:t>
      </w:r>
      <w:r>
        <w:rPr>
          <w:sz w:val="21"/>
        </w:rPr>
        <w:t>Where is revenue concentrated geographically below country level?</w:t>
      </w:r>
    </w:p>
    <w:p>
      <w:pPr>
        <w:pStyle w:val="ListNumber"/>
        <w:spacing w:after="80"/>
      </w:pPr>
      <w:r>
        <w:rPr>
          <w:b/>
          <w:sz w:val="21"/>
        </w:rPr>
        <w:t xml:space="preserve">Retention. </w:t>
      </w:r>
      <w:r>
        <w:rPr>
          <w:sz w:val="21"/>
        </w:rPr>
        <w:t>Do customers return, or is all revenue first-time?</w:t>
      </w:r>
    </w:p>
    <w:p>
      <w:pPr>
        <w:pStyle w:val="Heading2"/>
      </w:pPr>
      <w:r>
        <w:t>2.3 Why this matters</w:t>
      </w:r>
    </w:p>
    <w:p>
      <w:pPr>
        <w:spacing w:after="140" w:before="0"/>
      </w:pPr>
      <w:r>
        <w:rPr>
          <w:b w:val="0"/>
          <w:i w:val="0"/>
          <w:color w:val="212529"/>
          <w:sz w:val="21"/>
        </w:rPr>
        <w:t>Each of the six questions is a decision input: market prioritisation, range planning, forecasting, checkout investment, logistics and marketing spend. If the underlying data is dirty, every one of those decisions inherits the error. The Task 1-3 working files demonstrate the risk concretely - the UK was reported as the fifth-largest market when it is the second, and a 21.8% revenue decline was reported that does not exist.</w:t>
      </w:r>
    </w:p>
    <w:p>
      <w:pPr>
        <w:pStyle w:val="Heading2"/>
      </w:pPr>
      <w:r>
        <w:t>2.4 Objective</w:t>
      </w:r>
    </w:p>
    <w:p>
      <w:pPr>
        <w:spacing w:after="140" w:before="0"/>
      </w:pPr>
      <w:r>
        <w:rPr>
          <w:b w:val="0"/>
          <w:i w:val="0"/>
          <w:color w:val="212529"/>
          <w:sz w:val="21"/>
        </w:rPr>
        <w:t>Produce a single, defensible view of the retail order data: a cleaned and documented dataset, a reproducible analysis, an interactive dashboard for stakeholders, and a set of business insights and recommendations that management can act on - with the limits of the data stated plainly.</w:t>
      </w:r>
    </w:p>
    <w:p>
      <w:r>
        <w:br w:type="page"/>
      </w:r>
    </w:p>
    <w:p>
      <w:pPr>
        <w:pStyle w:val="Heading1"/>
      </w:pPr>
      <w:r>
        <w:t>3. Dataset Information</w:t>
      </w:r>
    </w:p>
    <w:p>
      <w:pPr>
        <w:pStyle w:val="Heading2"/>
      </w:pPr>
      <w:r>
        <w:t>3.1 Source and structure</w:t>
      </w:r>
    </w:p>
    <w:p>
      <w:pPr>
        <w:spacing w:after="140" w:before="0"/>
      </w:pPr>
      <w:r>
        <w:rPr>
          <w:b w:val="0"/>
          <w:i w:val="0"/>
          <w:color w:val="212529"/>
          <w:sz w:val="21"/>
        </w:rPr>
        <w:t>The project uses messy_retail_orders.csv, the raw retail order extract supplied for Task 1. The file contains 628 physical lines, of which 626 are order records. Two structural defects are immediately visible: the header row sits on line 2 beneath a blank first line, and the table carries 15 columns instead of 12 because a country-level pivot table ('Row Labels' / 'Sum of Sales') was pasted into columns N to P alongside the transactional data.</w:t>
      </w:r>
    </w:p>
    <w:tbl>
      <w:tblPr>
        <w:tblStyle w:val="TableGrid"/>
        <w:tblW w:type="auto" w:w="0"/>
        <w:jc w:val="center"/>
        <w:tblLayout w:type="fixed"/>
        <w:tblLook w:firstColumn="1" w:firstRow="1" w:lastColumn="0" w:lastRow="0" w:noHBand="0" w:noVBand="1" w:val="04A0"/>
      </w:tblPr>
      <w:tblGrid>
        <w:gridCol w:w="4824"/>
        <w:gridCol w:w="4824"/>
      </w:tblGrid>
      <w:tr>
        <w:tc>
          <w:tcPr>
            <w:tcW w:type="dxa" w:w="4752"/>
            <w:shd w:val="clear" w:fill="1F4E79"/>
          </w:tcPr>
          <w:p>
            <w:pPr>
              <w:spacing w:after="20" w:before="20"/>
            </w:pPr>
            <w:r/>
            <w:r>
              <w:rPr>
                <w:b/>
                <w:color w:val="FFFFFF"/>
                <w:sz w:val="19"/>
              </w:rPr>
              <w:t>Structural observation</w:t>
            </w:r>
          </w:p>
        </w:tc>
        <w:tc>
          <w:tcPr>
            <w:tcW w:type="dxa" w:w="4896"/>
            <w:shd w:val="clear" w:fill="1F4E79"/>
          </w:tcPr>
          <w:p>
            <w:pPr>
              <w:spacing w:after="20" w:before="20"/>
            </w:pPr>
            <w:r/>
            <w:r>
              <w:rPr>
                <w:b/>
                <w:color w:val="FFFFFF"/>
                <w:sz w:val="19"/>
              </w:rPr>
              <w:t>Finding</w:t>
            </w:r>
          </w:p>
        </w:tc>
      </w:tr>
      <w:tr>
        <w:tc>
          <w:tcPr>
            <w:tcW w:type="dxa" w:w="4752"/>
          </w:tcPr>
          <w:p>
            <w:pPr>
              <w:spacing w:after="20" w:before="20"/>
            </w:pPr>
            <w:r/>
            <w:r>
              <w:rPr>
                <w:color w:val="212529"/>
                <w:sz w:val="19"/>
              </w:rPr>
              <w:t>Physical lines in file</w:t>
            </w:r>
          </w:p>
        </w:tc>
        <w:tc>
          <w:tcPr>
            <w:tcW w:type="dxa" w:w="4896"/>
          </w:tcPr>
          <w:p>
            <w:pPr>
              <w:spacing w:after="20" w:before="20"/>
            </w:pPr>
            <w:r/>
            <w:r>
              <w:rPr>
                <w:color w:val="212529"/>
                <w:sz w:val="19"/>
              </w:rPr>
              <w:t>628</w:t>
            </w:r>
          </w:p>
        </w:tc>
      </w:tr>
      <w:tr>
        <w:tc>
          <w:tcPr>
            <w:tcW w:type="dxa" w:w="4752"/>
            <w:shd w:val="clear" w:fill="EEF3F8"/>
          </w:tcPr>
          <w:p>
            <w:pPr>
              <w:spacing w:after="20" w:before="20"/>
            </w:pPr>
            <w:r/>
            <w:r>
              <w:rPr>
                <w:color w:val="212529"/>
                <w:sz w:val="19"/>
              </w:rPr>
              <w:t>Order records</w:t>
            </w:r>
          </w:p>
        </w:tc>
        <w:tc>
          <w:tcPr>
            <w:tcW w:type="dxa" w:w="4896"/>
            <w:shd w:val="clear" w:fill="EEF3F8"/>
          </w:tcPr>
          <w:p>
            <w:pPr>
              <w:spacing w:after="20" w:before="20"/>
            </w:pPr>
            <w:r/>
            <w:r>
              <w:rPr>
                <w:color w:val="212529"/>
                <w:sz w:val="19"/>
              </w:rPr>
              <w:t>626</w:t>
            </w:r>
          </w:p>
        </w:tc>
      </w:tr>
      <w:tr>
        <w:tc>
          <w:tcPr>
            <w:tcW w:type="dxa" w:w="4752"/>
          </w:tcPr>
          <w:p>
            <w:pPr>
              <w:spacing w:after="20" w:before="20"/>
            </w:pPr>
            <w:r/>
            <w:r>
              <w:rPr>
                <w:color w:val="212529"/>
                <w:sz w:val="19"/>
              </w:rPr>
              <w:t>Header row</w:t>
            </w:r>
          </w:p>
        </w:tc>
        <w:tc>
          <w:tcPr>
            <w:tcW w:type="dxa" w:w="4896"/>
          </w:tcPr>
          <w:p>
            <w:pPr>
              <w:spacing w:after="20" w:before="20"/>
            </w:pPr>
            <w:r/>
            <w:r>
              <w:rPr>
                <w:color w:val="212529"/>
                <w:sz w:val="19"/>
              </w:rPr>
              <w:t>Line 2 (leading blank line)</w:t>
            </w:r>
          </w:p>
        </w:tc>
      </w:tr>
      <w:tr>
        <w:tc>
          <w:tcPr>
            <w:tcW w:type="dxa" w:w="4752"/>
            <w:shd w:val="clear" w:fill="EEF3F8"/>
          </w:tcPr>
          <w:p>
            <w:pPr>
              <w:spacing w:after="20" w:before="20"/>
            </w:pPr>
            <w:r/>
            <w:r>
              <w:rPr>
                <w:color w:val="212529"/>
                <w:sz w:val="19"/>
              </w:rPr>
              <w:t>Columns in file</w:t>
            </w:r>
          </w:p>
        </w:tc>
        <w:tc>
          <w:tcPr>
            <w:tcW w:type="dxa" w:w="4896"/>
            <w:shd w:val="clear" w:fill="EEF3F8"/>
          </w:tcPr>
          <w:p>
            <w:pPr>
              <w:spacing w:after="20" w:before="20"/>
            </w:pPr>
            <w:r/>
            <w:r>
              <w:rPr>
                <w:color w:val="212529"/>
                <w:sz w:val="19"/>
              </w:rPr>
              <w:t>15</w:t>
            </w:r>
          </w:p>
        </w:tc>
      </w:tr>
      <w:tr>
        <w:tc>
          <w:tcPr>
            <w:tcW w:type="dxa" w:w="4752"/>
          </w:tcPr>
          <w:p>
            <w:pPr>
              <w:spacing w:after="20" w:before="20"/>
            </w:pPr>
            <w:r/>
            <w:r>
              <w:rPr>
                <w:color w:val="212529"/>
                <w:sz w:val="19"/>
              </w:rPr>
              <w:t>Columns that are real data</w:t>
            </w:r>
          </w:p>
        </w:tc>
        <w:tc>
          <w:tcPr>
            <w:tcW w:type="dxa" w:w="4896"/>
          </w:tcPr>
          <w:p>
            <w:pPr>
              <w:spacing w:after="20" w:before="20"/>
            </w:pPr>
            <w:r/>
            <w:r>
              <w:rPr>
                <w:color w:val="212529"/>
                <w:sz w:val="19"/>
              </w:rPr>
              <w:t>12</w:t>
            </w:r>
          </w:p>
        </w:tc>
      </w:tr>
      <w:tr>
        <w:tc>
          <w:tcPr>
            <w:tcW w:type="dxa" w:w="4752"/>
            <w:shd w:val="clear" w:fill="EEF3F8"/>
          </w:tcPr>
          <w:p>
            <w:pPr>
              <w:spacing w:after="20" w:before="20"/>
            </w:pPr>
            <w:r/>
            <w:r>
              <w:rPr>
                <w:color w:val="212529"/>
                <w:sz w:val="19"/>
              </w:rPr>
              <w:t>Pasted pivot artefacts</w:t>
            </w:r>
          </w:p>
        </w:tc>
        <w:tc>
          <w:tcPr>
            <w:tcW w:type="dxa" w:w="4896"/>
            <w:shd w:val="clear" w:fill="EEF3F8"/>
          </w:tcPr>
          <w:p>
            <w:pPr>
              <w:spacing w:after="20" w:before="20"/>
            </w:pPr>
            <w:r/>
            <w:r>
              <w:rPr>
                <w:color w:val="212529"/>
                <w:sz w:val="19"/>
              </w:rPr>
              <w:t>3 ('Row Labels', 'Sum of Sales')</w:t>
            </w:r>
          </w:p>
        </w:tc>
      </w:tr>
      <w:tr>
        <w:tc>
          <w:tcPr>
            <w:tcW w:type="dxa" w:w="4752"/>
          </w:tcPr>
          <w:p>
            <w:pPr>
              <w:spacing w:after="20" w:before="20"/>
            </w:pPr>
            <w:r/>
            <w:r>
              <w:rPr>
                <w:color w:val="212529"/>
                <w:sz w:val="19"/>
              </w:rPr>
              <w:t>Duplicate records</w:t>
            </w:r>
          </w:p>
        </w:tc>
        <w:tc>
          <w:tcPr>
            <w:tcW w:type="dxa" w:w="4896"/>
          </w:tcPr>
          <w:p>
            <w:pPr>
              <w:spacing w:after="20" w:before="20"/>
            </w:pPr>
            <w:r/>
            <w:r>
              <w:rPr>
                <w:color w:val="212529"/>
                <w:sz w:val="19"/>
              </w:rPr>
              <w:t>0</w:t>
            </w:r>
          </w:p>
        </w:tc>
      </w:tr>
      <w:tr>
        <w:tc>
          <w:tcPr>
            <w:tcW w:type="dxa" w:w="4752"/>
            <w:shd w:val="clear" w:fill="EEF3F8"/>
          </w:tcPr>
          <w:p>
            <w:pPr>
              <w:spacing w:after="20" w:before="20"/>
            </w:pPr>
            <w:r/>
            <w:r>
              <w:rPr>
                <w:color w:val="212529"/>
                <w:sz w:val="19"/>
              </w:rPr>
              <w:t>Duplicate order IDs</w:t>
            </w:r>
          </w:p>
        </w:tc>
        <w:tc>
          <w:tcPr>
            <w:tcW w:type="dxa" w:w="4896"/>
            <w:shd w:val="clear" w:fill="EEF3F8"/>
          </w:tcPr>
          <w:p>
            <w:pPr>
              <w:spacing w:after="20" w:before="20"/>
            </w:pPr>
            <w:r/>
            <w:r>
              <w:rPr>
                <w:color w:val="212529"/>
                <w:sz w:val="19"/>
              </w:rPr>
              <w:t>0</w:t>
            </w:r>
          </w:p>
        </w:tc>
      </w:tr>
      <w:tr>
        <w:tc>
          <w:tcPr>
            <w:tcW w:type="dxa" w:w="4752"/>
          </w:tcPr>
          <w:p>
            <w:pPr>
              <w:spacing w:after="20" w:before="20"/>
            </w:pPr>
            <w:r/>
            <w:r>
              <w:rPr>
                <w:color w:val="212529"/>
                <w:sz w:val="19"/>
              </w:rPr>
              <w:t>Order ID range</w:t>
            </w:r>
          </w:p>
        </w:tc>
        <w:tc>
          <w:tcPr>
            <w:tcW w:type="dxa" w:w="4896"/>
          </w:tcPr>
          <w:p>
            <w:pPr>
              <w:spacing w:after="20" w:before="20"/>
            </w:pPr>
            <w:r/>
            <w:r>
              <w:rPr>
                <w:color w:val="212529"/>
                <w:sz w:val="19"/>
              </w:rPr>
              <w:t>100001 to 100750</w:t>
            </w:r>
          </w:p>
        </w:tc>
      </w:tr>
      <w:tr>
        <w:tc>
          <w:tcPr>
            <w:tcW w:type="dxa" w:w="4752"/>
            <w:shd w:val="clear" w:fill="EEF3F8"/>
          </w:tcPr>
          <w:p>
            <w:pPr>
              <w:spacing w:after="20" w:before="20"/>
            </w:pPr>
            <w:r/>
            <w:r>
              <w:rPr>
                <w:color w:val="212529"/>
                <w:sz w:val="19"/>
              </w:rPr>
              <w:t>Order IDs absent from that range</w:t>
            </w:r>
          </w:p>
        </w:tc>
        <w:tc>
          <w:tcPr>
            <w:tcW w:type="dxa" w:w="4896"/>
            <w:shd w:val="clear" w:fill="EEF3F8"/>
          </w:tcPr>
          <w:p>
            <w:pPr>
              <w:spacing w:after="20" w:before="20"/>
            </w:pPr>
            <w:r/>
            <w:r>
              <w:rPr>
                <w:color w:val="212529"/>
                <w:sz w:val="19"/>
              </w:rPr>
              <w:t>124</w:t>
            </w:r>
          </w:p>
        </w:tc>
      </w:tr>
    </w:tbl>
    <w:p>
      <w:pPr>
        <w:spacing w:before="60" w:after="200"/>
      </w:pPr>
      <w:r>
        <w:rPr>
          <w:i/>
          <w:color w:val="5C6670"/>
          <w:sz w:val="17"/>
        </w:rPr>
        <w:t>Table 2: Structural audit of the raw source file.</w:t>
      </w:r>
    </w:p>
    <w:p>
      <w:pPr>
        <w:pStyle w:val="Heading2"/>
      </w:pPr>
      <w:r>
        <w:t>3.2 Field dictionary</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656"/>
            <w:shd w:val="clear" w:fill="1F4E79"/>
          </w:tcPr>
          <w:p>
            <w:pPr>
              <w:spacing w:after="20" w:before="20"/>
            </w:pPr>
            <w:r/>
            <w:r>
              <w:rPr>
                <w:b/>
                <w:color w:val="FFFFFF"/>
                <w:sz w:val="17"/>
              </w:rPr>
              <w:t>Field</w:t>
            </w:r>
          </w:p>
        </w:tc>
        <w:tc>
          <w:tcPr>
            <w:tcW w:type="dxa" w:w="1037"/>
            <w:shd w:val="clear" w:fill="1F4E79"/>
          </w:tcPr>
          <w:p>
            <w:pPr>
              <w:spacing w:after="20" w:before="20"/>
            </w:pPr>
            <w:r/>
            <w:r>
              <w:rPr>
                <w:b/>
                <w:color w:val="FFFFFF"/>
                <w:sz w:val="17"/>
              </w:rPr>
              <w:t>Type</w:t>
            </w:r>
          </w:p>
        </w:tc>
        <w:tc>
          <w:tcPr>
            <w:tcW w:type="dxa" w:w="2952"/>
            <w:shd w:val="clear" w:fill="1F4E79"/>
          </w:tcPr>
          <w:p>
            <w:pPr>
              <w:spacing w:after="20" w:before="20"/>
            </w:pPr>
            <w:r/>
            <w:r>
              <w:rPr>
                <w:b/>
                <w:color w:val="FFFFFF"/>
                <w:sz w:val="17"/>
              </w:rPr>
              <w:t>Description</w:t>
            </w:r>
          </w:p>
        </w:tc>
        <w:tc>
          <w:tcPr>
            <w:tcW w:type="dxa" w:w="3283"/>
            <w:shd w:val="clear" w:fill="1F4E79"/>
          </w:tcPr>
          <w:p>
            <w:pPr>
              <w:spacing w:after="20" w:before="20"/>
            </w:pPr>
            <w:r/>
            <w:r>
              <w:rPr>
                <w:b/>
                <w:color w:val="FFFFFF"/>
                <w:sz w:val="17"/>
              </w:rPr>
              <w:t>Quality note</w:t>
            </w:r>
          </w:p>
        </w:tc>
      </w:tr>
      <w:tr>
        <w:tc>
          <w:tcPr>
            <w:tcW w:type="dxa" w:w="1656"/>
          </w:tcPr>
          <w:p>
            <w:pPr>
              <w:spacing w:after="20" w:before="20"/>
            </w:pPr>
            <w:r/>
            <w:r>
              <w:rPr>
                <w:color w:val="212529"/>
                <w:sz w:val="17"/>
              </w:rPr>
              <w:t>OrderID</w:t>
            </w:r>
          </w:p>
        </w:tc>
        <w:tc>
          <w:tcPr>
            <w:tcW w:type="dxa" w:w="1037"/>
          </w:tcPr>
          <w:p>
            <w:pPr>
              <w:spacing w:after="20" w:before="20"/>
            </w:pPr>
            <w:r/>
            <w:r>
              <w:rPr>
                <w:color w:val="212529"/>
                <w:sz w:val="17"/>
              </w:rPr>
              <w:t>Integer</w:t>
            </w:r>
          </w:p>
        </w:tc>
        <w:tc>
          <w:tcPr>
            <w:tcW w:type="dxa" w:w="2952"/>
          </w:tcPr>
          <w:p>
            <w:pPr>
              <w:spacing w:after="20" w:before="20"/>
            </w:pPr>
            <w:r/>
            <w:r>
              <w:rPr>
                <w:color w:val="212529"/>
                <w:sz w:val="17"/>
              </w:rPr>
              <w:t>Unique order identifier</w:t>
            </w:r>
          </w:p>
        </w:tc>
        <w:tc>
          <w:tcPr>
            <w:tcW w:type="dxa" w:w="3283"/>
          </w:tcPr>
          <w:p>
            <w:pPr>
              <w:spacing w:after="20" w:before="20"/>
            </w:pPr>
            <w:r/>
            <w:r>
              <w:rPr>
                <w:color w:val="212529"/>
                <w:sz w:val="17"/>
              </w:rPr>
              <w:t>124 IDs absent from the range</w:t>
            </w:r>
          </w:p>
        </w:tc>
      </w:tr>
      <w:tr>
        <w:tc>
          <w:tcPr>
            <w:tcW w:type="dxa" w:w="1656"/>
            <w:shd w:val="clear" w:fill="EEF3F8"/>
          </w:tcPr>
          <w:p>
            <w:pPr>
              <w:spacing w:after="20" w:before="20"/>
            </w:pPr>
            <w:r/>
            <w:r>
              <w:rPr>
                <w:color w:val="212529"/>
                <w:sz w:val="17"/>
              </w:rPr>
              <w:t>CustomerName</w:t>
            </w:r>
          </w:p>
        </w:tc>
        <w:tc>
          <w:tcPr>
            <w:tcW w:type="dxa" w:w="1037"/>
            <w:shd w:val="clear" w:fill="EEF3F8"/>
          </w:tcPr>
          <w:p>
            <w:pPr>
              <w:spacing w:after="20" w:before="20"/>
            </w:pPr>
            <w:r/>
            <w:r>
              <w:rPr>
                <w:color w:val="212529"/>
                <w:sz w:val="17"/>
              </w:rPr>
              <w:t>Text</w:t>
            </w:r>
          </w:p>
        </w:tc>
        <w:tc>
          <w:tcPr>
            <w:tcW w:type="dxa" w:w="2952"/>
            <w:shd w:val="clear" w:fill="EEF3F8"/>
          </w:tcPr>
          <w:p>
            <w:pPr>
              <w:spacing w:after="20" w:before="20"/>
            </w:pPr>
            <w:r/>
            <w:r>
              <w:rPr>
                <w:color w:val="212529"/>
                <w:sz w:val="17"/>
              </w:rPr>
              <w:t>Name of the purchasing customer</w:t>
            </w:r>
          </w:p>
        </w:tc>
        <w:tc>
          <w:tcPr>
            <w:tcW w:type="dxa" w:w="3283"/>
            <w:shd w:val="clear" w:fill="EEF3F8"/>
          </w:tcPr>
          <w:p>
            <w:pPr>
              <w:spacing w:after="20" w:before="20"/>
            </w:pPr>
            <w:r/>
            <w:r>
              <w:rPr>
                <w:color w:val="212529"/>
                <w:sz w:val="17"/>
              </w:rPr>
              <w:t>35 missing</w:t>
            </w:r>
          </w:p>
        </w:tc>
      </w:tr>
      <w:tr>
        <w:tc>
          <w:tcPr>
            <w:tcW w:type="dxa" w:w="1656"/>
          </w:tcPr>
          <w:p>
            <w:pPr>
              <w:spacing w:after="20" w:before="20"/>
            </w:pPr>
            <w:r/>
            <w:r>
              <w:rPr>
                <w:color w:val="212529"/>
                <w:sz w:val="17"/>
              </w:rPr>
              <w:t>Email</w:t>
            </w:r>
          </w:p>
        </w:tc>
        <w:tc>
          <w:tcPr>
            <w:tcW w:type="dxa" w:w="1037"/>
          </w:tcPr>
          <w:p>
            <w:pPr>
              <w:spacing w:after="20" w:before="20"/>
            </w:pPr>
            <w:r/>
            <w:r>
              <w:rPr>
                <w:color w:val="212529"/>
                <w:sz w:val="17"/>
              </w:rPr>
              <w:t>Text</w:t>
            </w:r>
          </w:p>
        </w:tc>
        <w:tc>
          <w:tcPr>
            <w:tcW w:type="dxa" w:w="2952"/>
          </w:tcPr>
          <w:p>
            <w:pPr>
              <w:spacing w:after="20" w:before="20"/>
            </w:pPr>
            <w:r/>
            <w:r>
              <w:rPr>
                <w:color w:val="212529"/>
                <w:sz w:val="17"/>
              </w:rPr>
              <w:t>Customer contact address</w:t>
            </w:r>
          </w:p>
        </w:tc>
        <w:tc>
          <w:tcPr>
            <w:tcW w:type="dxa" w:w="3283"/>
          </w:tcPr>
          <w:p>
            <w:pPr>
              <w:spacing w:after="20" w:before="20"/>
            </w:pPr>
            <w:r/>
            <w:r>
              <w:rPr>
                <w:color w:val="212529"/>
                <w:sz w:val="17"/>
              </w:rPr>
              <w:t>49 missing; all present values valid</w:t>
            </w:r>
          </w:p>
        </w:tc>
      </w:tr>
      <w:tr>
        <w:tc>
          <w:tcPr>
            <w:tcW w:type="dxa" w:w="1656"/>
            <w:shd w:val="clear" w:fill="EEF3F8"/>
          </w:tcPr>
          <w:p>
            <w:pPr>
              <w:spacing w:after="20" w:before="20"/>
            </w:pPr>
            <w:r/>
            <w:r>
              <w:rPr>
                <w:color w:val="212529"/>
                <w:sz w:val="17"/>
              </w:rPr>
              <w:t>ProductCategory</w:t>
            </w:r>
          </w:p>
        </w:tc>
        <w:tc>
          <w:tcPr>
            <w:tcW w:type="dxa" w:w="1037"/>
            <w:shd w:val="clear" w:fill="EEF3F8"/>
          </w:tcPr>
          <w:p>
            <w:pPr>
              <w:spacing w:after="20" w:before="20"/>
            </w:pPr>
            <w:r/>
            <w:r>
              <w:rPr>
                <w:color w:val="212529"/>
                <w:sz w:val="17"/>
              </w:rPr>
              <w:t>Text</w:t>
            </w:r>
          </w:p>
        </w:tc>
        <w:tc>
          <w:tcPr>
            <w:tcW w:type="dxa" w:w="2952"/>
            <w:shd w:val="clear" w:fill="EEF3F8"/>
          </w:tcPr>
          <w:p>
            <w:pPr>
              <w:spacing w:after="20" w:before="20"/>
            </w:pPr>
            <w:r/>
            <w:r>
              <w:rPr>
                <w:color w:val="212529"/>
                <w:sz w:val="17"/>
              </w:rPr>
              <w:t>Product grouping (5 values)</w:t>
            </w:r>
          </w:p>
        </w:tc>
        <w:tc>
          <w:tcPr>
            <w:tcW w:type="dxa" w:w="3283"/>
            <w:shd w:val="clear" w:fill="EEF3F8"/>
          </w:tcPr>
          <w:p>
            <w:pPr>
              <w:spacing w:after="20" w:before="20"/>
            </w:pPr>
            <w:r/>
            <w:r>
              <w:rPr>
                <w:color w:val="212529"/>
                <w:sz w:val="17"/>
              </w:rPr>
              <w:t>Clean</w:t>
            </w:r>
          </w:p>
        </w:tc>
      </w:tr>
      <w:tr>
        <w:tc>
          <w:tcPr>
            <w:tcW w:type="dxa" w:w="1656"/>
          </w:tcPr>
          <w:p>
            <w:pPr>
              <w:spacing w:after="20" w:before="20"/>
            </w:pPr>
            <w:r/>
            <w:r>
              <w:rPr>
                <w:color w:val="212529"/>
                <w:sz w:val="17"/>
              </w:rPr>
              <w:t>ProductName</w:t>
            </w:r>
          </w:p>
        </w:tc>
        <w:tc>
          <w:tcPr>
            <w:tcW w:type="dxa" w:w="1037"/>
          </w:tcPr>
          <w:p>
            <w:pPr>
              <w:spacing w:after="20" w:before="20"/>
            </w:pPr>
            <w:r/>
            <w:r>
              <w:rPr>
                <w:color w:val="212529"/>
                <w:sz w:val="17"/>
              </w:rPr>
              <w:t>Text</w:t>
            </w:r>
          </w:p>
        </w:tc>
        <w:tc>
          <w:tcPr>
            <w:tcW w:type="dxa" w:w="2952"/>
          </w:tcPr>
          <w:p>
            <w:pPr>
              <w:spacing w:after="20" w:before="20"/>
            </w:pPr>
            <w:r/>
            <w:r>
              <w:rPr>
                <w:color w:val="212529"/>
                <w:sz w:val="17"/>
              </w:rPr>
              <w:t>Item sold (25 products)</w:t>
            </w:r>
          </w:p>
        </w:tc>
        <w:tc>
          <w:tcPr>
            <w:tcW w:type="dxa" w:w="3283"/>
          </w:tcPr>
          <w:p>
            <w:pPr>
              <w:spacing w:after="20" w:before="20"/>
            </w:pPr>
            <w:r/>
            <w:r>
              <w:rPr>
                <w:color w:val="212529"/>
                <w:sz w:val="17"/>
              </w:rPr>
              <w:t>Clean</w:t>
            </w:r>
          </w:p>
        </w:tc>
      </w:tr>
      <w:tr>
        <w:tc>
          <w:tcPr>
            <w:tcW w:type="dxa" w:w="1656"/>
            <w:shd w:val="clear" w:fill="EEF3F8"/>
          </w:tcPr>
          <w:p>
            <w:pPr>
              <w:spacing w:after="20" w:before="20"/>
            </w:pPr>
            <w:r/>
            <w:r>
              <w:rPr>
                <w:color w:val="212529"/>
                <w:sz w:val="17"/>
              </w:rPr>
              <w:t>Quantity</w:t>
            </w:r>
          </w:p>
        </w:tc>
        <w:tc>
          <w:tcPr>
            <w:tcW w:type="dxa" w:w="1037"/>
            <w:shd w:val="clear" w:fill="EEF3F8"/>
          </w:tcPr>
          <w:p>
            <w:pPr>
              <w:spacing w:after="20" w:before="20"/>
            </w:pPr>
            <w:r/>
            <w:r>
              <w:rPr>
                <w:color w:val="212529"/>
                <w:sz w:val="17"/>
              </w:rPr>
              <w:t>Integer</w:t>
            </w:r>
          </w:p>
        </w:tc>
        <w:tc>
          <w:tcPr>
            <w:tcW w:type="dxa" w:w="2952"/>
            <w:shd w:val="clear" w:fill="EEF3F8"/>
          </w:tcPr>
          <w:p>
            <w:pPr>
              <w:spacing w:after="20" w:before="20"/>
            </w:pPr>
            <w:r/>
            <w:r>
              <w:rPr>
                <w:color w:val="212529"/>
                <w:sz w:val="17"/>
              </w:rPr>
              <w:t>Units per order (1 to 8)</w:t>
            </w:r>
          </w:p>
        </w:tc>
        <w:tc>
          <w:tcPr>
            <w:tcW w:type="dxa" w:w="3283"/>
            <w:shd w:val="clear" w:fill="EEF3F8"/>
          </w:tcPr>
          <w:p>
            <w:pPr>
              <w:spacing w:after="20" w:before="20"/>
            </w:pPr>
            <w:r/>
            <w:r>
              <w:rPr>
                <w:color w:val="212529"/>
                <w:sz w:val="17"/>
              </w:rPr>
              <w:t>Clean</w:t>
            </w:r>
          </w:p>
        </w:tc>
      </w:tr>
      <w:tr>
        <w:tc>
          <w:tcPr>
            <w:tcW w:type="dxa" w:w="1656"/>
          </w:tcPr>
          <w:p>
            <w:pPr>
              <w:spacing w:after="20" w:before="20"/>
            </w:pPr>
            <w:r/>
            <w:r>
              <w:rPr>
                <w:color w:val="212529"/>
                <w:sz w:val="17"/>
              </w:rPr>
              <w:t>UnitPrice</w:t>
            </w:r>
          </w:p>
        </w:tc>
        <w:tc>
          <w:tcPr>
            <w:tcW w:type="dxa" w:w="1037"/>
          </w:tcPr>
          <w:p>
            <w:pPr>
              <w:spacing w:after="20" w:before="20"/>
            </w:pPr>
            <w:r/>
            <w:r>
              <w:rPr>
                <w:color w:val="212529"/>
                <w:sz w:val="17"/>
              </w:rPr>
              <w:t>Decimal</w:t>
            </w:r>
          </w:p>
        </w:tc>
        <w:tc>
          <w:tcPr>
            <w:tcW w:type="dxa" w:w="2952"/>
          </w:tcPr>
          <w:p>
            <w:pPr>
              <w:spacing w:after="20" w:before="20"/>
            </w:pPr>
            <w:r/>
            <w:r>
              <w:rPr>
                <w:color w:val="212529"/>
                <w:sz w:val="17"/>
              </w:rPr>
              <w:t>Price per unit</w:t>
            </w:r>
          </w:p>
        </w:tc>
        <w:tc>
          <w:tcPr>
            <w:tcW w:type="dxa" w:w="3283"/>
          </w:tcPr>
          <w:p>
            <w:pPr>
              <w:spacing w:after="20" w:before="20"/>
            </w:pPr>
            <w:r/>
            <w:r>
              <w:rPr>
                <w:color w:val="212529"/>
                <w:sz w:val="17"/>
              </w:rPr>
              <w:t>Clean</w:t>
            </w:r>
          </w:p>
        </w:tc>
      </w:tr>
      <w:tr>
        <w:tc>
          <w:tcPr>
            <w:tcW w:type="dxa" w:w="1656"/>
            <w:shd w:val="clear" w:fill="EEF3F8"/>
          </w:tcPr>
          <w:p>
            <w:pPr>
              <w:spacing w:after="20" w:before="20"/>
            </w:pPr>
            <w:r/>
            <w:r>
              <w:rPr>
                <w:color w:val="212529"/>
                <w:sz w:val="17"/>
              </w:rPr>
              <w:t>Sales</w:t>
            </w:r>
          </w:p>
        </w:tc>
        <w:tc>
          <w:tcPr>
            <w:tcW w:type="dxa" w:w="1037"/>
            <w:shd w:val="clear" w:fill="EEF3F8"/>
          </w:tcPr>
          <w:p>
            <w:pPr>
              <w:spacing w:after="20" w:before="20"/>
            </w:pPr>
            <w:r/>
            <w:r>
              <w:rPr>
                <w:color w:val="212529"/>
                <w:sz w:val="17"/>
              </w:rPr>
              <w:t>Decimal</w:t>
            </w:r>
          </w:p>
        </w:tc>
        <w:tc>
          <w:tcPr>
            <w:tcW w:type="dxa" w:w="2952"/>
            <w:shd w:val="clear" w:fill="EEF3F8"/>
          </w:tcPr>
          <w:p>
            <w:pPr>
              <w:spacing w:after="20" w:before="20"/>
            </w:pPr>
            <w:r/>
            <w:r>
              <w:rPr>
                <w:color w:val="212529"/>
                <w:sz w:val="17"/>
              </w:rPr>
              <w:t>Order value = Quantity x UnitPrice</w:t>
            </w:r>
          </w:p>
        </w:tc>
        <w:tc>
          <w:tcPr>
            <w:tcW w:type="dxa" w:w="3283"/>
            <w:shd w:val="clear" w:fill="EEF3F8"/>
          </w:tcPr>
          <w:p>
            <w:pPr>
              <w:spacing w:after="20" w:before="20"/>
            </w:pPr>
            <w:r/>
            <w:r>
              <w:rPr>
                <w:color w:val="212529"/>
                <w:sz w:val="17"/>
              </w:rPr>
              <w:t>Reconciles on all 626 rows</w:t>
            </w:r>
          </w:p>
        </w:tc>
      </w:tr>
      <w:tr>
        <w:tc>
          <w:tcPr>
            <w:tcW w:type="dxa" w:w="1656"/>
          </w:tcPr>
          <w:p>
            <w:pPr>
              <w:spacing w:after="20" w:before="20"/>
            </w:pPr>
            <w:r/>
            <w:r>
              <w:rPr>
                <w:color w:val="212529"/>
                <w:sz w:val="17"/>
              </w:rPr>
              <w:t>OrderDate</w:t>
            </w:r>
          </w:p>
        </w:tc>
        <w:tc>
          <w:tcPr>
            <w:tcW w:type="dxa" w:w="1037"/>
          </w:tcPr>
          <w:p>
            <w:pPr>
              <w:spacing w:after="20" w:before="20"/>
            </w:pPr>
            <w:r/>
            <w:r>
              <w:rPr>
                <w:color w:val="212529"/>
                <w:sz w:val="17"/>
              </w:rPr>
              <w:t>Text to date</w:t>
            </w:r>
          </w:p>
        </w:tc>
        <w:tc>
          <w:tcPr>
            <w:tcW w:type="dxa" w:w="2952"/>
          </w:tcPr>
          <w:p>
            <w:pPr>
              <w:spacing w:after="20" w:before="20"/>
            </w:pPr>
            <w:r/>
            <w:r>
              <w:rPr>
                <w:color w:val="212529"/>
                <w:sz w:val="17"/>
              </w:rPr>
              <w:t>Date of order</w:t>
            </w:r>
          </w:p>
        </w:tc>
        <w:tc>
          <w:tcPr>
            <w:tcW w:type="dxa" w:w="3283"/>
          </w:tcPr>
          <w:p>
            <w:pPr>
              <w:spacing w:after="20" w:before="20"/>
            </w:pPr>
            <w:r/>
            <w:r>
              <w:rPr>
                <w:color w:val="212529"/>
                <w:sz w:val="17"/>
              </w:rPr>
              <w:t>Stored as dd/mm/yy text; 374 rows prove day-first</w:t>
            </w:r>
          </w:p>
        </w:tc>
      </w:tr>
      <w:tr>
        <w:tc>
          <w:tcPr>
            <w:tcW w:type="dxa" w:w="1656"/>
            <w:shd w:val="clear" w:fill="EEF3F8"/>
          </w:tcPr>
          <w:p>
            <w:pPr>
              <w:spacing w:after="20" w:before="20"/>
            </w:pPr>
            <w:r/>
            <w:r>
              <w:rPr>
                <w:color w:val="212529"/>
                <w:sz w:val="17"/>
              </w:rPr>
              <w:t>Shippingcity</w:t>
            </w:r>
          </w:p>
        </w:tc>
        <w:tc>
          <w:tcPr>
            <w:tcW w:type="dxa" w:w="1037"/>
            <w:shd w:val="clear" w:fill="EEF3F8"/>
          </w:tcPr>
          <w:p>
            <w:pPr>
              <w:spacing w:after="20" w:before="20"/>
            </w:pPr>
            <w:r/>
            <w:r>
              <w:rPr>
                <w:color w:val="212529"/>
                <w:sz w:val="17"/>
              </w:rPr>
              <w:t>Text</w:t>
            </w:r>
          </w:p>
        </w:tc>
        <w:tc>
          <w:tcPr>
            <w:tcW w:type="dxa" w:w="2952"/>
            <w:shd w:val="clear" w:fill="EEF3F8"/>
          </w:tcPr>
          <w:p>
            <w:pPr>
              <w:spacing w:after="20" w:before="20"/>
            </w:pPr>
            <w:r/>
            <w:r>
              <w:rPr>
                <w:color w:val="212529"/>
                <w:sz w:val="17"/>
              </w:rPr>
              <w:t>Destination city</w:t>
            </w:r>
          </w:p>
        </w:tc>
        <w:tc>
          <w:tcPr>
            <w:tcW w:type="dxa" w:w="3283"/>
            <w:shd w:val="clear" w:fill="EEF3F8"/>
          </w:tcPr>
          <w:p>
            <w:pPr>
              <w:spacing w:after="20" w:before="20"/>
            </w:pPr>
            <w:r/>
            <w:r>
              <w:rPr>
                <w:color w:val="212529"/>
                <w:sz w:val="17"/>
              </w:rPr>
              <w:t>26 missing; 586 distinct</w:t>
            </w:r>
          </w:p>
        </w:tc>
      </w:tr>
      <w:tr>
        <w:tc>
          <w:tcPr>
            <w:tcW w:type="dxa" w:w="1656"/>
          </w:tcPr>
          <w:p>
            <w:pPr>
              <w:spacing w:after="20" w:before="20"/>
            </w:pPr>
            <w:r/>
            <w:r>
              <w:rPr>
                <w:color w:val="212529"/>
                <w:sz w:val="17"/>
              </w:rPr>
              <w:t>Country</w:t>
            </w:r>
          </w:p>
        </w:tc>
        <w:tc>
          <w:tcPr>
            <w:tcW w:type="dxa" w:w="1037"/>
          </w:tcPr>
          <w:p>
            <w:pPr>
              <w:spacing w:after="20" w:before="20"/>
            </w:pPr>
            <w:r/>
            <w:r>
              <w:rPr>
                <w:color w:val="212529"/>
                <w:sz w:val="17"/>
              </w:rPr>
              <w:t>Text</w:t>
            </w:r>
          </w:p>
        </w:tc>
        <w:tc>
          <w:tcPr>
            <w:tcW w:type="dxa" w:w="2952"/>
          </w:tcPr>
          <w:p>
            <w:pPr>
              <w:spacing w:after="20" w:before="20"/>
            </w:pPr>
            <w:r/>
            <w:r>
              <w:rPr>
                <w:color w:val="212529"/>
                <w:sz w:val="17"/>
              </w:rPr>
              <w:t>Destination market</w:t>
            </w:r>
          </w:p>
        </w:tc>
        <w:tc>
          <w:tcPr>
            <w:tcW w:type="dxa" w:w="3283"/>
          </w:tcPr>
          <w:p>
            <w:pPr>
              <w:spacing w:after="20" w:before="20"/>
            </w:pPr>
            <w:r/>
            <w:r>
              <w:rPr>
                <w:color w:val="212529"/>
                <w:sz w:val="17"/>
              </w:rPr>
              <w:t>52 missing; England and UK duplicated</w:t>
            </w:r>
          </w:p>
        </w:tc>
      </w:tr>
      <w:tr>
        <w:tc>
          <w:tcPr>
            <w:tcW w:type="dxa" w:w="1656"/>
            <w:shd w:val="clear" w:fill="EEF3F8"/>
          </w:tcPr>
          <w:p>
            <w:pPr>
              <w:spacing w:after="20" w:before="20"/>
            </w:pPr>
            <w:r/>
            <w:r>
              <w:rPr>
                <w:color w:val="212529"/>
                <w:sz w:val="17"/>
              </w:rPr>
              <w:t>PaymentMethod</w:t>
            </w:r>
          </w:p>
        </w:tc>
        <w:tc>
          <w:tcPr>
            <w:tcW w:type="dxa" w:w="1037"/>
            <w:shd w:val="clear" w:fill="EEF3F8"/>
          </w:tcPr>
          <w:p>
            <w:pPr>
              <w:spacing w:after="20" w:before="20"/>
            </w:pPr>
            <w:r/>
            <w:r>
              <w:rPr>
                <w:color w:val="212529"/>
                <w:sz w:val="17"/>
              </w:rPr>
              <w:t>Text</w:t>
            </w:r>
          </w:p>
        </w:tc>
        <w:tc>
          <w:tcPr>
            <w:tcW w:type="dxa" w:w="2952"/>
            <w:shd w:val="clear" w:fill="EEF3F8"/>
          </w:tcPr>
          <w:p>
            <w:pPr>
              <w:spacing w:after="20" w:before="20"/>
            </w:pPr>
            <w:r/>
            <w:r>
              <w:rPr>
                <w:color w:val="212529"/>
                <w:sz w:val="17"/>
              </w:rPr>
              <w:t>Checkout method</w:t>
            </w:r>
          </w:p>
        </w:tc>
        <w:tc>
          <w:tcPr>
            <w:tcW w:type="dxa" w:w="3283"/>
            <w:shd w:val="clear" w:fill="EEF3F8"/>
          </w:tcPr>
          <w:p>
            <w:pPr>
              <w:spacing w:after="20" w:before="20"/>
            </w:pPr>
            <w:r/>
            <w:r>
              <w:rPr>
                <w:color w:val="212529"/>
                <w:sz w:val="17"/>
              </w:rPr>
              <w:t>36 missing</w:t>
            </w:r>
          </w:p>
        </w:tc>
      </w:tr>
    </w:tbl>
    <w:p>
      <w:pPr>
        <w:spacing w:before="60" w:after="200"/>
      </w:pPr>
      <w:r>
        <w:rPr>
          <w:i/>
          <w:color w:val="5C6670"/>
          <w:sz w:val="17"/>
        </w:rPr>
        <w:t>Table 3: Field-level dictionary and the quality issue attached to each field.</w:t>
      </w:r>
    </w:p>
    <w:p>
      <w:pPr>
        <w:pStyle w:val="Heading2"/>
      </w:pPr>
      <w:r>
        <w:t>3.3 Coverage and period</w:t>
      </w:r>
    </w:p>
    <w:p>
      <w:pPr>
        <w:spacing w:after="140" w:before="0"/>
      </w:pPr>
      <w:r>
        <w:rPr>
          <w:b w:val="0"/>
          <w:i w:val="0"/>
          <w:color w:val="212529"/>
          <w:sz w:val="21"/>
        </w:rPr>
        <w:t>Orders span 11 Jan 2024 to 09 Dec 2026, covering parts of three calendar years. Coverage is not even across that window, which turns out to be the single most important fact in the whole analysis and is examined in section 5.3. In short, 2024 is barely populated before October, 2025 is complete and evenly distributed, and 2026 is truncated after September.</w:t>
      </w:r>
    </w:p>
    <w:p>
      <w:pPr>
        <w:spacing w:after="120"/>
      </w:pPr>
      <w:r>
        <w:rPr>
          <w:b/>
          <w:color w:val="212529"/>
          <w:sz w:val="21"/>
        </w:rPr>
        <w:t xml:space="preserve">Currency: </w:t>
      </w:r>
      <w:r>
        <w:rPr>
          <w:b w:val="0"/>
          <w:color w:val="212529"/>
          <w:sz w:val="21"/>
        </w:rPr>
        <w:t>the source file states no currency, so all monetary values in this report are presented as raw units without a symbol. The Task 2 workbook displayed them with a rupee symbol, which was an unverified assumption and has not been carried forward.</w:t>
      </w:r>
    </w:p>
    <w:p>
      <w:r>
        <w:br w:type="page"/>
      </w:r>
    </w:p>
    <w:p>
      <w:pPr>
        <w:pStyle w:val="Heading1"/>
      </w:pPr>
      <w:r>
        <w:t>4. Data Cleaning Process</w:t>
      </w:r>
    </w:p>
    <w:p>
      <w:pPr>
        <w:spacing w:after="140" w:before="0"/>
      </w:pPr>
      <w:r>
        <w:rPr>
          <w:b w:val="0"/>
          <w:i w:val="0"/>
          <w:color w:val="212529"/>
          <w:sz w:val="21"/>
        </w:rPr>
        <w:t>Cleaning followed one rule: correct what is provably wrong, label what is merely missing, and never invent a value. Records were retained wherever possible so that the size of the business is not silently reduced by the cleaning itself. Every step below is implemented in the accompanying script and can be re-run against the original file to reproduce the cleaned dataset exactly.</w:t>
      </w:r>
    </w:p>
    <w:p>
      <w:pPr>
        <w:pStyle w:val="Heading2"/>
      </w:pPr>
      <w:r>
        <w:t>4.1 The problems found</w:t>
      </w:r>
    </w:p>
    <w:p>
      <w:pPr>
        <w:spacing w:before="120" w:after="40"/>
        <w:jc w:val="center"/>
      </w:pPr>
      <w:r>
        <w:drawing>
          <wp:inline xmlns:a="http://schemas.openxmlformats.org/drawingml/2006/main" xmlns:pic="http://schemas.openxmlformats.org/drawingml/2006/picture">
            <wp:extent cx="5852160" cy="2731008"/>
            <wp:docPr id="1" name="Picture 1"/>
            <wp:cNvGraphicFramePr>
              <a:graphicFrameLocks noChangeAspect="1"/>
            </wp:cNvGraphicFramePr>
            <a:graphic>
              <a:graphicData uri="http://schemas.openxmlformats.org/drawingml/2006/picture">
                <pic:pic>
                  <pic:nvPicPr>
                    <pic:cNvPr id="0" name="data_quality.png"/>
                    <pic:cNvPicPr/>
                  </pic:nvPicPr>
                  <pic:blipFill>
                    <a:blip r:embed="rId10"/>
                    <a:stretch>
                      <a:fillRect/>
                    </a:stretch>
                  </pic:blipFill>
                  <pic:spPr>
                    <a:xfrm>
                      <a:off x="0" y="0"/>
                      <a:ext cx="5852160" cy="2731008"/>
                    </a:xfrm>
                    <a:prstGeom prst="rect"/>
                  </pic:spPr>
                </pic:pic>
              </a:graphicData>
            </a:graphic>
          </wp:inline>
        </w:drawing>
      </w:r>
    </w:p>
    <w:p>
      <w:pPr>
        <w:spacing w:after="240"/>
        <w:jc w:val="center"/>
      </w:pPr>
      <w:r>
        <w:rPr>
          <w:i/>
          <w:color w:val="5C6670"/>
          <w:sz w:val="17"/>
        </w:rPr>
        <w:t>Figure 1: Missing values in the raw extract. All 198 gaps were stored as the literal text 'NA', which a chart reads as a real category rather than as absent data.</w:t>
      </w:r>
    </w:p>
    <w:p>
      <w:pPr>
        <w:spacing w:after="160" w:before="0"/>
      </w:pPr>
      <w:r>
        <w:rPr>
          <w:b w:val="0"/>
          <w:i w:val="0"/>
          <w:color w:val="212529"/>
          <w:sz w:val="21"/>
        </w:rPr>
        <w:t>Beyond the missing values, the raw file carried four further defects: a displaced header, three pivot-table columns pasted into the data region, inconsistent country labels, and dates stored as text. Critically, two of these defects do not raise an error - they simply produce a wrong answer, which is why they survived into the Task 2 dashboard.</w:t>
      </w:r>
    </w:p>
    <w:p>
      <w:pPr>
        <w:pStyle w:val="Heading2"/>
      </w:pPr>
      <w:r>
        <w:t>4.2 The cleaning steps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fill="1F4E79"/>
          </w:tcPr>
          <w:p>
            <w:pPr>
              <w:spacing w:after="20" w:before="20"/>
            </w:pPr>
            <w:r/>
            <w:r>
              <w:rPr>
                <w:b/>
                <w:color w:val="FFFFFF"/>
                <w:sz w:val="17"/>
              </w:rPr>
              <w:t>#</w:t>
            </w:r>
          </w:p>
        </w:tc>
        <w:tc>
          <w:tcPr>
            <w:tcW w:type="dxa" w:w="2160"/>
            <w:shd w:val="clear" w:fill="1F4E79"/>
          </w:tcPr>
          <w:p>
            <w:pPr>
              <w:spacing w:after="20" w:before="20"/>
            </w:pPr>
            <w:r/>
            <w:r>
              <w:rPr>
                <w:b/>
                <w:color w:val="FFFFFF"/>
                <w:sz w:val="17"/>
              </w:rPr>
              <w:t>Action</w:t>
            </w:r>
          </w:p>
        </w:tc>
        <w:tc>
          <w:tcPr>
            <w:tcW w:type="dxa" w:w="4320"/>
            <w:shd w:val="clear" w:fill="1F4E79"/>
          </w:tcPr>
          <w:p>
            <w:pPr>
              <w:spacing w:after="20" w:before="20"/>
            </w:pPr>
            <w:r/>
            <w:r>
              <w:rPr>
                <w:b/>
                <w:color w:val="FFFFFF"/>
                <w:sz w:val="17"/>
              </w:rPr>
              <w:t>Issue addressed</w:t>
            </w:r>
          </w:p>
        </w:tc>
        <w:tc>
          <w:tcPr>
            <w:tcW w:type="dxa" w:w="2736"/>
            <w:shd w:val="clear" w:fill="1F4E79"/>
          </w:tcPr>
          <w:p>
            <w:pPr>
              <w:spacing w:after="20" w:before="20"/>
            </w:pPr>
            <w:r/>
            <w:r>
              <w:rPr>
                <w:b/>
                <w:color w:val="FFFFFF"/>
                <w:sz w:val="17"/>
              </w:rPr>
              <w:t>Result</w:t>
            </w:r>
          </w:p>
        </w:tc>
      </w:tr>
      <w:tr>
        <w:tc>
          <w:tcPr>
            <w:tcW w:type="dxa" w:w="432"/>
          </w:tcPr>
          <w:p>
            <w:pPr>
              <w:spacing w:after="20" w:before="20"/>
            </w:pPr>
            <w:r/>
            <w:r>
              <w:rPr>
                <w:color w:val="212529"/>
                <w:sz w:val="17"/>
              </w:rPr>
              <w:t>1</w:t>
            </w:r>
          </w:p>
        </w:tc>
        <w:tc>
          <w:tcPr>
            <w:tcW w:type="dxa" w:w="2160"/>
          </w:tcPr>
          <w:p>
            <w:pPr>
              <w:spacing w:after="20" w:before="20"/>
            </w:pPr>
            <w:r/>
            <w:r>
              <w:rPr>
                <w:color w:val="212529"/>
                <w:sz w:val="17"/>
              </w:rPr>
              <w:t>Promoted header row</w:t>
            </w:r>
          </w:p>
        </w:tc>
        <w:tc>
          <w:tcPr>
            <w:tcW w:type="dxa" w:w="4320"/>
          </w:tcPr>
          <w:p>
            <w:pPr>
              <w:spacing w:after="20" w:before="20"/>
            </w:pPr>
            <w:r/>
            <w:r>
              <w:rPr>
                <w:color w:val="212529"/>
                <w:sz w:val="17"/>
              </w:rPr>
              <w:t>Source file began with a blank line; the true header was on row 2.</w:t>
            </w:r>
          </w:p>
        </w:tc>
        <w:tc>
          <w:tcPr>
            <w:tcW w:type="dxa" w:w="2736"/>
          </w:tcPr>
          <w:p>
            <w:pPr>
              <w:spacing w:after="20" w:before="20"/>
            </w:pPr>
            <w:r/>
            <w:r>
              <w:rPr>
                <w:color w:val="212529"/>
                <w:sz w:val="17"/>
              </w:rPr>
              <w:t>626 data rows, 15 columns</w:t>
            </w:r>
          </w:p>
        </w:tc>
      </w:tr>
      <w:tr>
        <w:tc>
          <w:tcPr>
            <w:tcW w:type="dxa" w:w="432"/>
            <w:shd w:val="clear" w:fill="EEF3F8"/>
          </w:tcPr>
          <w:p>
            <w:pPr>
              <w:spacing w:after="20" w:before="20"/>
            </w:pPr>
            <w:r/>
            <w:r>
              <w:rPr>
                <w:color w:val="212529"/>
                <w:sz w:val="17"/>
              </w:rPr>
              <w:t>2</w:t>
            </w:r>
          </w:p>
        </w:tc>
        <w:tc>
          <w:tcPr>
            <w:tcW w:type="dxa" w:w="2160"/>
            <w:shd w:val="clear" w:fill="EEF3F8"/>
          </w:tcPr>
          <w:p>
            <w:pPr>
              <w:spacing w:after="20" w:before="20"/>
            </w:pPr>
            <w:r/>
            <w:r>
              <w:rPr>
                <w:color w:val="212529"/>
                <w:sz w:val="17"/>
              </w:rPr>
              <w:t>Removed pasted pivot-table columns</w:t>
            </w:r>
          </w:p>
        </w:tc>
        <w:tc>
          <w:tcPr>
            <w:tcW w:type="dxa" w:w="4320"/>
            <w:shd w:val="clear" w:fill="EEF3F8"/>
          </w:tcPr>
          <w:p>
            <w:pPr>
              <w:spacing w:after="20" w:before="20"/>
            </w:pPr>
            <w:r/>
            <w:r>
              <w:rPr>
                <w:color w:val="212529"/>
                <w:sz w:val="17"/>
              </w:rPr>
              <w:t>Columns N-P held an unrelated country-level pivot ('Row Labels' / 'Sum of Sales').</w:t>
            </w:r>
          </w:p>
        </w:tc>
        <w:tc>
          <w:tcPr>
            <w:tcW w:type="dxa" w:w="2736"/>
            <w:shd w:val="clear" w:fill="EEF3F8"/>
          </w:tcPr>
          <w:p>
            <w:pPr>
              <w:spacing w:after="20" w:before="20"/>
            </w:pPr>
            <w:r/>
            <w:r>
              <w:rPr>
                <w:color w:val="212529"/>
                <w:sz w:val="17"/>
              </w:rPr>
              <w:t>Reduced to the 12 core columns</w:t>
            </w:r>
          </w:p>
        </w:tc>
      </w:tr>
      <w:tr>
        <w:tc>
          <w:tcPr>
            <w:tcW w:type="dxa" w:w="432"/>
          </w:tcPr>
          <w:p>
            <w:pPr>
              <w:spacing w:after="20" w:before="20"/>
            </w:pPr>
            <w:r/>
            <w:r>
              <w:rPr>
                <w:color w:val="212529"/>
                <w:sz w:val="17"/>
              </w:rPr>
              <w:t>3</w:t>
            </w:r>
          </w:p>
        </w:tc>
        <w:tc>
          <w:tcPr>
            <w:tcW w:type="dxa" w:w="2160"/>
          </w:tcPr>
          <w:p>
            <w:pPr>
              <w:spacing w:after="20" w:before="20"/>
            </w:pPr>
            <w:r/>
            <w:r>
              <w:rPr>
                <w:color w:val="212529"/>
                <w:sz w:val="17"/>
              </w:rPr>
              <w:t>Standardised the 'NA' missing marker</w:t>
            </w:r>
          </w:p>
        </w:tc>
        <w:tc>
          <w:tcPr>
            <w:tcW w:type="dxa" w:w="4320"/>
          </w:tcPr>
          <w:p>
            <w:pPr>
              <w:spacing w:after="20" w:before="20"/>
            </w:pPr>
            <w:r/>
            <w:r>
              <w:rPr>
                <w:color w:val="212529"/>
                <w:sz w:val="17"/>
              </w:rPr>
              <w:t>Missing values were stored as the literal text 'NA' across 5 columns.</w:t>
            </w:r>
          </w:p>
        </w:tc>
        <w:tc>
          <w:tcPr>
            <w:tcW w:type="dxa" w:w="2736"/>
          </w:tcPr>
          <w:p>
            <w:pPr>
              <w:spacing w:after="20" w:before="20"/>
            </w:pPr>
            <w:r/>
            <w:r>
              <w:rPr>
                <w:color w:val="212529"/>
                <w:sz w:val="17"/>
              </w:rPr>
              <w:t>198 cells converted to true nulls</w:t>
            </w:r>
          </w:p>
        </w:tc>
      </w:tr>
      <w:tr>
        <w:tc>
          <w:tcPr>
            <w:tcW w:type="dxa" w:w="432"/>
            <w:shd w:val="clear" w:fill="EEF3F8"/>
          </w:tcPr>
          <w:p>
            <w:pPr>
              <w:spacing w:after="20" w:before="20"/>
            </w:pPr>
            <w:r/>
            <w:r>
              <w:rPr>
                <w:color w:val="212529"/>
                <w:sz w:val="17"/>
              </w:rPr>
              <w:t>4</w:t>
            </w:r>
          </w:p>
        </w:tc>
        <w:tc>
          <w:tcPr>
            <w:tcW w:type="dxa" w:w="2160"/>
            <w:shd w:val="clear" w:fill="EEF3F8"/>
          </w:tcPr>
          <w:p>
            <w:pPr>
              <w:spacing w:after="20" w:before="20"/>
            </w:pPr>
            <w:r/>
            <w:r>
              <w:rPr>
                <w:color w:val="212529"/>
                <w:sz w:val="17"/>
              </w:rPr>
              <w:t>Standardised country names</w:t>
            </w:r>
          </w:p>
        </w:tc>
        <w:tc>
          <w:tcPr>
            <w:tcW w:type="dxa" w:w="4320"/>
            <w:shd w:val="clear" w:fill="EEF3F8"/>
          </w:tcPr>
          <w:p>
            <w:pPr>
              <w:spacing w:after="20" w:before="20"/>
            </w:pPr>
            <w:r/>
            <w:r>
              <w:rPr>
                <w:color w:val="212529"/>
                <w:sz w:val="17"/>
              </w:rPr>
              <w:t>England and United Kingdom both appeared for one market; U.S.A used for USA.</w:t>
            </w:r>
          </w:p>
        </w:tc>
        <w:tc>
          <w:tcPr>
            <w:tcW w:type="dxa" w:w="2736"/>
            <w:shd w:val="clear" w:fill="EEF3F8"/>
          </w:tcPr>
          <w:p>
            <w:pPr>
              <w:spacing w:after="20" w:before="20"/>
            </w:pPr>
            <w:r/>
            <w:r>
              <w:rPr>
                <w:color w:val="212529"/>
                <w:sz w:val="17"/>
              </w:rPr>
              <w:t>139 labels remapped; 52 blanks labelled 'Unknown'</w:t>
            </w:r>
          </w:p>
        </w:tc>
      </w:tr>
      <w:tr>
        <w:tc>
          <w:tcPr>
            <w:tcW w:type="dxa" w:w="432"/>
          </w:tcPr>
          <w:p>
            <w:pPr>
              <w:spacing w:after="20" w:before="20"/>
            </w:pPr>
            <w:r/>
            <w:r>
              <w:rPr>
                <w:color w:val="212529"/>
                <w:sz w:val="17"/>
              </w:rPr>
              <w:t>5</w:t>
            </w:r>
          </w:p>
        </w:tc>
        <w:tc>
          <w:tcPr>
            <w:tcW w:type="dxa" w:w="2160"/>
          </w:tcPr>
          <w:p>
            <w:pPr>
              <w:spacing w:after="20" w:before="20"/>
            </w:pPr>
            <w:r/>
            <w:r>
              <w:rPr>
                <w:color w:val="212529"/>
                <w:sz w:val="17"/>
              </w:rPr>
              <w:t>Labelled missing payment methods</w:t>
            </w:r>
          </w:p>
        </w:tc>
        <w:tc>
          <w:tcPr>
            <w:tcW w:type="dxa" w:w="4320"/>
          </w:tcPr>
          <w:p>
            <w:pPr>
              <w:spacing w:after="20" w:before="20"/>
            </w:pPr>
            <w:r/>
            <w:r>
              <w:rPr>
                <w:color w:val="212529"/>
                <w:sz w:val="17"/>
              </w:rPr>
              <w:t>Blank payment methods would silently vanish from a share-of-total chart.</w:t>
            </w:r>
          </w:p>
        </w:tc>
        <w:tc>
          <w:tcPr>
            <w:tcW w:type="dxa" w:w="2736"/>
          </w:tcPr>
          <w:p>
            <w:pPr>
              <w:spacing w:after="20" w:before="20"/>
            </w:pPr>
            <w:r/>
            <w:r>
              <w:rPr>
                <w:color w:val="212529"/>
                <w:sz w:val="17"/>
              </w:rPr>
              <w:t>36 rows labelled 'Unknown' and retained</w:t>
            </w:r>
          </w:p>
        </w:tc>
      </w:tr>
      <w:tr>
        <w:tc>
          <w:tcPr>
            <w:tcW w:type="dxa" w:w="432"/>
            <w:shd w:val="clear" w:fill="EEF3F8"/>
          </w:tcPr>
          <w:p>
            <w:pPr>
              <w:spacing w:after="20" w:before="20"/>
            </w:pPr>
            <w:r/>
            <w:r>
              <w:rPr>
                <w:color w:val="212529"/>
                <w:sz w:val="17"/>
              </w:rPr>
              <w:t>6</w:t>
            </w:r>
          </w:p>
        </w:tc>
        <w:tc>
          <w:tcPr>
            <w:tcW w:type="dxa" w:w="2160"/>
            <w:shd w:val="clear" w:fill="EEF3F8"/>
          </w:tcPr>
          <w:p>
            <w:pPr>
              <w:spacing w:after="20" w:before="20"/>
            </w:pPr>
            <w:r/>
            <w:r>
              <w:rPr>
                <w:color w:val="212529"/>
                <w:sz w:val="17"/>
              </w:rPr>
              <w:t>Parsed dates and derived fields</w:t>
            </w:r>
          </w:p>
        </w:tc>
        <w:tc>
          <w:tcPr>
            <w:tcW w:type="dxa" w:w="4320"/>
            <w:shd w:val="clear" w:fill="EEF3F8"/>
          </w:tcPr>
          <w:p>
            <w:pPr>
              <w:spacing w:after="20" w:before="20"/>
            </w:pPr>
            <w:r/>
            <w:r>
              <w:rPr>
                <w:color w:val="212529"/>
                <w:sz w:val="17"/>
              </w:rPr>
              <w:t>Dates were stored as dd/mm/yy text, unusable for time-series grouping.</w:t>
            </w:r>
          </w:p>
        </w:tc>
        <w:tc>
          <w:tcPr>
            <w:tcW w:type="dxa" w:w="2736"/>
            <w:shd w:val="clear" w:fill="EEF3F8"/>
          </w:tcPr>
          <w:p>
            <w:pPr>
              <w:spacing w:after="20" w:before="20"/>
            </w:pPr>
            <w:r/>
            <w:r>
              <w:rPr>
                <w:color w:val="212529"/>
                <w:sz w:val="17"/>
              </w:rPr>
              <w:t>626 parsed, 0 unparseable; Year/Month/Quarter added</w:t>
            </w:r>
          </w:p>
        </w:tc>
      </w:tr>
      <w:tr>
        <w:tc>
          <w:tcPr>
            <w:tcW w:type="dxa" w:w="432"/>
          </w:tcPr>
          <w:p>
            <w:pPr>
              <w:spacing w:after="20" w:before="20"/>
            </w:pPr>
            <w:r/>
            <w:r>
              <w:rPr>
                <w:color w:val="212529"/>
                <w:sz w:val="17"/>
              </w:rPr>
              <w:t>7</w:t>
            </w:r>
          </w:p>
        </w:tc>
        <w:tc>
          <w:tcPr>
            <w:tcW w:type="dxa" w:w="2160"/>
          </w:tcPr>
          <w:p>
            <w:pPr>
              <w:spacing w:after="20" w:before="20"/>
            </w:pPr>
            <w:r/>
            <w:r>
              <w:rPr>
                <w:color w:val="212529"/>
                <w:sz w:val="17"/>
              </w:rPr>
              <w:t>Validated the Sales measure</w:t>
            </w:r>
          </w:p>
        </w:tc>
        <w:tc>
          <w:tcPr>
            <w:tcW w:type="dxa" w:w="4320"/>
          </w:tcPr>
          <w:p>
            <w:pPr>
              <w:spacing w:after="20" w:before="20"/>
            </w:pPr>
            <w:r/>
            <w:r>
              <w:rPr>
                <w:color w:val="212529"/>
                <w:sz w:val="17"/>
              </w:rPr>
              <w:t>Sales is a derived field (Quantity x UnitPrice), not an independent input.</w:t>
            </w:r>
          </w:p>
        </w:tc>
        <w:tc>
          <w:tcPr>
            <w:tcW w:type="dxa" w:w="2736"/>
          </w:tcPr>
          <w:p>
            <w:pPr>
              <w:spacing w:after="20" w:before="20"/>
            </w:pPr>
            <w:r/>
            <w:r>
              <w:rPr>
                <w:color w:val="212529"/>
                <w:sz w:val="17"/>
              </w:rPr>
              <w:t>626/626 rows reconcile exactly</w:t>
            </w:r>
          </w:p>
        </w:tc>
      </w:tr>
    </w:tbl>
    <w:p>
      <w:pPr>
        <w:spacing w:before="60" w:after="200"/>
      </w:pPr>
      <w:r>
        <w:rPr>
          <w:i/>
          <w:color w:val="5C6670"/>
          <w:sz w:val="17"/>
        </w:rPr>
        <w:t>Table 4: The ten cleaning steps applied to the raw extract.</w:t>
      </w:r>
    </w:p>
    <w:p>
      <w:pPr>
        <w:pStyle w:val="Heading2"/>
      </w:pPr>
      <w:r>
        <w:t>4.3 The country-name defect and its impact</w:t>
      </w:r>
    </w:p>
    <w:p>
      <w:pPr>
        <w:spacing w:after="140" w:before="0"/>
      </w:pPr>
      <w:r>
        <w:rPr>
          <w:b w:val="0"/>
          <w:i w:val="0"/>
          <w:color w:val="212529"/>
          <w:sz w:val="21"/>
        </w:rPr>
        <w:t>'England' and 'United Kingdom' both appeared as destination markets, splitting one market across two rows: 13,630.14 recorded under England and 56,115.69 under United Kingdom. The same defect appeared as 'U.S.A' instead of 'USA'. Merging them produces a UK total of 69,745.83, which is 19.1% of revenue and the second-largest market in the business, ahead of India. In the uncorrected view the UK ranked 5th.</w:t>
      </w:r>
    </w:p>
    <w:p>
      <w:pPr>
        <w:spacing w:before="120" w:after="40"/>
        <w:jc w:val="center"/>
      </w:pPr>
      <w:r>
        <w:drawing>
          <wp:inline xmlns:a="http://schemas.openxmlformats.org/drawingml/2006/main" xmlns:pic="http://schemas.openxmlformats.org/drawingml/2006/picture">
            <wp:extent cx="5852160" cy="3121152"/>
            <wp:docPr id="2" name="Picture 2"/>
            <wp:cNvGraphicFramePr>
              <a:graphicFrameLocks noChangeAspect="1"/>
            </wp:cNvGraphicFramePr>
            <a:graphic>
              <a:graphicData uri="http://schemas.openxmlformats.org/drawingml/2006/picture">
                <pic:pic>
                  <pic:nvPicPr>
                    <pic:cNvPr id="0" name="country_fix.png"/>
                    <pic:cNvPicPr/>
                  </pic:nvPicPr>
                  <pic:blipFill>
                    <a:blip r:embed="rId11"/>
                    <a:stretch>
                      <a:fillRect/>
                    </a:stretch>
                  </pic:blipFill>
                  <pic:spPr>
                    <a:xfrm>
                      <a:off x="0" y="0"/>
                      <a:ext cx="5852160" cy="3121152"/>
                    </a:xfrm>
                    <a:prstGeom prst="rect"/>
                  </pic:spPr>
                </pic:pic>
              </a:graphicData>
            </a:graphic>
          </wp:inline>
        </w:drawing>
      </w:r>
    </w:p>
    <w:p>
      <w:pPr>
        <w:spacing w:after="240"/>
        <w:jc w:val="center"/>
      </w:pPr>
      <w:r>
        <w:rPr>
          <w:i/>
          <w:color w:val="5C6670"/>
          <w:sz w:val="17"/>
        </w:rPr>
        <w:t>Figure 2: The country fix. Only the United Kingdom changes, but the change moves it above India and Canada and alters the market priority list.</w:t>
      </w:r>
    </w:p>
    <w:p>
      <w:pPr>
        <w:pStyle w:val="Heading2"/>
      </w:pPr>
      <w:r>
        <w:t>4.4 What was deliberately not done</w:t>
      </w:r>
    </w:p>
    <w:p>
      <w:pPr>
        <w:pStyle w:val="ListBullet"/>
        <w:spacing w:after="80"/>
      </w:pPr>
      <w:r>
        <w:rPr>
          <w:b/>
          <w:color w:val="212529"/>
          <w:sz w:val="21"/>
        </w:rPr>
        <w:t xml:space="preserve">No silent deletion. </w:t>
      </w:r>
      <w:r>
        <w:rPr>
          <w:color w:val="212529"/>
          <w:sz w:val="21"/>
        </w:rPr>
        <w:t>Missing countries and payment methods were labelled 'Unknown' rather than dropped, because dropping them would remove a real 8.5% of revenue from the country totals and hide the size of the data gap.</w:t>
      </w:r>
    </w:p>
    <w:p>
      <w:pPr>
        <w:pStyle w:val="ListBullet"/>
        <w:spacing w:after="80"/>
      </w:pPr>
      <w:r>
        <w:rPr>
          <w:b/>
          <w:color w:val="212529"/>
          <w:sz w:val="21"/>
        </w:rPr>
        <w:t xml:space="preserve">No imputation. </w:t>
      </w:r>
      <w:r>
        <w:rPr>
          <w:color w:val="212529"/>
          <w:sz w:val="21"/>
        </w:rPr>
        <w:t>No customer name, city or country was guessed from another field. The residual gaps are small enough to disclose rather than paper over.</w:t>
      </w:r>
    </w:p>
    <w:p>
      <w:pPr>
        <w:pStyle w:val="ListBullet"/>
        <w:spacing w:after="80"/>
      </w:pPr>
      <w:r>
        <w:rPr>
          <w:b/>
          <w:color w:val="212529"/>
          <w:sz w:val="21"/>
        </w:rPr>
        <w:t xml:space="preserve">No invented records. </w:t>
      </w:r>
      <w:r>
        <w:rPr>
          <w:color w:val="212529"/>
          <w:sz w:val="21"/>
        </w:rPr>
        <w:t>Order IDs absent from the sequence were left absent. It cannot be determined whether they were cancelled, never issued or simply filtered out, so they were not fabricated.</w:t>
      </w:r>
    </w:p>
    <w:p>
      <w:pPr>
        <w:pStyle w:val="Heading2"/>
      </w:pPr>
      <w:r>
        <w:t>4.5 Residual gaps after cleaning</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456"/>
            <w:shd w:val="clear" w:fill="1F4E79"/>
          </w:tcPr>
          <w:p>
            <w:pPr>
              <w:spacing w:after="20" w:before="20"/>
            </w:pPr>
            <w:r/>
            <w:r>
              <w:rPr>
                <w:b/>
                <w:color w:val="FFFFFF"/>
                <w:sz w:val="19"/>
              </w:rPr>
              <w:t>Field</w:t>
            </w:r>
          </w:p>
        </w:tc>
        <w:tc>
          <w:tcPr>
            <w:tcW w:type="dxa" w:w="2880"/>
            <w:shd w:val="clear" w:fill="1F4E79"/>
          </w:tcPr>
          <w:p>
            <w:pPr>
              <w:spacing w:after="20" w:before="20"/>
            </w:pPr>
            <w:r/>
            <w:r>
              <w:rPr>
                <w:b/>
                <w:color w:val="FFFFFF"/>
                <w:sz w:val="19"/>
              </w:rPr>
              <w:t>Missing cells</w:t>
            </w:r>
          </w:p>
        </w:tc>
        <w:tc>
          <w:tcPr>
            <w:tcW w:type="dxa" w:w="3312"/>
            <w:shd w:val="clear" w:fill="1F4E79"/>
          </w:tcPr>
          <w:p>
            <w:pPr>
              <w:spacing w:after="20" w:before="20"/>
            </w:pPr>
            <w:r/>
            <w:r>
              <w:rPr>
                <w:b/>
                <w:color w:val="FFFFFF"/>
                <w:sz w:val="19"/>
              </w:rPr>
              <w:t>Share of rows</w:t>
            </w:r>
          </w:p>
        </w:tc>
      </w:tr>
      <w:tr>
        <w:tc>
          <w:tcPr>
            <w:tcW w:type="dxa" w:w="3456"/>
          </w:tcPr>
          <w:p>
            <w:pPr>
              <w:spacing w:after="20" w:before="20"/>
            </w:pPr>
            <w:r/>
            <w:r>
              <w:rPr>
                <w:color w:val="212529"/>
                <w:sz w:val="19"/>
              </w:rPr>
              <w:t>Email</w:t>
            </w:r>
          </w:p>
        </w:tc>
        <w:tc>
          <w:tcPr>
            <w:tcW w:type="dxa" w:w="2880"/>
          </w:tcPr>
          <w:p>
            <w:pPr>
              <w:spacing w:after="20" w:before="20"/>
              <w:jc w:val="right"/>
            </w:pPr>
            <w:r/>
            <w:r>
              <w:rPr>
                <w:color w:val="212529"/>
                <w:sz w:val="19"/>
              </w:rPr>
              <w:t>49</w:t>
            </w:r>
          </w:p>
        </w:tc>
        <w:tc>
          <w:tcPr>
            <w:tcW w:type="dxa" w:w="3312"/>
          </w:tcPr>
          <w:p>
            <w:pPr>
              <w:spacing w:after="20" w:before="20"/>
              <w:jc w:val="right"/>
            </w:pPr>
            <w:r/>
            <w:r>
              <w:rPr>
                <w:color w:val="212529"/>
                <w:sz w:val="19"/>
              </w:rPr>
              <w:t>7.8%</w:t>
            </w:r>
          </w:p>
        </w:tc>
      </w:tr>
      <w:tr>
        <w:tc>
          <w:tcPr>
            <w:tcW w:type="dxa" w:w="3456"/>
            <w:shd w:val="clear" w:fill="EEF3F8"/>
          </w:tcPr>
          <w:p>
            <w:pPr>
              <w:spacing w:after="20" w:before="20"/>
            </w:pPr>
            <w:r/>
            <w:r>
              <w:rPr>
                <w:color w:val="212529"/>
                <w:sz w:val="19"/>
              </w:rPr>
              <w:t>CustomerName</w:t>
            </w:r>
          </w:p>
        </w:tc>
        <w:tc>
          <w:tcPr>
            <w:tcW w:type="dxa" w:w="2880"/>
            <w:shd w:val="clear" w:fill="EEF3F8"/>
          </w:tcPr>
          <w:p>
            <w:pPr>
              <w:spacing w:after="20" w:before="20"/>
              <w:jc w:val="right"/>
            </w:pPr>
            <w:r/>
            <w:r>
              <w:rPr>
                <w:color w:val="212529"/>
                <w:sz w:val="19"/>
              </w:rPr>
              <w:t>35</w:t>
            </w:r>
          </w:p>
        </w:tc>
        <w:tc>
          <w:tcPr>
            <w:tcW w:type="dxa" w:w="3312"/>
            <w:shd w:val="clear" w:fill="EEF3F8"/>
          </w:tcPr>
          <w:p>
            <w:pPr>
              <w:spacing w:after="20" w:before="20"/>
              <w:jc w:val="right"/>
            </w:pPr>
            <w:r/>
            <w:r>
              <w:rPr>
                <w:color w:val="212529"/>
                <w:sz w:val="19"/>
              </w:rPr>
              <w:t>5.6%</w:t>
            </w:r>
          </w:p>
        </w:tc>
      </w:tr>
      <w:tr>
        <w:tc>
          <w:tcPr>
            <w:tcW w:type="dxa" w:w="3456"/>
          </w:tcPr>
          <w:p>
            <w:pPr>
              <w:spacing w:after="20" w:before="20"/>
            </w:pPr>
            <w:r/>
            <w:r>
              <w:rPr>
                <w:color w:val="212529"/>
                <w:sz w:val="19"/>
              </w:rPr>
              <w:t>Shippingcity</w:t>
            </w:r>
          </w:p>
        </w:tc>
        <w:tc>
          <w:tcPr>
            <w:tcW w:type="dxa" w:w="2880"/>
          </w:tcPr>
          <w:p>
            <w:pPr>
              <w:spacing w:after="20" w:before="20"/>
              <w:jc w:val="right"/>
            </w:pPr>
            <w:r/>
            <w:r>
              <w:rPr>
                <w:color w:val="212529"/>
                <w:sz w:val="19"/>
              </w:rPr>
              <w:t>26</w:t>
            </w:r>
          </w:p>
        </w:tc>
        <w:tc>
          <w:tcPr>
            <w:tcW w:type="dxa" w:w="3312"/>
          </w:tcPr>
          <w:p>
            <w:pPr>
              <w:spacing w:after="20" w:before="20"/>
              <w:jc w:val="right"/>
            </w:pPr>
            <w:r/>
            <w:r>
              <w:rPr>
                <w:color w:val="212529"/>
                <w:sz w:val="19"/>
              </w:rPr>
              <w:t>4.2%</w:t>
            </w:r>
          </w:p>
        </w:tc>
      </w:tr>
      <w:tr>
        <w:tc>
          <w:tcPr>
            <w:tcW w:type="dxa" w:w="3456"/>
            <w:shd w:val="clear" w:fill="EEF3F8"/>
          </w:tcPr>
          <w:p>
            <w:pPr>
              <w:spacing w:after="20" w:before="20"/>
            </w:pPr>
            <w:r/>
            <w:r>
              <w:rPr>
                <w:color w:val="212529"/>
                <w:sz w:val="19"/>
              </w:rPr>
              <w:t>Total</w:t>
            </w:r>
          </w:p>
        </w:tc>
        <w:tc>
          <w:tcPr>
            <w:tcW w:type="dxa" w:w="2880"/>
            <w:shd w:val="clear" w:fill="EEF3F8"/>
          </w:tcPr>
          <w:p>
            <w:pPr>
              <w:spacing w:after="20" w:before="20"/>
              <w:jc w:val="right"/>
            </w:pPr>
            <w:r/>
            <w:r>
              <w:rPr>
                <w:color w:val="212529"/>
                <w:sz w:val="19"/>
              </w:rPr>
              <w:t>110</w:t>
            </w:r>
          </w:p>
        </w:tc>
        <w:tc>
          <w:tcPr>
            <w:tcW w:type="dxa" w:w="3312"/>
            <w:shd w:val="clear" w:fill="EEF3F8"/>
          </w:tcPr>
          <w:p>
            <w:pPr>
              <w:spacing w:after="20" w:before="20"/>
              <w:jc w:val="right"/>
            </w:pPr>
            <w:r/>
            <w:r>
              <w:rPr>
                <w:color w:val="212529"/>
                <w:sz w:val="19"/>
              </w:rPr>
              <w:t>1.46% of all cells</w:t>
            </w:r>
          </w:p>
        </w:tc>
      </w:tr>
    </w:tbl>
    <w:p>
      <w:pPr>
        <w:spacing w:before="60" w:after="200"/>
      </w:pPr>
      <w:r>
        <w:rPr>
          <w:i/>
          <w:color w:val="5C6670"/>
          <w:sz w:val="17"/>
        </w:rPr>
        <w:t>Table 5: Gaps remaining in the cleaned dataset. These are retained and disclosed, not filled.</w:t>
      </w:r>
    </w:p>
    <w:p>
      <w:pPr>
        <w:pStyle w:val="Heading2"/>
      </w:pPr>
      <w:r>
        <w:t>4.6 Cleaning output</w:t>
      </w:r>
    </w:p>
    <w:p>
      <w:pPr>
        <w:spacing w:after="140" w:before="0"/>
      </w:pPr>
      <w:r>
        <w:rPr>
          <w:b w:val="0"/>
          <w:i w:val="0"/>
          <w:color w:val="212529"/>
          <w:sz w:val="21"/>
        </w:rPr>
        <w:t>The cleaning stage produces two files: a machine-readable CSV and a workbook that documents the work. The workbook carries the cleaned records, the ten-step cleaning log, the raw-data audit and a sheet for each analysis view.</w:t>
      </w:r>
    </w:p>
    <w:tbl>
      <w:tblPr>
        <w:tblStyle w:val="TableGrid"/>
        <w:tblW w:type="auto" w:w="0"/>
        <w:jc w:val="center"/>
        <w:tblLayout w:type="fixed"/>
        <w:tblLook w:firstColumn="1" w:firstRow="1" w:lastColumn="0" w:lastRow="0" w:noHBand="0" w:noVBand="1" w:val="04A0"/>
      </w:tblPr>
      <w:tblGrid>
        <w:gridCol w:w="4824"/>
        <w:gridCol w:w="4824"/>
      </w:tblGrid>
      <w:tr>
        <w:tc>
          <w:tcPr>
            <w:tcW w:type="dxa" w:w="3600"/>
            <w:shd w:val="clear" w:fill="1F4E79"/>
          </w:tcPr>
          <w:p>
            <w:pPr>
              <w:spacing w:after="20" w:before="20"/>
            </w:pPr>
            <w:r/>
            <w:r>
              <w:rPr>
                <w:b/>
                <w:color w:val="FFFFFF"/>
                <w:sz w:val="18"/>
              </w:rPr>
              <w:t>Deliverable file</w:t>
            </w:r>
          </w:p>
        </w:tc>
        <w:tc>
          <w:tcPr>
            <w:tcW w:type="dxa" w:w="6048"/>
            <w:shd w:val="clear" w:fill="1F4E79"/>
          </w:tcPr>
          <w:p>
            <w:pPr>
              <w:spacing w:after="20" w:before="20"/>
            </w:pPr>
            <w:r/>
            <w:r>
              <w:rPr>
                <w:b/>
                <w:color w:val="FFFFFF"/>
                <w:sz w:val="18"/>
              </w:rPr>
              <w:t>Contents</w:t>
            </w:r>
          </w:p>
        </w:tc>
      </w:tr>
      <w:tr>
        <w:tc>
          <w:tcPr>
            <w:tcW w:type="dxa" w:w="3600"/>
          </w:tcPr>
          <w:p>
            <w:pPr>
              <w:spacing w:after="20" w:before="20"/>
            </w:pPr>
            <w:r/>
            <w:r>
              <w:rPr>
                <w:color w:val="212529"/>
                <w:sz w:val="18"/>
              </w:rPr>
              <w:t>cleaned_retail_orders.csv</w:t>
            </w:r>
          </w:p>
        </w:tc>
        <w:tc>
          <w:tcPr>
            <w:tcW w:type="dxa" w:w="6048"/>
          </w:tcPr>
          <w:p>
            <w:pPr>
              <w:spacing w:after="20" w:before="20"/>
            </w:pPr>
            <w:r/>
            <w:r>
              <w:rPr>
                <w:color w:val="212529"/>
                <w:sz w:val="18"/>
              </w:rPr>
              <w:t>626 cleaned records, 12 original fields plus Year, Month, Quarter</w:t>
            </w:r>
          </w:p>
        </w:tc>
      </w:tr>
      <w:tr>
        <w:tc>
          <w:tcPr>
            <w:tcW w:type="dxa" w:w="3600"/>
            <w:shd w:val="clear" w:fill="EEF3F8"/>
          </w:tcPr>
          <w:p>
            <w:pPr>
              <w:spacing w:after="20" w:before="20"/>
            </w:pPr>
            <w:r/>
            <w:r>
              <w:rPr>
                <w:color w:val="212529"/>
                <w:sz w:val="18"/>
              </w:rPr>
              <w:t>cleaned_retail_orders.xlsx</w:t>
            </w:r>
          </w:p>
        </w:tc>
        <w:tc>
          <w:tcPr>
            <w:tcW w:type="dxa" w:w="6048"/>
            <w:shd w:val="clear" w:fill="EEF3F8"/>
          </w:tcPr>
          <w:p>
            <w:pPr>
              <w:spacing w:after="20" w:before="20"/>
            </w:pPr>
            <w:r/>
            <w:r>
              <w:rPr>
                <w:color w:val="212529"/>
                <w:sz w:val="18"/>
              </w:rPr>
              <w:t>Cleaned Data, Cleaning Log, Raw Audit, Sales by Country, Sales by Category, Monthly Trend, Payment Methods, Top Cities</w:t>
            </w:r>
          </w:p>
        </w:tc>
      </w:tr>
    </w:tbl>
    <w:p>
      <w:pPr>
        <w:spacing w:before="60" w:after="200"/>
      </w:pPr>
      <w:r>
        <w:rPr>
          <w:i/>
          <w:color w:val="5C6670"/>
          <w:sz w:val="17"/>
        </w:rPr>
        <w:t>Table 6: Cleaning outputs produced for this project.</w:t>
      </w:r>
    </w:p>
    <w:p>
      <w:r>
        <w:br w:type="page"/>
      </w:r>
    </w:p>
    <w:p>
      <w:pPr>
        <w:pStyle w:val="Heading1"/>
      </w:pPr>
      <w:r>
        <w:t>5. Analysis and Findings</w:t>
      </w:r>
    </w:p>
    <w:p>
      <w:pPr>
        <w:pStyle w:val="Heading2"/>
      </w:pPr>
      <w:r>
        <w:t>5.1 Revenue by market</w:t>
      </w:r>
    </w:p>
    <w:p>
      <w:pPr>
        <w:spacing w:after="140" w:before="0"/>
      </w:pPr>
      <w:r>
        <w:rPr>
          <w:b w:val="0"/>
          <w:i w:val="0"/>
          <w:color w:val="212529"/>
          <w:sz w:val="21"/>
        </w:rPr>
        <w:t>Revenue is distributed remarkably evenly across markets. Australia leads with 78,633.63 (21.5%), followed by the corrected United Kingdom at 69,745.83 (19.1%). The top five markets each hold between 16.7% and 21.5% of revenue, a spread of under five percentage points. Average order value is similarly tight, from 532.20 in the USA to 655.28 in Australia.</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1F4E79"/>
          </w:tcPr>
          <w:p>
            <w:pPr>
              <w:spacing w:after="20" w:before="20"/>
            </w:pPr>
            <w:r/>
            <w:r>
              <w:rPr>
                <w:b/>
                <w:color w:val="FFFFFF"/>
                <w:sz w:val="18"/>
              </w:rPr>
              <w:t>Market</w:t>
            </w:r>
          </w:p>
        </w:tc>
        <w:tc>
          <w:tcPr>
            <w:tcW w:type="dxa" w:w="2016"/>
            <w:shd w:val="clear" w:fill="1F4E79"/>
          </w:tcPr>
          <w:p>
            <w:pPr>
              <w:spacing w:after="20" w:before="20"/>
            </w:pPr>
            <w:r/>
            <w:r>
              <w:rPr>
                <w:b/>
                <w:color w:val="FFFFFF"/>
                <w:sz w:val="18"/>
              </w:rPr>
              <w:t>Revenue</w:t>
            </w:r>
          </w:p>
        </w:tc>
        <w:tc>
          <w:tcPr>
            <w:tcW w:type="dxa" w:w="1224"/>
            <w:shd w:val="clear" w:fill="1F4E79"/>
          </w:tcPr>
          <w:p>
            <w:pPr>
              <w:spacing w:after="20" w:before="20"/>
            </w:pPr>
            <w:r/>
            <w:r>
              <w:rPr>
                <w:b/>
                <w:color w:val="FFFFFF"/>
                <w:sz w:val="18"/>
              </w:rPr>
              <w:t>Orders</w:t>
            </w:r>
          </w:p>
        </w:tc>
        <w:tc>
          <w:tcPr>
            <w:tcW w:type="dxa" w:w="2304"/>
            <w:shd w:val="clear" w:fill="1F4E79"/>
          </w:tcPr>
          <w:p>
            <w:pPr>
              <w:spacing w:after="20" w:before="20"/>
            </w:pPr>
            <w:r/>
            <w:r>
              <w:rPr>
                <w:b/>
                <w:color w:val="FFFFFF"/>
                <w:sz w:val="18"/>
              </w:rPr>
              <w:t>Avg order value</w:t>
            </w:r>
          </w:p>
        </w:tc>
        <w:tc>
          <w:tcPr>
            <w:tcW w:type="dxa" w:w="1440"/>
            <w:shd w:val="clear" w:fill="1F4E79"/>
          </w:tcPr>
          <w:p>
            <w:pPr>
              <w:spacing w:after="20" w:before="20"/>
            </w:pPr>
            <w:r/>
            <w:r>
              <w:rPr>
                <w:b/>
                <w:color w:val="FFFFFF"/>
                <w:sz w:val="18"/>
              </w:rPr>
              <w:t>Share</w:t>
            </w:r>
          </w:p>
        </w:tc>
      </w:tr>
      <w:tr>
        <w:tc>
          <w:tcPr>
            <w:tcW w:type="dxa" w:w="2160"/>
          </w:tcPr>
          <w:p>
            <w:pPr>
              <w:spacing w:after="20" w:before="20"/>
            </w:pPr>
            <w:r/>
            <w:r>
              <w:rPr>
                <w:color w:val="212529"/>
                <w:sz w:val="18"/>
              </w:rPr>
              <w:t>Australia</w:t>
            </w:r>
          </w:p>
        </w:tc>
        <w:tc>
          <w:tcPr>
            <w:tcW w:type="dxa" w:w="2016"/>
          </w:tcPr>
          <w:p>
            <w:pPr>
              <w:spacing w:after="20" w:before="20"/>
              <w:jc w:val="right"/>
            </w:pPr>
            <w:r/>
            <w:r>
              <w:rPr>
                <w:color w:val="212529"/>
                <w:sz w:val="18"/>
              </w:rPr>
              <w:t>78,633.63</w:t>
            </w:r>
          </w:p>
        </w:tc>
        <w:tc>
          <w:tcPr>
            <w:tcW w:type="dxa" w:w="1224"/>
          </w:tcPr>
          <w:p>
            <w:pPr>
              <w:spacing w:after="20" w:before="20"/>
              <w:jc w:val="right"/>
            </w:pPr>
            <w:r/>
            <w:r>
              <w:rPr>
                <w:color w:val="212529"/>
                <w:sz w:val="18"/>
              </w:rPr>
              <w:t>120</w:t>
            </w:r>
          </w:p>
        </w:tc>
        <w:tc>
          <w:tcPr>
            <w:tcW w:type="dxa" w:w="2304"/>
          </w:tcPr>
          <w:p>
            <w:pPr>
              <w:spacing w:after="20" w:before="20"/>
              <w:jc w:val="right"/>
            </w:pPr>
            <w:r/>
            <w:r>
              <w:rPr>
                <w:color w:val="212529"/>
                <w:sz w:val="18"/>
              </w:rPr>
              <w:t>655.28</w:t>
            </w:r>
          </w:p>
        </w:tc>
        <w:tc>
          <w:tcPr>
            <w:tcW w:type="dxa" w:w="1440"/>
          </w:tcPr>
          <w:p>
            <w:pPr>
              <w:spacing w:after="20" w:before="20"/>
              <w:jc w:val="right"/>
            </w:pPr>
            <w:r/>
            <w:r>
              <w:rPr>
                <w:color w:val="212529"/>
                <w:sz w:val="18"/>
              </w:rPr>
              <w:t>21.5%</w:t>
            </w:r>
          </w:p>
        </w:tc>
      </w:tr>
      <w:tr>
        <w:tc>
          <w:tcPr>
            <w:tcW w:type="dxa" w:w="2160"/>
            <w:shd w:val="clear" w:fill="EEF3F8"/>
          </w:tcPr>
          <w:p>
            <w:pPr>
              <w:spacing w:after="20" w:before="20"/>
            </w:pPr>
            <w:r/>
            <w:r>
              <w:rPr>
                <w:color w:val="212529"/>
                <w:sz w:val="18"/>
              </w:rPr>
              <w:t>United Kingdom</w:t>
            </w:r>
          </w:p>
        </w:tc>
        <w:tc>
          <w:tcPr>
            <w:tcW w:type="dxa" w:w="2016"/>
            <w:shd w:val="clear" w:fill="EEF3F8"/>
          </w:tcPr>
          <w:p>
            <w:pPr>
              <w:spacing w:after="20" w:before="20"/>
              <w:jc w:val="right"/>
            </w:pPr>
            <w:r/>
            <w:r>
              <w:rPr>
                <w:color w:val="212529"/>
                <w:sz w:val="18"/>
              </w:rPr>
              <w:t>69,745.83</w:t>
            </w:r>
          </w:p>
        </w:tc>
        <w:tc>
          <w:tcPr>
            <w:tcW w:type="dxa" w:w="1224"/>
            <w:shd w:val="clear" w:fill="EEF3F8"/>
          </w:tcPr>
          <w:p>
            <w:pPr>
              <w:spacing w:after="20" w:before="20"/>
              <w:jc w:val="right"/>
            </w:pPr>
            <w:r/>
            <w:r>
              <w:rPr>
                <w:color w:val="212529"/>
                <w:sz w:val="18"/>
              </w:rPr>
              <w:t>116</w:t>
            </w:r>
          </w:p>
        </w:tc>
        <w:tc>
          <w:tcPr>
            <w:tcW w:type="dxa" w:w="2304"/>
            <w:shd w:val="clear" w:fill="EEF3F8"/>
          </w:tcPr>
          <w:p>
            <w:pPr>
              <w:spacing w:after="20" w:before="20"/>
              <w:jc w:val="right"/>
            </w:pPr>
            <w:r/>
            <w:r>
              <w:rPr>
                <w:color w:val="212529"/>
                <w:sz w:val="18"/>
              </w:rPr>
              <w:t>601.26</w:t>
            </w:r>
          </w:p>
        </w:tc>
        <w:tc>
          <w:tcPr>
            <w:tcW w:type="dxa" w:w="1440"/>
            <w:shd w:val="clear" w:fill="EEF3F8"/>
          </w:tcPr>
          <w:p>
            <w:pPr>
              <w:spacing w:after="20" w:before="20"/>
              <w:jc w:val="right"/>
            </w:pPr>
            <w:r/>
            <w:r>
              <w:rPr>
                <w:color w:val="212529"/>
                <w:sz w:val="18"/>
              </w:rPr>
              <w:t>19.1%</w:t>
            </w:r>
          </w:p>
        </w:tc>
      </w:tr>
      <w:tr>
        <w:tc>
          <w:tcPr>
            <w:tcW w:type="dxa" w:w="2160"/>
          </w:tcPr>
          <w:p>
            <w:pPr>
              <w:spacing w:after="20" w:before="20"/>
            </w:pPr>
            <w:r/>
            <w:r>
              <w:rPr>
                <w:color w:val="212529"/>
                <w:sz w:val="18"/>
              </w:rPr>
              <w:t>India</w:t>
            </w:r>
          </w:p>
        </w:tc>
        <w:tc>
          <w:tcPr>
            <w:tcW w:type="dxa" w:w="2016"/>
          </w:tcPr>
          <w:p>
            <w:pPr>
              <w:spacing w:after="20" w:before="20"/>
              <w:jc w:val="right"/>
            </w:pPr>
            <w:r/>
            <w:r>
              <w:rPr>
                <w:color w:val="212529"/>
                <w:sz w:val="18"/>
              </w:rPr>
              <w:t>63,504.97</w:t>
            </w:r>
          </w:p>
        </w:tc>
        <w:tc>
          <w:tcPr>
            <w:tcW w:type="dxa" w:w="1224"/>
          </w:tcPr>
          <w:p>
            <w:pPr>
              <w:spacing w:after="20" w:before="20"/>
              <w:jc w:val="right"/>
            </w:pPr>
            <w:r/>
            <w:r>
              <w:rPr>
                <w:color w:val="212529"/>
                <w:sz w:val="18"/>
              </w:rPr>
              <w:t>119</w:t>
            </w:r>
          </w:p>
        </w:tc>
        <w:tc>
          <w:tcPr>
            <w:tcW w:type="dxa" w:w="2304"/>
          </w:tcPr>
          <w:p>
            <w:pPr>
              <w:spacing w:after="20" w:before="20"/>
              <w:jc w:val="right"/>
            </w:pPr>
            <w:r/>
            <w:r>
              <w:rPr>
                <w:color w:val="212529"/>
                <w:sz w:val="18"/>
              </w:rPr>
              <w:t>533.66</w:t>
            </w:r>
          </w:p>
        </w:tc>
        <w:tc>
          <w:tcPr>
            <w:tcW w:type="dxa" w:w="1440"/>
          </w:tcPr>
          <w:p>
            <w:pPr>
              <w:spacing w:after="20" w:before="20"/>
              <w:jc w:val="right"/>
            </w:pPr>
            <w:r/>
            <w:r>
              <w:rPr>
                <w:color w:val="212529"/>
                <w:sz w:val="18"/>
              </w:rPr>
              <w:t>17.4%</w:t>
            </w:r>
          </w:p>
        </w:tc>
      </w:tr>
      <w:tr>
        <w:tc>
          <w:tcPr>
            <w:tcW w:type="dxa" w:w="2160"/>
            <w:shd w:val="clear" w:fill="EEF3F8"/>
          </w:tcPr>
          <w:p>
            <w:pPr>
              <w:spacing w:after="20" w:before="20"/>
            </w:pPr>
            <w:r/>
            <w:r>
              <w:rPr>
                <w:color w:val="212529"/>
                <w:sz w:val="18"/>
              </w:rPr>
              <w:t>Canada</w:t>
            </w:r>
          </w:p>
        </w:tc>
        <w:tc>
          <w:tcPr>
            <w:tcW w:type="dxa" w:w="2016"/>
            <w:shd w:val="clear" w:fill="EEF3F8"/>
          </w:tcPr>
          <w:p>
            <w:pPr>
              <w:spacing w:after="20" w:before="20"/>
              <w:jc w:val="right"/>
            </w:pPr>
            <w:r/>
            <w:r>
              <w:rPr>
                <w:color w:val="212529"/>
                <w:sz w:val="18"/>
              </w:rPr>
              <w:t>61,491.73</w:t>
            </w:r>
          </w:p>
        </w:tc>
        <w:tc>
          <w:tcPr>
            <w:tcW w:type="dxa" w:w="1224"/>
            <w:shd w:val="clear" w:fill="EEF3F8"/>
          </w:tcPr>
          <w:p>
            <w:pPr>
              <w:spacing w:after="20" w:before="20"/>
              <w:jc w:val="right"/>
            </w:pPr>
            <w:r/>
            <w:r>
              <w:rPr>
                <w:color w:val="212529"/>
                <w:sz w:val="18"/>
              </w:rPr>
              <w:t>104</w:t>
            </w:r>
          </w:p>
        </w:tc>
        <w:tc>
          <w:tcPr>
            <w:tcW w:type="dxa" w:w="2304"/>
            <w:shd w:val="clear" w:fill="EEF3F8"/>
          </w:tcPr>
          <w:p>
            <w:pPr>
              <w:spacing w:after="20" w:before="20"/>
              <w:jc w:val="right"/>
            </w:pPr>
            <w:r/>
            <w:r>
              <w:rPr>
                <w:color w:val="212529"/>
                <w:sz w:val="18"/>
              </w:rPr>
              <w:t>591.27</w:t>
            </w:r>
          </w:p>
        </w:tc>
        <w:tc>
          <w:tcPr>
            <w:tcW w:type="dxa" w:w="1440"/>
            <w:shd w:val="clear" w:fill="EEF3F8"/>
          </w:tcPr>
          <w:p>
            <w:pPr>
              <w:spacing w:after="20" w:before="20"/>
              <w:jc w:val="right"/>
            </w:pPr>
            <w:r/>
            <w:r>
              <w:rPr>
                <w:color w:val="212529"/>
                <w:sz w:val="18"/>
              </w:rPr>
              <w:t>16.8%</w:t>
            </w:r>
          </w:p>
        </w:tc>
      </w:tr>
      <w:tr>
        <w:tc>
          <w:tcPr>
            <w:tcW w:type="dxa" w:w="2160"/>
          </w:tcPr>
          <w:p>
            <w:pPr>
              <w:spacing w:after="20" w:before="20"/>
            </w:pPr>
            <w:r/>
            <w:r>
              <w:rPr>
                <w:color w:val="212529"/>
                <w:sz w:val="18"/>
              </w:rPr>
              <w:t>USA</w:t>
            </w:r>
          </w:p>
        </w:tc>
        <w:tc>
          <w:tcPr>
            <w:tcW w:type="dxa" w:w="2016"/>
          </w:tcPr>
          <w:p>
            <w:pPr>
              <w:spacing w:after="20" w:before="20"/>
              <w:jc w:val="right"/>
            </w:pPr>
            <w:r/>
            <w:r>
              <w:rPr>
                <w:color w:val="212529"/>
                <w:sz w:val="18"/>
              </w:rPr>
              <w:t>61,202.73</w:t>
            </w:r>
          </w:p>
        </w:tc>
        <w:tc>
          <w:tcPr>
            <w:tcW w:type="dxa" w:w="1224"/>
          </w:tcPr>
          <w:p>
            <w:pPr>
              <w:spacing w:after="20" w:before="20"/>
              <w:jc w:val="right"/>
            </w:pPr>
            <w:r/>
            <w:r>
              <w:rPr>
                <w:color w:val="212529"/>
                <w:sz w:val="18"/>
              </w:rPr>
              <w:t>115</w:t>
            </w:r>
          </w:p>
        </w:tc>
        <w:tc>
          <w:tcPr>
            <w:tcW w:type="dxa" w:w="2304"/>
          </w:tcPr>
          <w:p>
            <w:pPr>
              <w:spacing w:after="20" w:before="20"/>
              <w:jc w:val="right"/>
            </w:pPr>
            <w:r/>
            <w:r>
              <w:rPr>
                <w:color w:val="212529"/>
                <w:sz w:val="18"/>
              </w:rPr>
              <w:t>532.20</w:t>
            </w:r>
          </w:p>
        </w:tc>
        <w:tc>
          <w:tcPr>
            <w:tcW w:type="dxa" w:w="1440"/>
          </w:tcPr>
          <w:p>
            <w:pPr>
              <w:spacing w:after="20" w:before="20"/>
              <w:jc w:val="right"/>
            </w:pPr>
            <w:r/>
            <w:r>
              <w:rPr>
                <w:color w:val="212529"/>
                <w:sz w:val="18"/>
              </w:rPr>
              <w:t>16.7%</w:t>
            </w:r>
          </w:p>
        </w:tc>
      </w:tr>
      <w:tr>
        <w:tc>
          <w:tcPr>
            <w:tcW w:type="dxa" w:w="2160"/>
            <w:shd w:val="clear" w:fill="EEF3F8"/>
          </w:tcPr>
          <w:p>
            <w:pPr>
              <w:spacing w:after="20" w:before="20"/>
            </w:pPr>
            <w:r/>
            <w:r>
              <w:rPr>
                <w:color w:val="212529"/>
                <w:sz w:val="18"/>
              </w:rPr>
              <w:t>Unknown</w:t>
            </w:r>
          </w:p>
        </w:tc>
        <w:tc>
          <w:tcPr>
            <w:tcW w:type="dxa" w:w="2016"/>
            <w:shd w:val="clear" w:fill="EEF3F8"/>
          </w:tcPr>
          <w:p>
            <w:pPr>
              <w:spacing w:after="20" w:before="20"/>
              <w:jc w:val="right"/>
            </w:pPr>
            <w:r/>
            <w:r>
              <w:rPr>
                <w:color w:val="212529"/>
                <w:sz w:val="18"/>
              </w:rPr>
              <w:t>31,144.23</w:t>
            </w:r>
          </w:p>
        </w:tc>
        <w:tc>
          <w:tcPr>
            <w:tcW w:type="dxa" w:w="1224"/>
            <w:shd w:val="clear" w:fill="EEF3F8"/>
          </w:tcPr>
          <w:p>
            <w:pPr>
              <w:spacing w:after="20" w:before="20"/>
              <w:jc w:val="right"/>
            </w:pPr>
            <w:r/>
            <w:r>
              <w:rPr>
                <w:color w:val="212529"/>
                <w:sz w:val="18"/>
              </w:rPr>
              <w:t>52</w:t>
            </w:r>
          </w:p>
        </w:tc>
        <w:tc>
          <w:tcPr>
            <w:tcW w:type="dxa" w:w="2304"/>
            <w:shd w:val="clear" w:fill="EEF3F8"/>
          </w:tcPr>
          <w:p>
            <w:pPr>
              <w:spacing w:after="20" w:before="20"/>
              <w:jc w:val="right"/>
            </w:pPr>
            <w:r/>
            <w:r>
              <w:rPr>
                <w:color w:val="212529"/>
                <w:sz w:val="18"/>
              </w:rPr>
              <w:t>598.93</w:t>
            </w:r>
          </w:p>
        </w:tc>
        <w:tc>
          <w:tcPr>
            <w:tcW w:type="dxa" w:w="1440"/>
            <w:shd w:val="clear" w:fill="EEF3F8"/>
          </w:tcPr>
          <w:p>
            <w:pPr>
              <w:spacing w:after="20" w:before="20"/>
              <w:jc w:val="right"/>
            </w:pPr>
            <w:r/>
            <w:r>
              <w:rPr>
                <w:color w:val="212529"/>
                <w:sz w:val="18"/>
              </w:rPr>
              <w:t>8.5%</w:t>
            </w:r>
          </w:p>
        </w:tc>
      </w:tr>
    </w:tbl>
    <w:p>
      <w:pPr>
        <w:spacing w:before="60" w:after="200"/>
      </w:pPr>
      <w:r>
        <w:rPr>
          <w:i/>
          <w:color w:val="5C6670"/>
          <w:sz w:val="17"/>
        </w:rPr>
        <w:t>Table 7: Revenue by market after the country-name correction.</w:t>
      </w:r>
    </w:p>
    <w:p>
      <w:pPr>
        <w:spacing w:before="120" w:after="40"/>
        <w:jc w:val="center"/>
      </w:pPr>
      <w:r>
        <w:drawing>
          <wp:inline xmlns:a="http://schemas.openxmlformats.org/drawingml/2006/main" xmlns:pic="http://schemas.openxmlformats.org/drawingml/2006/picture">
            <wp:extent cx="5852160" cy="2809037"/>
            <wp:docPr id="3" name="Picture 3"/>
            <wp:cNvGraphicFramePr>
              <a:graphicFrameLocks noChangeAspect="1"/>
            </wp:cNvGraphicFramePr>
            <a:graphic>
              <a:graphicData uri="http://schemas.openxmlformats.org/drawingml/2006/picture">
                <pic:pic>
                  <pic:nvPicPr>
                    <pic:cNvPr id="0" name="sales_by_country.png"/>
                    <pic:cNvPicPr/>
                  </pic:nvPicPr>
                  <pic:blipFill>
                    <a:blip r:embed="rId12"/>
                    <a:stretch>
                      <a:fillRect/>
                    </a:stretch>
                  </pic:blipFill>
                  <pic:spPr>
                    <a:xfrm>
                      <a:off x="0" y="0"/>
                      <a:ext cx="5852160" cy="2809037"/>
                    </a:xfrm>
                    <a:prstGeom prst="rect"/>
                  </pic:spPr>
                </pic:pic>
              </a:graphicData>
            </a:graphic>
          </wp:inline>
        </w:drawing>
      </w:r>
    </w:p>
    <w:p>
      <w:pPr>
        <w:spacing w:after="240"/>
        <w:jc w:val="center"/>
      </w:pPr>
      <w:r>
        <w:rPr>
          <w:i/>
          <w:color w:val="5C6670"/>
          <w:sz w:val="17"/>
        </w:rPr>
        <w:t>Figure 3: Revenue by market. 'Unknown' represents the 52 orders with no destination recorded and is shown rather than hidden.</w:t>
      </w:r>
    </w:p>
    <w:p>
      <w:pPr>
        <w:pStyle w:val="Heading2"/>
      </w:pPr>
      <w:r>
        <w:t>5.2 Revenue by category</w:t>
      </w:r>
    </w:p>
    <w:p>
      <w:pPr>
        <w:spacing w:after="140" w:before="0"/>
      </w:pPr>
      <w:r>
        <w:rPr>
          <w:b w:val="0"/>
          <w:i w:val="0"/>
          <w:color w:val="212529"/>
          <w:sz w:val="21"/>
        </w:rPr>
        <w:t>All five categories fall inside a narrow band from Sports at 60,936.28 (16.7%) to Home &amp; Kitchen at 77,325.14 (21.1%). The three middle categories are separated by barely one percentage point. Beauty achieves the highest average order value at 615.56 despite ranking fourth on total revenue, suggesting a slightly more premium basket rather than a larger one.</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944"/>
            <w:shd w:val="clear" w:fill="1F4E79"/>
          </w:tcPr>
          <w:p>
            <w:pPr>
              <w:spacing w:after="20" w:before="20"/>
            </w:pPr>
            <w:r/>
            <w:r>
              <w:rPr>
                <w:b/>
                <w:color w:val="FFFFFF"/>
                <w:sz w:val="17"/>
              </w:rPr>
              <w:t>Category</w:t>
            </w:r>
          </w:p>
        </w:tc>
        <w:tc>
          <w:tcPr>
            <w:tcW w:type="dxa" w:w="1800"/>
            <w:shd w:val="clear" w:fill="1F4E79"/>
          </w:tcPr>
          <w:p>
            <w:pPr>
              <w:spacing w:after="20" w:before="20"/>
            </w:pPr>
            <w:r/>
            <w:r>
              <w:rPr>
                <w:b/>
                <w:color w:val="FFFFFF"/>
                <w:sz w:val="17"/>
              </w:rPr>
              <w:t>Revenue</w:t>
            </w:r>
          </w:p>
        </w:tc>
        <w:tc>
          <w:tcPr>
            <w:tcW w:type="dxa" w:w="1037"/>
            <w:shd w:val="clear" w:fill="1F4E79"/>
          </w:tcPr>
          <w:p>
            <w:pPr>
              <w:spacing w:after="20" w:before="20"/>
            </w:pPr>
            <w:r/>
            <w:r>
              <w:rPr>
                <w:b/>
                <w:color w:val="FFFFFF"/>
                <w:sz w:val="17"/>
              </w:rPr>
              <w:t>Orders</w:t>
            </w:r>
          </w:p>
        </w:tc>
        <w:tc>
          <w:tcPr>
            <w:tcW w:type="dxa" w:w="1037"/>
            <w:shd w:val="clear" w:fill="1F4E79"/>
          </w:tcPr>
          <w:p>
            <w:pPr>
              <w:spacing w:after="20" w:before="20"/>
            </w:pPr>
            <w:r/>
            <w:r>
              <w:rPr>
                <w:b/>
                <w:color w:val="FFFFFF"/>
                <w:sz w:val="17"/>
              </w:rPr>
              <w:t>Units</w:t>
            </w:r>
          </w:p>
        </w:tc>
        <w:tc>
          <w:tcPr>
            <w:tcW w:type="dxa" w:w="1958"/>
            <w:shd w:val="clear" w:fill="1F4E79"/>
          </w:tcPr>
          <w:p>
            <w:pPr>
              <w:spacing w:after="20" w:before="20"/>
            </w:pPr>
            <w:r/>
            <w:r>
              <w:rPr>
                <w:b/>
                <w:color w:val="FFFFFF"/>
                <w:sz w:val="17"/>
              </w:rPr>
              <w:t>Avg order value</w:t>
            </w:r>
          </w:p>
        </w:tc>
        <w:tc>
          <w:tcPr>
            <w:tcW w:type="dxa" w:w="1152"/>
            <w:shd w:val="clear" w:fill="1F4E79"/>
          </w:tcPr>
          <w:p>
            <w:pPr>
              <w:spacing w:after="20" w:before="20"/>
            </w:pPr>
            <w:r/>
            <w:r>
              <w:rPr>
                <w:b/>
                <w:color w:val="FFFFFF"/>
                <w:sz w:val="17"/>
              </w:rPr>
              <w:t>Share</w:t>
            </w:r>
          </w:p>
        </w:tc>
      </w:tr>
      <w:tr>
        <w:tc>
          <w:tcPr>
            <w:tcW w:type="dxa" w:w="1944"/>
          </w:tcPr>
          <w:p>
            <w:pPr>
              <w:spacing w:after="20" w:before="20"/>
            </w:pPr>
            <w:r/>
            <w:r>
              <w:rPr>
                <w:color w:val="212529"/>
                <w:sz w:val="17"/>
              </w:rPr>
              <w:t>Home &amp; Kitchen</w:t>
            </w:r>
          </w:p>
        </w:tc>
        <w:tc>
          <w:tcPr>
            <w:tcW w:type="dxa" w:w="1800"/>
          </w:tcPr>
          <w:p>
            <w:pPr>
              <w:spacing w:after="20" w:before="20"/>
              <w:jc w:val="right"/>
            </w:pPr>
            <w:r/>
            <w:r>
              <w:rPr>
                <w:color w:val="212529"/>
                <w:sz w:val="17"/>
              </w:rPr>
              <w:t>77,325.14</w:t>
            </w:r>
          </w:p>
        </w:tc>
        <w:tc>
          <w:tcPr>
            <w:tcW w:type="dxa" w:w="1037"/>
          </w:tcPr>
          <w:p>
            <w:pPr>
              <w:spacing w:after="20" w:before="20"/>
              <w:jc w:val="right"/>
            </w:pPr>
            <w:r/>
            <w:r>
              <w:rPr>
                <w:color w:val="212529"/>
                <w:sz w:val="17"/>
              </w:rPr>
              <w:t>132</w:t>
            </w:r>
          </w:p>
        </w:tc>
        <w:tc>
          <w:tcPr>
            <w:tcW w:type="dxa" w:w="1037"/>
          </w:tcPr>
          <w:p>
            <w:pPr>
              <w:spacing w:after="20" w:before="20"/>
              <w:jc w:val="right"/>
            </w:pPr>
            <w:r/>
            <w:r>
              <w:rPr>
                <w:color w:val="212529"/>
                <w:sz w:val="17"/>
              </w:rPr>
              <w:t>577</w:t>
            </w:r>
          </w:p>
        </w:tc>
        <w:tc>
          <w:tcPr>
            <w:tcW w:type="dxa" w:w="1958"/>
          </w:tcPr>
          <w:p>
            <w:pPr>
              <w:spacing w:after="20" w:before="20"/>
              <w:jc w:val="right"/>
            </w:pPr>
            <w:r/>
            <w:r>
              <w:rPr>
                <w:color w:val="212529"/>
                <w:sz w:val="17"/>
              </w:rPr>
              <w:t>585.80</w:t>
            </w:r>
          </w:p>
        </w:tc>
        <w:tc>
          <w:tcPr>
            <w:tcW w:type="dxa" w:w="1152"/>
          </w:tcPr>
          <w:p>
            <w:pPr>
              <w:spacing w:after="20" w:before="20"/>
              <w:jc w:val="right"/>
            </w:pPr>
            <w:r/>
            <w:r>
              <w:rPr>
                <w:color w:val="212529"/>
                <w:sz w:val="17"/>
              </w:rPr>
              <w:t>21.1%</w:t>
            </w:r>
          </w:p>
        </w:tc>
      </w:tr>
      <w:tr>
        <w:tc>
          <w:tcPr>
            <w:tcW w:type="dxa" w:w="1944"/>
            <w:shd w:val="clear" w:fill="EEF3F8"/>
          </w:tcPr>
          <w:p>
            <w:pPr>
              <w:spacing w:after="20" w:before="20"/>
            </w:pPr>
            <w:r/>
            <w:r>
              <w:rPr>
                <w:color w:val="212529"/>
                <w:sz w:val="17"/>
              </w:rPr>
              <w:t>Apparel</w:t>
            </w:r>
          </w:p>
        </w:tc>
        <w:tc>
          <w:tcPr>
            <w:tcW w:type="dxa" w:w="1800"/>
            <w:shd w:val="clear" w:fill="EEF3F8"/>
          </w:tcPr>
          <w:p>
            <w:pPr>
              <w:spacing w:after="20" w:before="20"/>
              <w:jc w:val="right"/>
            </w:pPr>
            <w:r/>
            <w:r>
              <w:rPr>
                <w:color w:val="212529"/>
                <w:sz w:val="17"/>
              </w:rPr>
              <w:t>76,419.63</w:t>
            </w:r>
          </w:p>
        </w:tc>
        <w:tc>
          <w:tcPr>
            <w:tcW w:type="dxa" w:w="1037"/>
            <w:shd w:val="clear" w:fill="EEF3F8"/>
          </w:tcPr>
          <w:p>
            <w:pPr>
              <w:spacing w:after="20" w:before="20"/>
              <w:jc w:val="right"/>
            </w:pPr>
            <w:r/>
            <w:r>
              <w:rPr>
                <w:color w:val="212529"/>
                <w:sz w:val="17"/>
              </w:rPr>
              <w:t>134</w:t>
            </w:r>
          </w:p>
        </w:tc>
        <w:tc>
          <w:tcPr>
            <w:tcW w:type="dxa" w:w="1037"/>
            <w:shd w:val="clear" w:fill="EEF3F8"/>
          </w:tcPr>
          <w:p>
            <w:pPr>
              <w:spacing w:after="20" w:before="20"/>
              <w:jc w:val="right"/>
            </w:pPr>
            <w:r/>
            <w:r>
              <w:rPr>
                <w:color w:val="212529"/>
                <w:sz w:val="17"/>
              </w:rPr>
              <w:t>600</w:t>
            </w:r>
          </w:p>
        </w:tc>
        <w:tc>
          <w:tcPr>
            <w:tcW w:type="dxa" w:w="1958"/>
            <w:shd w:val="clear" w:fill="EEF3F8"/>
          </w:tcPr>
          <w:p>
            <w:pPr>
              <w:spacing w:after="20" w:before="20"/>
              <w:jc w:val="right"/>
            </w:pPr>
            <w:r/>
            <w:r>
              <w:rPr>
                <w:color w:val="212529"/>
                <w:sz w:val="17"/>
              </w:rPr>
              <w:t>570.30</w:t>
            </w:r>
          </w:p>
        </w:tc>
        <w:tc>
          <w:tcPr>
            <w:tcW w:type="dxa" w:w="1152"/>
            <w:shd w:val="clear" w:fill="EEF3F8"/>
          </w:tcPr>
          <w:p>
            <w:pPr>
              <w:spacing w:after="20" w:before="20"/>
              <w:jc w:val="right"/>
            </w:pPr>
            <w:r/>
            <w:r>
              <w:rPr>
                <w:color w:val="212529"/>
                <w:sz w:val="17"/>
              </w:rPr>
              <w:t>20.9%</w:t>
            </w:r>
          </w:p>
        </w:tc>
      </w:tr>
      <w:tr>
        <w:tc>
          <w:tcPr>
            <w:tcW w:type="dxa" w:w="1944"/>
          </w:tcPr>
          <w:p>
            <w:pPr>
              <w:spacing w:after="20" w:before="20"/>
            </w:pPr>
            <w:r/>
            <w:r>
              <w:rPr>
                <w:color w:val="212529"/>
                <w:sz w:val="17"/>
              </w:rPr>
              <w:t>Electronics</w:t>
            </w:r>
          </w:p>
        </w:tc>
        <w:tc>
          <w:tcPr>
            <w:tcW w:type="dxa" w:w="1800"/>
          </w:tcPr>
          <w:p>
            <w:pPr>
              <w:spacing w:after="20" w:before="20"/>
              <w:jc w:val="right"/>
            </w:pPr>
            <w:r/>
            <w:r>
              <w:rPr>
                <w:color w:val="212529"/>
                <w:sz w:val="17"/>
              </w:rPr>
              <w:t>75,943.54</w:t>
            </w:r>
          </w:p>
        </w:tc>
        <w:tc>
          <w:tcPr>
            <w:tcW w:type="dxa" w:w="1037"/>
          </w:tcPr>
          <w:p>
            <w:pPr>
              <w:spacing w:after="20" w:before="20"/>
              <w:jc w:val="right"/>
            </w:pPr>
            <w:r/>
            <w:r>
              <w:rPr>
                <w:color w:val="212529"/>
                <w:sz w:val="17"/>
              </w:rPr>
              <w:t>129</w:t>
            </w:r>
          </w:p>
        </w:tc>
        <w:tc>
          <w:tcPr>
            <w:tcW w:type="dxa" w:w="1037"/>
          </w:tcPr>
          <w:p>
            <w:pPr>
              <w:spacing w:after="20" w:before="20"/>
              <w:jc w:val="right"/>
            </w:pPr>
            <w:r/>
            <w:r>
              <w:rPr>
                <w:color w:val="212529"/>
                <w:sz w:val="17"/>
              </w:rPr>
              <w:t>587</w:t>
            </w:r>
          </w:p>
        </w:tc>
        <w:tc>
          <w:tcPr>
            <w:tcW w:type="dxa" w:w="1958"/>
          </w:tcPr>
          <w:p>
            <w:pPr>
              <w:spacing w:after="20" w:before="20"/>
              <w:jc w:val="right"/>
            </w:pPr>
            <w:r/>
            <w:r>
              <w:rPr>
                <w:color w:val="212529"/>
                <w:sz w:val="17"/>
              </w:rPr>
              <w:t>588.71</w:t>
            </w:r>
          </w:p>
        </w:tc>
        <w:tc>
          <w:tcPr>
            <w:tcW w:type="dxa" w:w="1152"/>
          </w:tcPr>
          <w:p>
            <w:pPr>
              <w:spacing w:after="20" w:before="20"/>
              <w:jc w:val="right"/>
            </w:pPr>
            <w:r/>
            <w:r>
              <w:rPr>
                <w:color w:val="212529"/>
                <w:sz w:val="17"/>
              </w:rPr>
              <w:t>20.8%</w:t>
            </w:r>
          </w:p>
        </w:tc>
      </w:tr>
      <w:tr>
        <w:tc>
          <w:tcPr>
            <w:tcW w:type="dxa" w:w="1944"/>
            <w:shd w:val="clear" w:fill="EEF3F8"/>
          </w:tcPr>
          <w:p>
            <w:pPr>
              <w:spacing w:after="20" w:before="20"/>
            </w:pPr>
            <w:r/>
            <w:r>
              <w:rPr>
                <w:color w:val="212529"/>
                <w:sz w:val="17"/>
              </w:rPr>
              <w:t>Beauty</w:t>
            </w:r>
          </w:p>
        </w:tc>
        <w:tc>
          <w:tcPr>
            <w:tcW w:type="dxa" w:w="1800"/>
            <w:shd w:val="clear" w:fill="EEF3F8"/>
          </w:tcPr>
          <w:p>
            <w:pPr>
              <w:spacing w:after="20" w:before="20"/>
              <w:jc w:val="right"/>
            </w:pPr>
            <w:r/>
            <w:r>
              <w:rPr>
                <w:color w:val="212529"/>
                <w:sz w:val="17"/>
              </w:rPr>
              <w:t>75,098.53</w:t>
            </w:r>
          </w:p>
        </w:tc>
        <w:tc>
          <w:tcPr>
            <w:tcW w:type="dxa" w:w="1037"/>
            <w:shd w:val="clear" w:fill="EEF3F8"/>
          </w:tcPr>
          <w:p>
            <w:pPr>
              <w:spacing w:after="20" w:before="20"/>
              <w:jc w:val="right"/>
            </w:pPr>
            <w:r/>
            <w:r>
              <w:rPr>
                <w:color w:val="212529"/>
                <w:sz w:val="17"/>
              </w:rPr>
              <w:t>122</w:t>
            </w:r>
          </w:p>
        </w:tc>
        <w:tc>
          <w:tcPr>
            <w:tcW w:type="dxa" w:w="1037"/>
            <w:shd w:val="clear" w:fill="EEF3F8"/>
          </w:tcPr>
          <w:p>
            <w:pPr>
              <w:spacing w:after="20" w:before="20"/>
              <w:jc w:val="right"/>
            </w:pPr>
            <w:r/>
            <w:r>
              <w:rPr>
                <w:color w:val="212529"/>
                <w:sz w:val="17"/>
              </w:rPr>
              <w:t>558</w:t>
            </w:r>
          </w:p>
        </w:tc>
        <w:tc>
          <w:tcPr>
            <w:tcW w:type="dxa" w:w="1958"/>
            <w:shd w:val="clear" w:fill="EEF3F8"/>
          </w:tcPr>
          <w:p>
            <w:pPr>
              <w:spacing w:after="20" w:before="20"/>
              <w:jc w:val="right"/>
            </w:pPr>
            <w:r/>
            <w:r>
              <w:rPr>
                <w:color w:val="212529"/>
                <w:sz w:val="17"/>
              </w:rPr>
              <w:t>615.56</w:t>
            </w:r>
          </w:p>
        </w:tc>
        <w:tc>
          <w:tcPr>
            <w:tcW w:type="dxa" w:w="1152"/>
            <w:shd w:val="clear" w:fill="EEF3F8"/>
          </w:tcPr>
          <w:p>
            <w:pPr>
              <w:spacing w:after="20" w:before="20"/>
              <w:jc w:val="right"/>
            </w:pPr>
            <w:r/>
            <w:r>
              <w:rPr>
                <w:color w:val="212529"/>
                <w:sz w:val="17"/>
              </w:rPr>
              <w:t>20.5%</w:t>
            </w:r>
          </w:p>
        </w:tc>
      </w:tr>
      <w:tr>
        <w:tc>
          <w:tcPr>
            <w:tcW w:type="dxa" w:w="1944"/>
          </w:tcPr>
          <w:p>
            <w:pPr>
              <w:spacing w:after="20" w:before="20"/>
            </w:pPr>
            <w:r/>
            <w:r>
              <w:rPr>
                <w:color w:val="212529"/>
                <w:sz w:val="17"/>
              </w:rPr>
              <w:t>Sports</w:t>
            </w:r>
          </w:p>
        </w:tc>
        <w:tc>
          <w:tcPr>
            <w:tcW w:type="dxa" w:w="1800"/>
          </w:tcPr>
          <w:p>
            <w:pPr>
              <w:spacing w:after="20" w:before="20"/>
              <w:jc w:val="right"/>
            </w:pPr>
            <w:r/>
            <w:r>
              <w:rPr>
                <w:color w:val="212529"/>
                <w:sz w:val="17"/>
              </w:rPr>
              <w:t>60,936.28</w:t>
            </w:r>
          </w:p>
        </w:tc>
        <w:tc>
          <w:tcPr>
            <w:tcW w:type="dxa" w:w="1037"/>
          </w:tcPr>
          <w:p>
            <w:pPr>
              <w:spacing w:after="20" w:before="20"/>
              <w:jc w:val="right"/>
            </w:pPr>
            <w:r/>
            <w:r>
              <w:rPr>
                <w:color w:val="212529"/>
                <w:sz w:val="17"/>
              </w:rPr>
              <w:t>109</w:t>
            </w:r>
          </w:p>
        </w:tc>
        <w:tc>
          <w:tcPr>
            <w:tcW w:type="dxa" w:w="1037"/>
          </w:tcPr>
          <w:p>
            <w:pPr>
              <w:spacing w:after="20" w:before="20"/>
              <w:jc w:val="right"/>
            </w:pPr>
            <w:r/>
            <w:r>
              <w:rPr>
                <w:color w:val="212529"/>
                <w:sz w:val="17"/>
              </w:rPr>
              <w:t>515</w:t>
            </w:r>
          </w:p>
        </w:tc>
        <w:tc>
          <w:tcPr>
            <w:tcW w:type="dxa" w:w="1958"/>
          </w:tcPr>
          <w:p>
            <w:pPr>
              <w:spacing w:after="20" w:before="20"/>
              <w:jc w:val="right"/>
            </w:pPr>
            <w:r/>
            <w:r>
              <w:rPr>
                <w:color w:val="212529"/>
                <w:sz w:val="17"/>
              </w:rPr>
              <w:t>559.05</w:t>
            </w:r>
          </w:p>
        </w:tc>
        <w:tc>
          <w:tcPr>
            <w:tcW w:type="dxa" w:w="1152"/>
          </w:tcPr>
          <w:p>
            <w:pPr>
              <w:spacing w:after="20" w:before="20"/>
              <w:jc w:val="right"/>
            </w:pPr>
            <w:r/>
            <w:r>
              <w:rPr>
                <w:color w:val="212529"/>
                <w:sz w:val="17"/>
              </w:rPr>
              <w:t>16.7%</w:t>
            </w:r>
          </w:p>
        </w:tc>
      </w:tr>
    </w:tbl>
    <w:p>
      <w:pPr>
        <w:spacing w:before="60" w:after="200"/>
      </w:pPr>
      <w:r>
        <w:rPr>
          <w:i/>
          <w:color w:val="5C6670"/>
          <w:sz w:val="17"/>
        </w:rPr>
        <w:t>Table 8: Revenue by product category.</w:t>
      </w:r>
    </w:p>
    <w:p>
      <w:pPr>
        <w:spacing w:before="120" w:after="40"/>
        <w:jc w:val="center"/>
      </w:pPr>
      <w:r>
        <w:drawing>
          <wp:inline xmlns:a="http://schemas.openxmlformats.org/drawingml/2006/main" xmlns:pic="http://schemas.openxmlformats.org/drawingml/2006/picture">
            <wp:extent cx="5852160" cy="2809037"/>
            <wp:docPr id="4" name="Picture 4"/>
            <wp:cNvGraphicFramePr>
              <a:graphicFrameLocks noChangeAspect="1"/>
            </wp:cNvGraphicFramePr>
            <a:graphic>
              <a:graphicData uri="http://schemas.openxmlformats.org/drawingml/2006/picture">
                <pic:pic>
                  <pic:nvPicPr>
                    <pic:cNvPr id="0" name="sales_by_category.png"/>
                    <pic:cNvPicPr/>
                  </pic:nvPicPr>
                  <pic:blipFill>
                    <a:blip r:embed="rId13"/>
                    <a:stretch>
                      <a:fillRect/>
                    </a:stretch>
                  </pic:blipFill>
                  <pic:spPr>
                    <a:xfrm>
                      <a:off x="0" y="0"/>
                      <a:ext cx="5852160" cy="2809037"/>
                    </a:xfrm>
                    <a:prstGeom prst="rect"/>
                  </pic:spPr>
                </pic:pic>
              </a:graphicData>
            </a:graphic>
          </wp:inline>
        </w:drawing>
      </w:r>
    </w:p>
    <w:p>
      <w:pPr>
        <w:spacing w:after="240"/>
        <w:jc w:val="center"/>
      </w:pPr>
      <w:r>
        <w:rPr>
          <w:i/>
          <w:color w:val="5C6670"/>
          <w:sz w:val="17"/>
        </w:rPr>
        <w:t>Figure 4: Revenue by category. The flat profile means no single category can be credibly promoted as the growth engine.</w:t>
      </w:r>
    </w:p>
    <w:p>
      <w:pPr>
        <w:pStyle w:val="Heading2"/>
      </w:pPr>
      <w:r>
        <w:t>5.3 Trading trend and the coverage problem</w:t>
      </w:r>
    </w:p>
    <w:p>
      <w:pPr>
        <w:spacing w:after="140" w:before="0"/>
      </w:pPr>
      <w:r>
        <w:rPr>
          <w:b w:val="0"/>
          <w:i w:val="0"/>
          <w:color w:val="212529"/>
          <w:sz w:val="21"/>
        </w:rPr>
        <w:t>This is the most important finding in the analysis, and it contradicts the picture presented by the Task 2 and Task 3 dashboards. Taken at face value the whole-year totals show revenue rising +187% in 2025 and then falling -21.8% in 2026. Both movements are artefacts of incomplete data capture rather than changes in trading.</w:t>
      </w:r>
    </w:p>
    <w:p>
      <w:pPr>
        <w:spacing w:before="120" w:after="40"/>
        <w:jc w:val="center"/>
      </w:pPr>
      <w:r>
        <w:drawing>
          <wp:inline xmlns:a="http://schemas.openxmlformats.org/drawingml/2006/main" xmlns:pic="http://schemas.openxmlformats.org/drawingml/2006/picture">
            <wp:extent cx="5852160" cy="2731008"/>
            <wp:docPr id="5" name="Picture 5"/>
            <wp:cNvGraphicFramePr>
              <a:graphicFrameLocks noChangeAspect="1"/>
            </wp:cNvGraphicFramePr>
            <a:graphic>
              <a:graphicData uri="http://schemas.openxmlformats.org/drawingml/2006/picture">
                <pic:pic>
                  <pic:nvPicPr>
                    <pic:cNvPr id="0" name="yearly_totals.png"/>
                    <pic:cNvPicPr/>
                  </pic:nvPicPr>
                  <pic:blipFill>
                    <a:blip r:embed="rId14"/>
                    <a:stretch>
                      <a:fillRect/>
                    </a:stretch>
                  </pic:blipFill>
                  <pic:spPr>
                    <a:xfrm>
                      <a:off x="0" y="0"/>
                      <a:ext cx="5852160" cy="2731008"/>
                    </a:xfrm>
                    <a:prstGeom prst="rect"/>
                  </pic:spPr>
                </pic:pic>
              </a:graphicData>
            </a:graphic>
          </wp:inline>
        </w:drawing>
      </w:r>
    </w:p>
    <w:p>
      <w:pPr>
        <w:spacing w:after="240"/>
        <w:jc w:val="center"/>
      </w:pPr>
      <w:r>
        <w:rPr>
          <w:i/>
          <w:color w:val="5C6670"/>
          <w:sz w:val="17"/>
        </w:rPr>
        <w:t>Figure 5: Whole-year totals as a dashboard would report them. The apparent surge and collapse are driven by data coverage, not by demand.</w:t>
      </w:r>
    </w:p>
    <w:p>
      <w:pPr>
        <w:spacing w:after="140" w:before="0"/>
      </w:pPr>
      <w:r>
        <w:rPr>
          <w:b w:val="0"/>
          <w:i w:val="0"/>
          <w:color w:val="212529"/>
          <w:sz w:val="21"/>
        </w:rPr>
        <w:t>The monthly order counts expose the problem. In 2024 only 29 of 100 orders fall between January and September: the extract effectively begins in October. In 2026 the flow stops after September, with October, November and December collapsing to 23 orders in total against 78 in the equivalent 2025 quarter, because extraction ends on 09 Dec 2026. 2025 is the only year that is complete and evenly distributed, at 24.8 orders per month.</w:t>
      </w:r>
    </w:p>
    <w:p>
      <w:pPr>
        <w:spacing w:before="120" w:after="40"/>
        <w:jc w:val="center"/>
      </w:pPr>
      <w:r>
        <w:drawing>
          <wp:inline xmlns:a="http://schemas.openxmlformats.org/drawingml/2006/main" xmlns:pic="http://schemas.openxmlformats.org/drawingml/2006/picture">
            <wp:extent cx="5852160" cy="3121152"/>
            <wp:docPr id="6" name="Picture 6"/>
            <wp:cNvGraphicFramePr>
              <a:graphicFrameLocks noChangeAspect="1"/>
            </wp:cNvGraphicFramePr>
            <a:graphic>
              <a:graphicData uri="http://schemas.openxmlformats.org/drawingml/2006/picture">
                <pic:pic>
                  <pic:nvPicPr>
                    <pic:cNvPr id="0" name="coverage.png"/>
                    <pic:cNvPicPr/>
                  </pic:nvPicPr>
                  <pic:blipFill>
                    <a:blip r:embed="rId15"/>
                    <a:stretch>
                      <a:fillRect/>
                    </a:stretch>
                  </pic:blipFill>
                  <pic:spPr>
                    <a:xfrm>
                      <a:off x="0" y="0"/>
                      <a:ext cx="5852160" cy="3121152"/>
                    </a:xfrm>
                    <a:prstGeom prst="rect"/>
                  </pic:spPr>
                </pic:pic>
              </a:graphicData>
            </a:graphic>
          </wp:inline>
        </w:drawing>
      </w:r>
    </w:p>
    <w:p>
      <w:pPr>
        <w:spacing w:after="240"/>
        <w:jc w:val="center"/>
      </w:pPr>
      <w:r>
        <w:rPr>
          <w:i/>
          <w:color w:val="5C6670"/>
          <w:sz w:val="17"/>
        </w:rPr>
        <w:t>Figure 6: Orders per month by year. 2024 ramps up late; 2026 falls away after September.</w:t>
      </w:r>
    </w:p>
    <w:p>
      <w:pPr>
        <w:spacing w:after="140" w:before="0"/>
      </w:pPr>
      <w:r>
        <w:rPr>
          <w:b w:val="0"/>
          <w:i w:val="0"/>
          <w:color w:val="212529"/>
          <w:sz w:val="21"/>
        </w:rPr>
        <w:t>Restricting the comparison to the two evenly captured years and the months they genuinely share gives a very different answer. For January to August, 2025 produced 115,012.08 from 198 orders and 2026 produced 114,713.63 from 193 orders: a change of -0.3% in revenue, while average order value actually rose +2.3% from 580.87 to 594.37. The business is flat, and slightly healthier on basket value.</w:t>
      </w:r>
    </w:p>
    <w:p>
      <w:pPr>
        <w:spacing w:before="120" w:after="40"/>
        <w:jc w:val="center"/>
      </w:pPr>
      <w:r>
        <w:drawing>
          <wp:inline xmlns:a="http://schemas.openxmlformats.org/drawingml/2006/main" xmlns:pic="http://schemas.openxmlformats.org/drawingml/2006/picture">
            <wp:extent cx="5852160" cy="2809037"/>
            <wp:docPr id="7" name="Picture 7"/>
            <wp:cNvGraphicFramePr>
              <a:graphicFrameLocks noChangeAspect="1"/>
            </wp:cNvGraphicFramePr>
            <a:graphic>
              <a:graphicData uri="http://schemas.openxmlformats.org/drawingml/2006/picture">
                <pic:pic>
                  <pic:nvPicPr>
                    <pic:cNvPr id="0" name="like_for_like.png"/>
                    <pic:cNvPicPr/>
                  </pic:nvPicPr>
                  <pic:blipFill>
                    <a:blip r:embed="rId16"/>
                    <a:stretch>
                      <a:fillRect/>
                    </a:stretch>
                  </pic:blipFill>
                  <pic:spPr>
                    <a:xfrm>
                      <a:off x="0" y="0"/>
                      <a:ext cx="5852160" cy="2809037"/>
                    </a:xfrm>
                    <a:prstGeom prst="rect"/>
                  </pic:spPr>
                </pic:pic>
              </a:graphicData>
            </a:graphic>
          </wp:inline>
        </w:drawing>
      </w:r>
    </w:p>
    <w:p>
      <w:pPr>
        <w:spacing w:after="240"/>
        <w:jc w:val="center"/>
      </w:pPr>
      <w:r>
        <w:rPr>
          <w:i/>
          <w:color w:val="5C6670"/>
          <w:sz w:val="17"/>
        </w:rPr>
        <w:t>Figure 7: Like-for-like comparison for January to August. Revenue is flat and average order value is marginally up.</w:t>
      </w:r>
    </w:p>
    <w:p>
      <w:pPr>
        <w:spacing w:before="120" w:after="40"/>
        <w:jc w:val="center"/>
      </w:pPr>
      <w:r>
        <w:drawing>
          <wp:inline xmlns:a="http://schemas.openxmlformats.org/drawingml/2006/main" xmlns:pic="http://schemas.openxmlformats.org/drawingml/2006/picture">
            <wp:extent cx="5852160" cy="2965094"/>
            <wp:docPr id="8" name="Picture 8"/>
            <wp:cNvGraphicFramePr>
              <a:graphicFrameLocks noChangeAspect="1"/>
            </wp:cNvGraphicFramePr>
            <a:graphic>
              <a:graphicData uri="http://schemas.openxmlformats.org/drawingml/2006/picture">
                <pic:pic>
                  <pic:nvPicPr>
                    <pic:cNvPr id="0" name="monthly_trend.png"/>
                    <pic:cNvPicPr/>
                  </pic:nvPicPr>
                  <pic:blipFill>
                    <a:blip r:embed="rId17"/>
                    <a:stretch>
                      <a:fillRect/>
                    </a:stretch>
                  </pic:blipFill>
                  <pic:spPr>
                    <a:xfrm>
                      <a:off x="0" y="0"/>
                      <a:ext cx="5852160" cy="2965094"/>
                    </a:xfrm>
                    <a:prstGeom prst="rect"/>
                  </pic:spPr>
                </pic:pic>
              </a:graphicData>
            </a:graphic>
          </wp:inline>
        </w:drawing>
      </w:r>
    </w:p>
    <w:p>
      <w:pPr>
        <w:spacing w:after="240"/>
        <w:jc w:val="center"/>
      </w:pPr>
      <w:r>
        <w:rPr>
          <w:i/>
          <w:color w:val="5C6670"/>
          <w:sz w:val="17"/>
        </w:rPr>
        <w:t>Figure 8: Monthly revenue, 2025 against 2026. The two years track each other closely until the 2026 extract runs out.</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1F4E79"/>
          </w:tcPr>
          <w:p>
            <w:pPr>
              <w:spacing w:after="20" w:before="20"/>
            </w:pPr>
            <w:r/>
            <w:r>
              <w:rPr>
                <w:b/>
                <w:color w:val="FFFFFF"/>
                <w:sz w:val="18"/>
              </w:rPr>
              <w:t>Comparison</w:t>
            </w:r>
          </w:p>
        </w:tc>
        <w:tc>
          <w:tcPr>
            <w:tcW w:type="dxa" w:w="2160"/>
            <w:shd w:val="clear" w:fill="1F4E79"/>
          </w:tcPr>
          <w:p>
            <w:pPr>
              <w:spacing w:after="20" w:before="20"/>
            </w:pPr>
            <w:r/>
            <w:r>
              <w:rPr>
                <w:b/>
                <w:color w:val="FFFFFF"/>
                <w:sz w:val="18"/>
              </w:rPr>
              <w:t>2025</w:t>
            </w:r>
          </w:p>
        </w:tc>
        <w:tc>
          <w:tcPr>
            <w:tcW w:type="dxa" w:w="2160"/>
            <w:shd w:val="clear" w:fill="1F4E79"/>
          </w:tcPr>
          <w:p>
            <w:pPr>
              <w:spacing w:after="20" w:before="20"/>
            </w:pPr>
            <w:r/>
            <w:r>
              <w:rPr>
                <w:b/>
                <w:color w:val="FFFFFF"/>
                <w:sz w:val="18"/>
              </w:rPr>
              <w:t>2026</w:t>
            </w:r>
          </w:p>
        </w:tc>
        <w:tc>
          <w:tcPr>
            <w:tcW w:type="dxa" w:w="1440"/>
            <w:shd w:val="clear" w:fill="1F4E79"/>
          </w:tcPr>
          <w:p>
            <w:pPr>
              <w:spacing w:after="20" w:before="20"/>
            </w:pPr>
            <w:r/>
            <w:r>
              <w:rPr>
                <w:b/>
                <w:color w:val="FFFFFF"/>
                <w:sz w:val="18"/>
              </w:rPr>
              <w:t>Change</w:t>
            </w:r>
          </w:p>
        </w:tc>
      </w:tr>
      <w:tr>
        <w:tc>
          <w:tcPr>
            <w:tcW w:type="dxa" w:w="3312"/>
          </w:tcPr>
          <w:p>
            <w:pPr>
              <w:spacing w:after="20" w:before="20"/>
            </w:pPr>
            <w:r/>
            <w:r>
              <w:rPr>
                <w:color w:val="212529"/>
                <w:sz w:val="18"/>
              </w:rPr>
              <w:t>Jan-Aug revenue</w:t>
            </w:r>
          </w:p>
        </w:tc>
        <w:tc>
          <w:tcPr>
            <w:tcW w:type="dxa" w:w="2160"/>
          </w:tcPr>
          <w:p>
            <w:pPr>
              <w:spacing w:after="20" w:before="20"/>
              <w:jc w:val="right"/>
            </w:pPr>
            <w:r/>
            <w:r>
              <w:rPr>
                <w:color w:val="212529"/>
                <w:sz w:val="18"/>
              </w:rPr>
              <w:t>115,012.08</w:t>
            </w:r>
          </w:p>
        </w:tc>
        <w:tc>
          <w:tcPr>
            <w:tcW w:type="dxa" w:w="2160"/>
          </w:tcPr>
          <w:p>
            <w:pPr>
              <w:spacing w:after="20" w:before="20"/>
              <w:jc w:val="right"/>
            </w:pPr>
            <w:r/>
            <w:r>
              <w:rPr>
                <w:color w:val="212529"/>
                <w:sz w:val="18"/>
              </w:rPr>
              <w:t>114,713.63</w:t>
            </w:r>
          </w:p>
        </w:tc>
        <w:tc>
          <w:tcPr>
            <w:tcW w:type="dxa" w:w="1440"/>
          </w:tcPr>
          <w:p>
            <w:pPr>
              <w:spacing w:after="20" w:before="20"/>
              <w:jc w:val="right"/>
            </w:pPr>
            <w:r/>
            <w:r>
              <w:rPr>
                <w:color w:val="212529"/>
                <w:sz w:val="18"/>
              </w:rPr>
              <w:t>-0.3%</w:t>
            </w:r>
          </w:p>
        </w:tc>
      </w:tr>
      <w:tr>
        <w:tc>
          <w:tcPr>
            <w:tcW w:type="dxa" w:w="3312"/>
            <w:shd w:val="clear" w:fill="EEF3F8"/>
          </w:tcPr>
          <w:p>
            <w:pPr>
              <w:spacing w:after="20" w:before="20"/>
            </w:pPr>
            <w:r/>
            <w:r>
              <w:rPr>
                <w:color w:val="212529"/>
                <w:sz w:val="18"/>
              </w:rPr>
              <w:t>Jan-Aug orders</w:t>
            </w:r>
          </w:p>
        </w:tc>
        <w:tc>
          <w:tcPr>
            <w:tcW w:type="dxa" w:w="2160"/>
            <w:shd w:val="clear" w:fill="EEF3F8"/>
          </w:tcPr>
          <w:p>
            <w:pPr>
              <w:spacing w:after="20" w:before="20"/>
              <w:jc w:val="right"/>
            </w:pPr>
            <w:r/>
            <w:r>
              <w:rPr>
                <w:color w:val="212529"/>
                <w:sz w:val="18"/>
              </w:rPr>
              <w:t>198</w:t>
            </w:r>
          </w:p>
        </w:tc>
        <w:tc>
          <w:tcPr>
            <w:tcW w:type="dxa" w:w="2160"/>
            <w:shd w:val="clear" w:fill="EEF3F8"/>
          </w:tcPr>
          <w:p>
            <w:pPr>
              <w:spacing w:after="20" w:before="20"/>
              <w:jc w:val="right"/>
            </w:pPr>
            <w:r/>
            <w:r>
              <w:rPr>
                <w:color w:val="212529"/>
                <w:sz w:val="18"/>
              </w:rPr>
              <w:t>193</w:t>
            </w:r>
          </w:p>
        </w:tc>
        <w:tc>
          <w:tcPr>
            <w:tcW w:type="dxa" w:w="1440"/>
            <w:shd w:val="clear" w:fill="EEF3F8"/>
          </w:tcPr>
          <w:p>
            <w:pPr>
              <w:spacing w:after="20" w:before="20"/>
              <w:jc w:val="right"/>
            </w:pPr>
            <w:r/>
            <w:r>
              <w:rPr>
                <w:color w:val="212529"/>
                <w:sz w:val="18"/>
              </w:rPr>
              <w:t>-2.5%</w:t>
            </w:r>
          </w:p>
        </w:tc>
      </w:tr>
      <w:tr>
        <w:tc>
          <w:tcPr>
            <w:tcW w:type="dxa" w:w="3312"/>
          </w:tcPr>
          <w:p>
            <w:pPr>
              <w:spacing w:after="20" w:before="20"/>
            </w:pPr>
            <w:r/>
            <w:r>
              <w:rPr>
                <w:color w:val="212529"/>
                <w:sz w:val="18"/>
              </w:rPr>
              <w:t>Jan-Aug average order value</w:t>
            </w:r>
          </w:p>
        </w:tc>
        <w:tc>
          <w:tcPr>
            <w:tcW w:type="dxa" w:w="2160"/>
          </w:tcPr>
          <w:p>
            <w:pPr>
              <w:spacing w:after="20" w:before="20"/>
              <w:jc w:val="right"/>
            </w:pPr>
            <w:r/>
            <w:r>
              <w:rPr>
                <w:color w:val="212529"/>
                <w:sz w:val="18"/>
              </w:rPr>
              <w:t>580.87</w:t>
            </w:r>
          </w:p>
        </w:tc>
        <w:tc>
          <w:tcPr>
            <w:tcW w:type="dxa" w:w="2160"/>
          </w:tcPr>
          <w:p>
            <w:pPr>
              <w:spacing w:after="20" w:before="20"/>
              <w:jc w:val="right"/>
            </w:pPr>
            <w:r/>
            <w:r>
              <w:rPr>
                <w:color w:val="212529"/>
                <w:sz w:val="18"/>
              </w:rPr>
              <w:t>594.37</w:t>
            </w:r>
          </w:p>
        </w:tc>
        <w:tc>
          <w:tcPr>
            <w:tcW w:type="dxa" w:w="1440"/>
          </w:tcPr>
          <w:p>
            <w:pPr>
              <w:spacing w:after="20" w:before="20"/>
              <w:jc w:val="right"/>
            </w:pPr>
            <w:r/>
            <w:r>
              <w:rPr>
                <w:color w:val="212529"/>
                <w:sz w:val="18"/>
              </w:rPr>
              <w:t>+2.3%</w:t>
            </w:r>
          </w:p>
        </w:tc>
      </w:tr>
      <w:tr>
        <w:tc>
          <w:tcPr>
            <w:tcW w:type="dxa" w:w="3312"/>
            <w:shd w:val="clear" w:fill="EEF3F8"/>
          </w:tcPr>
          <w:p>
            <w:pPr>
              <w:spacing w:after="20" w:before="20"/>
            </w:pPr>
            <w:r/>
            <w:r>
              <w:rPr>
                <w:color w:val="212529"/>
                <w:sz w:val="18"/>
              </w:rPr>
              <w:t>Whole-year revenue (misleading)</w:t>
            </w:r>
          </w:p>
        </w:tc>
        <w:tc>
          <w:tcPr>
            <w:tcW w:type="dxa" w:w="2160"/>
            <w:shd w:val="clear" w:fill="EEF3F8"/>
          </w:tcPr>
          <w:p>
            <w:pPr>
              <w:spacing w:after="20" w:before="20"/>
              <w:jc w:val="right"/>
            </w:pPr>
            <w:r/>
            <w:r>
              <w:rPr>
                <w:color w:val="212529"/>
                <w:sz w:val="18"/>
              </w:rPr>
              <w:t>171,645.44</w:t>
            </w:r>
          </w:p>
        </w:tc>
        <w:tc>
          <w:tcPr>
            <w:tcW w:type="dxa" w:w="2160"/>
            <w:shd w:val="clear" w:fill="EEF3F8"/>
          </w:tcPr>
          <w:p>
            <w:pPr>
              <w:spacing w:after="20" w:before="20"/>
              <w:jc w:val="right"/>
            </w:pPr>
            <w:r/>
            <w:r>
              <w:rPr>
                <w:color w:val="212529"/>
                <w:sz w:val="18"/>
              </w:rPr>
              <w:t>134,182.84</w:t>
            </w:r>
          </w:p>
        </w:tc>
        <w:tc>
          <w:tcPr>
            <w:tcW w:type="dxa" w:w="1440"/>
            <w:shd w:val="clear" w:fill="EEF3F8"/>
          </w:tcPr>
          <w:p>
            <w:pPr>
              <w:spacing w:after="20" w:before="20"/>
              <w:jc w:val="right"/>
            </w:pPr>
            <w:r/>
            <w:r>
              <w:rPr>
                <w:color w:val="212529"/>
                <w:sz w:val="18"/>
              </w:rPr>
              <w:t>-21.8%</w:t>
            </w:r>
          </w:p>
        </w:tc>
      </w:tr>
    </w:tbl>
    <w:p>
      <w:pPr>
        <w:spacing w:before="60" w:after="200"/>
      </w:pPr>
      <w:r>
        <w:rPr>
          <w:i/>
          <w:color w:val="5C6670"/>
          <w:sz w:val="17"/>
        </w:rPr>
        <w:t>Table 9: Like-for-like comparison against the misleading whole-year view.</w:t>
      </w:r>
    </w:p>
    <w:p>
      <w:pPr>
        <w:pStyle w:val="Heading2"/>
      </w:pPr>
      <w:r>
        <w:t>5.4 Payment methods</w:t>
      </w:r>
    </w:p>
    <w:p>
      <w:pPr>
        <w:spacing w:after="140" w:before="0"/>
      </w:pPr>
      <w:r>
        <w:rPr>
          <w:b w:val="0"/>
          <w:i w:val="0"/>
          <w:color w:val="212529"/>
          <w:sz w:val="21"/>
        </w:rPr>
        <w:t>Credit card is the leading method with 118,947.29 (31.9% of orders), but the mix is broad: cash on delivery still carries 20.3% of orders and each of the five named methods holds at least 12.8%. There is no single point of failure, though cash on delivery at a fifth of orders is a meaningful operational and reconciliation load.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fill="1F4E79"/>
          </w:tcPr>
          <w:p>
            <w:pPr>
              <w:spacing w:after="20" w:before="20"/>
            </w:pPr>
            <w:r/>
            <w:r>
              <w:rPr>
                <w:b/>
                <w:color w:val="FFFFFF"/>
                <w:sz w:val="18"/>
              </w:rPr>
              <w:t>Payment method</w:t>
            </w:r>
          </w:p>
        </w:tc>
        <w:tc>
          <w:tcPr>
            <w:tcW w:type="dxa" w:w="2304"/>
            <w:shd w:val="clear" w:fill="1F4E79"/>
          </w:tcPr>
          <w:p>
            <w:pPr>
              <w:spacing w:after="20" w:before="20"/>
            </w:pPr>
            <w:r/>
            <w:r>
              <w:rPr>
                <w:b/>
                <w:color w:val="FFFFFF"/>
                <w:sz w:val="18"/>
              </w:rPr>
              <w:t>Revenue</w:t>
            </w:r>
          </w:p>
        </w:tc>
        <w:tc>
          <w:tcPr>
            <w:tcW w:type="dxa" w:w="1584"/>
            <w:shd w:val="clear" w:fill="1F4E79"/>
          </w:tcPr>
          <w:p>
            <w:pPr>
              <w:spacing w:after="20" w:before="20"/>
            </w:pPr>
            <w:r/>
            <w:r>
              <w:rPr>
                <w:b/>
                <w:color w:val="FFFFFF"/>
                <w:sz w:val="18"/>
              </w:rPr>
              <w:t>Orders</w:t>
            </w:r>
          </w:p>
        </w:tc>
        <w:tc>
          <w:tcPr>
            <w:tcW w:type="dxa" w:w="2304"/>
            <w:shd w:val="clear" w:fill="1F4E79"/>
          </w:tcPr>
          <w:p>
            <w:pPr>
              <w:spacing w:after="20" w:before="20"/>
            </w:pPr>
            <w:r/>
            <w:r>
              <w:rPr>
                <w:b/>
                <w:color w:val="FFFFFF"/>
                <w:sz w:val="18"/>
              </w:rPr>
              <w:t>Share of orders</w:t>
            </w:r>
          </w:p>
        </w:tc>
      </w:tr>
      <w:tr>
        <w:tc>
          <w:tcPr>
            <w:tcW w:type="dxa" w:w="3024"/>
          </w:tcPr>
          <w:p>
            <w:pPr>
              <w:spacing w:after="20" w:before="20"/>
            </w:pPr>
            <w:r/>
            <w:r>
              <w:rPr>
                <w:color w:val="212529"/>
                <w:sz w:val="18"/>
              </w:rPr>
              <w:t>Credit Card</w:t>
            </w:r>
          </w:p>
        </w:tc>
        <w:tc>
          <w:tcPr>
            <w:tcW w:type="dxa" w:w="2304"/>
          </w:tcPr>
          <w:p>
            <w:pPr>
              <w:spacing w:after="20" w:before="20"/>
              <w:jc w:val="right"/>
            </w:pPr>
            <w:r/>
            <w:r>
              <w:rPr>
                <w:color w:val="212529"/>
                <w:sz w:val="18"/>
              </w:rPr>
              <w:t>118,947.29</w:t>
            </w:r>
          </w:p>
        </w:tc>
        <w:tc>
          <w:tcPr>
            <w:tcW w:type="dxa" w:w="1584"/>
          </w:tcPr>
          <w:p>
            <w:pPr>
              <w:spacing w:after="20" w:before="20"/>
              <w:jc w:val="right"/>
            </w:pPr>
            <w:r/>
            <w:r>
              <w:rPr>
                <w:color w:val="212529"/>
                <w:sz w:val="18"/>
              </w:rPr>
              <w:t>200</w:t>
            </w:r>
          </w:p>
        </w:tc>
        <w:tc>
          <w:tcPr>
            <w:tcW w:type="dxa" w:w="2304"/>
          </w:tcPr>
          <w:p>
            <w:pPr>
              <w:spacing w:after="20" w:before="20"/>
              <w:jc w:val="right"/>
            </w:pPr>
            <w:r/>
            <w:r>
              <w:rPr>
                <w:color w:val="212529"/>
                <w:sz w:val="18"/>
              </w:rPr>
              <w:t>31.9%</w:t>
            </w:r>
          </w:p>
        </w:tc>
      </w:tr>
      <w:tr>
        <w:tc>
          <w:tcPr>
            <w:tcW w:type="dxa" w:w="3024"/>
            <w:shd w:val="clear" w:fill="EEF3F8"/>
          </w:tcPr>
          <w:p>
            <w:pPr>
              <w:spacing w:after="20" w:before="20"/>
            </w:pPr>
            <w:r/>
            <w:r>
              <w:rPr>
                <w:color w:val="212529"/>
                <w:sz w:val="18"/>
              </w:rPr>
              <w:t>Cash On Delivery</w:t>
            </w:r>
          </w:p>
        </w:tc>
        <w:tc>
          <w:tcPr>
            <w:tcW w:type="dxa" w:w="2304"/>
            <w:shd w:val="clear" w:fill="EEF3F8"/>
          </w:tcPr>
          <w:p>
            <w:pPr>
              <w:spacing w:after="20" w:before="20"/>
              <w:jc w:val="right"/>
            </w:pPr>
            <w:r/>
            <w:r>
              <w:rPr>
                <w:color w:val="212529"/>
                <w:sz w:val="18"/>
              </w:rPr>
              <w:t>80,856.79</w:t>
            </w:r>
          </w:p>
        </w:tc>
        <w:tc>
          <w:tcPr>
            <w:tcW w:type="dxa" w:w="1584"/>
            <w:shd w:val="clear" w:fill="EEF3F8"/>
          </w:tcPr>
          <w:p>
            <w:pPr>
              <w:spacing w:after="20" w:before="20"/>
              <w:jc w:val="right"/>
            </w:pPr>
            <w:r/>
            <w:r>
              <w:rPr>
                <w:color w:val="212529"/>
                <w:sz w:val="18"/>
              </w:rPr>
              <w:t>127</w:t>
            </w:r>
          </w:p>
        </w:tc>
        <w:tc>
          <w:tcPr>
            <w:tcW w:type="dxa" w:w="2304"/>
            <w:shd w:val="clear" w:fill="EEF3F8"/>
          </w:tcPr>
          <w:p>
            <w:pPr>
              <w:spacing w:after="20" w:before="20"/>
              <w:jc w:val="right"/>
            </w:pPr>
            <w:r/>
            <w:r>
              <w:rPr>
                <w:color w:val="212529"/>
                <w:sz w:val="18"/>
              </w:rPr>
              <w:t>20.3%</w:t>
            </w:r>
          </w:p>
        </w:tc>
      </w:tr>
      <w:tr>
        <w:tc>
          <w:tcPr>
            <w:tcW w:type="dxa" w:w="3024"/>
          </w:tcPr>
          <w:p>
            <w:pPr>
              <w:spacing w:after="20" w:before="20"/>
            </w:pPr>
            <w:r/>
            <w:r>
              <w:rPr>
                <w:color w:val="212529"/>
                <w:sz w:val="18"/>
              </w:rPr>
              <w:t>Upi</w:t>
            </w:r>
          </w:p>
        </w:tc>
        <w:tc>
          <w:tcPr>
            <w:tcW w:type="dxa" w:w="2304"/>
          </w:tcPr>
          <w:p>
            <w:pPr>
              <w:spacing w:after="20" w:before="20"/>
              <w:jc w:val="right"/>
            </w:pPr>
            <w:r/>
            <w:r>
              <w:rPr>
                <w:color w:val="212529"/>
                <w:sz w:val="18"/>
              </w:rPr>
              <w:t>56,793.75</w:t>
            </w:r>
          </w:p>
        </w:tc>
        <w:tc>
          <w:tcPr>
            <w:tcW w:type="dxa" w:w="1584"/>
          </w:tcPr>
          <w:p>
            <w:pPr>
              <w:spacing w:after="20" w:before="20"/>
              <w:jc w:val="right"/>
            </w:pPr>
            <w:r/>
            <w:r>
              <w:rPr>
                <w:color w:val="212529"/>
                <w:sz w:val="18"/>
              </w:rPr>
              <w:t>96</w:t>
            </w:r>
          </w:p>
        </w:tc>
        <w:tc>
          <w:tcPr>
            <w:tcW w:type="dxa" w:w="2304"/>
          </w:tcPr>
          <w:p>
            <w:pPr>
              <w:spacing w:after="20" w:before="20"/>
              <w:jc w:val="right"/>
            </w:pPr>
            <w:r/>
            <w:r>
              <w:rPr>
                <w:color w:val="212529"/>
                <w:sz w:val="18"/>
              </w:rPr>
              <w:t>15.3%</w:t>
            </w:r>
          </w:p>
        </w:tc>
      </w:tr>
      <w:tr>
        <w:tc>
          <w:tcPr>
            <w:tcW w:type="dxa" w:w="3024"/>
            <w:shd w:val="clear" w:fill="EEF3F8"/>
          </w:tcPr>
          <w:p>
            <w:pPr>
              <w:spacing w:after="20" w:before="20"/>
            </w:pPr>
            <w:r/>
            <w:r>
              <w:rPr>
                <w:color w:val="212529"/>
                <w:sz w:val="18"/>
              </w:rPr>
              <w:t>Net Banking</w:t>
            </w:r>
          </w:p>
        </w:tc>
        <w:tc>
          <w:tcPr>
            <w:tcW w:type="dxa" w:w="2304"/>
            <w:shd w:val="clear" w:fill="EEF3F8"/>
          </w:tcPr>
          <w:p>
            <w:pPr>
              <w:spacing w:after="20" w:before="20"/>
              <w:jc w:val="right"/>
            </w:pPr>
            <w:r/>
            <w:r>
              <w:rPr>
                <w:color w:val="212529"/>
                <w:sz w:val="18"/>
              </w:rPr>
              <w:t>46,834.90</w:t>
            </w:r>
          </w:p>
        </w:tc>
        <w:tc>
          <w:tcPr>
            <w:tcW w:type="dxa" w:w="1584"/>
            <w:shd w:val="clear" w:fill="EEF3F8"/>
          </w:tcPr>
          <w:p>
            <w:pPr>
              <w:spacing w:after="20" w:before="20"/>
              <w:jc w:val="right"/>
            </w:pPr>
            <w:r/>
            <w:r>
              <w:rPr>
                <w:color w:val="212529"/>
                <w:sz w:val="18"/>
              </w:rPr>
              <w:t>87</w:t>
            </w:r>
          </w:p>
        </w:tc>
        <w:tc>
          <w:tcPr>
            <w:tcW w:type="dxa" w:w="2304"/>
            <w:shd w:val="clear" w:fill="EEF3F8"/>
          </w:tcPr>
          <w:p>
            <w:pPr>
              <w:spacing w:after="20" w:before="20"/>
              <w:jc w:val="right"/>
            </w:pPr>
            <w:r/>
            <w:r>
              <w:rPr>
                <w:color w:val="212529"/>
                <w:sz w:val="18"/>
              </w:rPr>
              <w:t>13.9%</w:t>
            </w:r>
          </w:p>
        </w:tc>
      </w:tr>
      <w:tr>
        <w:tc>
          <w:tcPr>
            <w:tcW w:type="dxa" w:w="3024"/>
          </w:tcPr>
          <w:p>
            <w:pPr>
              <w:spacing w:after="20" w:before="20"/>
            </w:pPr>
            <w:r/>
            <w:r>
              <w:rPr>
                <w:color w:val="212529"/>
                <w:sz w:val="18"/>
              </w:rPr>
              <w:t>Debit Card</w:t>
            </w:r>
          </w:p>
        </w:tc>
        <w:tc>
          <w:tcPr>
            <w:tcW w:type="dxa" w:w="2304"/>
          </w:tcPr>
          <w:p>
            <w:pPr>
              <w:spacing w:after="20" w:before="20"/>
              <w:jc w:val="right"/>
            </w:pPr>
            <w:r/>
            <w:r>
              <w:rPr>
                <w:color w:val="212529"/>
                <w:sz w:val="18"/>
              </w:rPr>
              <w:t>45,114.14</w:t>
            </w:r>
          </w:p>
        </w:tc>
        <w:tc>
          <w:tcPr>
            <w:tcW w:type="dxa" w:w="1584"/>
          </w:tcPr>
          <w:p>
            <w:pPr>
              <w:spacing w:after="20" w:before="20"/>
              <w:jc w:val="right"/>
            </w:pPr>
            <w:r/>
            <w:r>
              <w:rPr>
                <w:color w:val="212529"/>
                <w:sz w:val="18"/>
              </w:rPr>
              <w:t>80</w:t>
            </w:r>
          </w:p>
        </w:tc>
        <w:tc>
          <w:tcPr>
            <w:tcW w:type="dxa" w:w="2304"/>
          </w:tcPr>
          <w:p>
            <w:pPr>
              <w:spacing w:after="20" w:before="20"/>
              <w:jc w:val="right"/>
            </w:pPr>
            <w:r/>
            <w:r>
              <w:rPr>
                <w:color w:val="212529"/>
                <w:sz w:val="18"/>
              </w:rPr>
              <w:t>12.8%</w:t>
            </w:r>
          </w:p>
        </w:tc>
      </w:tr>
      <w:tr>
        <w:tc>
          <w:tcPr>
            <w:tcW w:type="dxa" w:w="3024"/>
            <w:shd w:val="clear" w:fill="EEF3F8"/>
          </w:tcPr>
          <w:p>
            <w:pPr>
              <w:spacing w:after="20" w:before="20"/>
            </w:pPr>
            <w:r/>
            <w:r>
              <w:rPr>
                <w:color w:val="212529"/>
                <w:sz w:val="18"/>
              </w:rPr>
              <w:t>Unknown</w:t>
            </w:r>
          </w:p>
        </w:tc>
        <w:tc>
          <w:tcPr>
            <w:tcW w:type="dxa" w:w="2304"/>
            <w:shd w:val="clear" w:fill="EEF3F8"/>
          </w:tcPr>
          <w:p>
            <w:pPr>
              <w:spacing w:after="20" w:before="20"/>
              <w:jc w:val="right"/>
            </w:pPr>
            <w:r/>
            <w:r>
              <w:rPr>
                <w:color w:val="212529"/>
                <w:sz w:val="18"/>
              </w:rPr>
              <w:t>17,176.25</w:t>
            </w:r>
          </w:p>
        </w:tc>
        <w:tc>
          <w:tcPr>
            <w:tcW w:type="dxa" w:w="1584"/>
            <w:shd w:val="clear" w:fill="EEF3F8"/>
          </w:tcPr>
          <w:p>
            <w:pPr>
              <w:spacing w:after="20" w:before="20"/>
              <w:jc w:val="right"/>
            </w:pPr>
            <w:r/>
            <w:r>
              <w:rPr>
                <w:color w:val="212529"/>
                <w:sz w:val="18"/>
              </w:rPr>
              <w:t>36</w:t>
            </w:r>
          </w:p>
        </w:tc>
        <w:tc>
          <w:tcPr>
            <w:tcW w:type="dxa" w:w="2304"/>
            <w:shd w:val="clear" w:fill="EEF3F8"/>
          </w:tcPr>
          <w:p>
            <w:pPr>
              <w:spacing w:after="20" w:before="20"/>
              <w:jc w:val="right"/>
            </w:pPr>
            <w:r/>
            <w:r>
              <w:rPr>
                <w:color w:val="212529"/>
                <w:sz w:val="18"/>
              </w:rPr>
              <w:t>5.8%</w:t>
            </w:r>
          </w:p>
        </w:tc>
      </w:tr>
    </w:tbl>
    <w:p>
      <w:pPr>
        <w:spacing w:before="60" w:after="200"/>
      </w:pPr>
      <w:r>
        <w:rPr>
          <w:i/>
          <w:color w:val="5C6670"/>
          <w:sz w:val="17"/>
        </w:rPr>
        <w:t>Table 10: Revenue and order share by payment method.</w:t>
      </w:r>
    </w:p>
    <w:p>
      <w:pPr>
        <w:spacing w:before="120" w:after="40"/>
        <w:jc w:val="center"/>
      </w:pPr>
      <w:r>
        <w:drawing>
          <wp:inline xmlns:a="http://schemas.openxmlformats.org/drawingml/2006/main" xmlns:pic="http://schemas.openxmlformats.org/drawingml/2006/picture">
            <wp:extent cx="4754880" cy="2852928"/>
            <wp:docPr id="9" name="Picture 9"/>
            <wp:cNvGraphicFramePr>
              <a:graphicFrameLocks noChangeAspect="1"/>
            </wp:cNvGraphicFramePr>
            <a:graphic>
              <a:graphicData uri="http://schemas.openxmlformats.org/drawingml/2006/picture">
                <pic:pic>
                  <pic:nvPicPr>
                    <pic:cNvPr id="0" name="payment_methods.png"/>
                    <pic:cNvPicPr/>
                  </pic:nvPicPr>
                  <pic:blipFill>
                    <a:blip r:embed="rId18"/>
                    <a:stretch>
                      <a:fillRect/>
                    </a:stretch>
                  </pic:blipFill>
                  <pic:spPr>
                    <a:xfrm>
                      <a:off x="0" y="0"/>
                      <a:ext cx="4754880" cy="2852928"/>
                    </a:xfrm>
                    <a:prstGeom prst="rect"/>
                  </pic:spPr>
                </pic:pic>
              </a:graphicData>
            </a:graphic>
          </wp:inline>
        </w:drawing>
      </w:r>
    </w:p>
    <w:p>
      <w:pPr>
        <w:spacing w:after="240"/>
        <w:jc w:val="center"/>
      </w:pPr>
      <w:r>
        <w:rPr>
          <w:i/>
          <w:color w:val="5C6670"/>
          <w:sz w:val="17"/>
        </w:rPr>
        <w:t>Figure 9: Payment methods by revenue. Unknown methods account for 4.7% of revenue.</w:t>
      </w:r>
    </w:p>
    <w:p>
      <w:pPr>
        <w:pStyle w:val="Heading2"/>
      </w:pPr>
      <w:r>
        <w:t>5.5 Product concentration</w:t>
      </w:r>
    </w:p>
    <w:p>
      <w:pPr>
        <w:spacing w:after="140" w:before="0"/>
      </w:pPr>
      <w:r>
        <w:rPr>
          <w:b w:val="0"/>
          <w:i w:val="0"/>
          <w:color w:val="212529"/>
          <w:sz w:val="21"/>
        </w:rPr>
        <w:t>Across 25 products there is no standout performer. The leading product, Wool Sweater, generates 21,302.42, or 5.8% of total revenue. The top ten products are separated by only about six thousand units of revenue, which indicates a deliberately broad assortment rather than a hit-driven one.</w:t>
      </w:r>
    </w:p>
    <w:p>
      <w:pPr>
        <w:spacing w:before="120" w:after="40"/>
        <w:jc w:val="center"/>
      </w:pPr>
      <w:r>
        <w:drawing>
          <wp:inline xmlns:a="http://schemas.openxmlformats.org/drawingml/2006/main" xmlns:pic="http://schemas.openxmlformats.org/drawingml/2006/picture">
            <wp:extent cx="5852160" cy="3043123"/>
            <wp:docPr id="10" name="Picture 10"/>
            <wp:cNvGraphicFramePr>
              <a:graphicFrameLocks noChangeAspect="1"/>
            </wp:cNvGraphicFramePr>
            <a:graphic>
              <a:graphicData uri="http://schemas.openxmlformats.org/drawingml/2006/picture">
                <pic:pic>
                  <pic:nvPicPr>
                    <pic:cNvPr id="0" name="top_products.png"/>
                    <pic:cNvPicPr/>
                  </pic:nvPicPr>
                  <pic:blipFill>
                    <a:blip r:embed="rId19"/>
                    <a:stretch>
                      <a:fillRect/>
                    </a:stretch>
                  </pic:blipFill>
                  <pic:spPr>
                    <a:xfrm>
                      <a:off x="0" y="0"/>
                      <a:ext cx="5852160" cy="3043123"/>
                    </a:xfrm>
                    <a:prstGeom prst="rect"/>
                  </pic:spPr>
                </pic:pic>
              </a:graphicData>
            </a:graphic>
          </wp:inline>
        </w:drawing>
      </w:r>
    </w:p>
    <w:p>
      <w:pPr>
        <w:spacing w:after="240"/>
        <w:jc w:val="center"/>
      </w:pPr>
      <w:r>
        <w:rPr>
          <w:i/>
          <w:color w:val="5C6670"/>
          <w:sz w:val="17"/>
        </w:rPr>
        <w:t>Figure 10: Top ten products by revenue. The shallowness of the ranking is the finding: no product is carrying the business.</w:t>
      </w:r>
    </w:p>
    <w:p>
      <w:pPr>
        <w:pStyle w:val="Heading2"/>
      </w:pPr>
      <w:r>
        <w:t>5.6 Geographic fragmentation</w:t>
      </w:r>
    </w:p>
    <w:p>
      <w:pPr>
        <w:spacing w:after="140" w:before="0"/>
      </w:pPr>
      <w:r>
        <w:rPr>
          <w:b w:val="0"/>
          <w:i w:val="0"/>
          <w:color w:val="212529"/>
          <w:sz w:val="21"/>
        </w:rPr>
        <w:t>Below country level the data is too fragmented to support decisions. Orders ship to 586 distinct cities, and the ten largest together account for just 5.9% of revenue. The single largest city, Michaelview, represents 3,106.39 from only 2 orders. City-level reporting on this dataset measures individual orders, not market structure.</w:t>
      </w:r>
    </w:p>
    <w:p>
      <w:pPr>
        <w:spacing w:before="120" w:after="40"/>
        <w:jc w:val="center"/>
      </w:pPr>
      <w:r>
        <w:drawing>
          <wp:inline xmlns:a="http://schemas.openxmlformats.org/drawingml/2006/main" xmlns:pic="http://schemas.openxmlformats.org/drawingml/2006/picture">
            <wp:extent cx="4754880" cy="2662733"/>
            <wp:docPr id="11" name="Picture 11"/>
            <wp:cNvGraphicFramePr>
              <a:graphicFrameLocks noChangeAspect="1"/>
            </wp:cNvGraphicFramePr>
            <a:graphic>
              <a:graphicData uri="http://schemas.openxmlformats.org/drawingml/2006/picture">
                <pic:pic>
                  <pic:nvPicPr>
                    <pic:cNvPr id="0" name="city_fragmentation.png"/>
                    <pic:cNvPicPr/>
                  </pic:nvPicPr>
                  <pic:blipFill>
                    <a:blip r:embed="rId20"/>
                    <a:stretch>
                      <a:fillRect/>
                    </a:stretch>
                  </pic:blipFill>
                  <pic:spPr>
                    <a:xfrm>
                      <a:off x="0" y="0"/>
                      <a:ext cx="4754880" cy="2662733"/>
                    </a:xfrm>
                    <a:prstGeom prst="rect"/>
                  </pic:spPr>
                </pic:pic>
              </a:graphicData>
            </a:graphic>
          </wp:inline>
        </w:drawing>
      </w:r>
    </w:p>
    <w:p>
      <w:pPr>
        <w:spacing w:after="240"/>
        <w:jc w:val="center"/>
      </w:pPr>
      <w:r>
        <w:rPr>
          <w:i/>
          <w:color w:val="5C6670"/>
          <w:sz w:val="17"/>
        </w:rPr>
        <w:t>Figure 11: Revenue concentration across shipping cities. Almost all revenue sits in the long tail.</w:t>
      </w:r>
    </w:p>
    <w:p>
      <w:pPr>
        <w:pStyle w:val="Heading2"/>
      </w:pPr>
      <w:r>
        <w:t>5.7 Customer behaviour</w:t>
      </w:r>
    </w:p>
    <w:p>
      <w:pPr>
        <w:spacing w:after="140" w:before="0"/>
      </w:pPr>
      <w:r>
        <w:rPr>
          <w:b w:val="0"/>
          <w:i w:val="0"/>
          <w:color w:val="212529"/>
          <w:sz w:val="21"/>
        </w:rPr>
        <w:t>The dataset contains 577 unique customer email addresses against 626 orders, and not one customer appears twice. Every order in the file is a first purchase. Whatever the cause, the analytical consequence is the same: there is no repeat-purchase behaviour to measure, no retention rate to track, and no customer lifetime value that can be estimated from this data.</w:t>
      </w:r>
    </w:p>
    <w:p>
      <w:pPr>
        <w:spacing w:after="120"/>
      </w:pPr>
      <w:r>
        <w:rPr>
          <w:b/>
          <w:color w:val="212529"/>
          <w:sz w:val="21"/>
        </w:rPr>
        <w:t xml:space="preserve">Important caveat. </w:t>
      </w:r>
      <w:r>
        <w:rPr>
          <w:b w:val="0"/>
          <w:color w:val="212529"/>
          <w:sz w:val="21"/>
        </w:rPr>
        <w:t>A dataset in which 626 orders are placed by 626 different customers is statistically implausible for a real retailer. Combined with example.com email domains and generated city names, this strongly suggests the extract is synthetic or anonymised test data. The methodology in this report stands, but the commercial conclusions should be validated against production data before any decision is taken.</w:t>
      </w:r>
    </w:p>
    <w:p>
      <w:r>
        <w:br w:type="page"/>
      </w:r>
    </w:p>
    <w:p>
      <w:pPr>
        <w:pStyle w:val="Heading1"/>
      </w:pPr>
      <w:r>
        <w:t>6. Interactive Dashboard</w:t>
      </w:r>
    </w:p>
    <w:p>
      <w:pPr>
        <w:pStyle w:val="Heading2"/>
      </w:pPr>
      <w:r>
        <w:t>6.1 What was built</w:t>
      </w:r>
    </w:p>
    <w:p>
      <w:pPr>
        <w:spacing w:after="140" w:before="0"/>
      </w:pPr>
      <w:r>
        <w:rPr>
          <w:b w:val="0"/>
          <w:i w:val="0"/>
          <w:color w:val="212529"/>
          <w:sz w:val="21"/>
        </w:rPr>
        <w:t>Task 3 delivered an interactive dashboard as a Tableau workbook (Dashboard.twb) built on the cleaned dataset. The dashboard is filter-driven: a Year selector and a Country selector drive every view on the canvas simultaneously, so a stakeholder can isolate a market and a period and see the whole picture update.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880"/>
            <w:shd w:val="clear" w:fill="1F4E79"/>
          </w:tcPr>
          <w:p>
            <w:pPr>
              <w:spacing w:after="20" w:before="20"/>
            </w:pPr>
            <w:r/>
            <w:r>
              <w:rPr>
                <w:b/>
                <w:color w:val="FFFFFF"/>
                <w:sz w:val="18"/>
              </w:rPr>
              <w:t>Dashboard element</w:t>
            </w:r>
          </w:p>
        </w:tc>
        <w:tc>
          <w:tcPr>
            <w:tcW w:type="dxa" w:w="2160"/>
            <w:shd w:val="clear" w:fill="1F4E79"/>
          </w:tcPr>
          <w:p>
            <w:pPr>
              <w:spacing w:after="20" w:before="20"/>
            </w:pPr>
            <w:r/>
            <w:r>
              <w:rPr>
                <w:b/>
                <w:color w:val="FFFFFF"/>
                <w:sz w:val="18"/>
              </w:rPr>
              <w:t>Type</w:t>
            </w:r>
          </w:p>
        </w:tc>
        <w:tc>
          <w:tcPr>
            <w:tcW w:type="dxa" w:w="4608"/>
            <w:shd w:val="clear" w:fill="1F4E79"/>
          </w:tcPr>
          <w:p>
            <w:pPr>
              <w:spacing w:after="20" w:before="20"/>
            </w:pPr>
            <w:r/>
            <w:r>
              <w:rPr>
                <w:b/>
                <w:color w:val="FFFFFF"/>
                <w:sz w:val="18"/>
              </w:rPr>
              <w:t>Business question it answers</w:t>
            </w:r>
          </w:p>
        </w:tc>
      </w:tr>
      <w:tr>
        <w:tc>
          <w:tcPr>
            <w:tcW w:type="dxa" w:w="2880"/>
          </w:tcPr>
          <w:p>
            <w:pPr>
              <w:spacing w:after="20" w:before="20"/>
            </w:pPr>
            <w:r/>
            <w:r>
              <w:rPr>
                <w:color w:val="212529"/>
                <w:sz w:val="18"/>
              </w:rPr>
              <w:t>Monthly Sales Trend</w:t>
            </w:r>
          </w:p>
        </w:tc>
        <w:tc>
          <w:tcPr>
            <w:tcW w:type="dxa" w:w="2160"/>
          </w:tcPr>
          <w:p>
            <w:pPr>
              <w:spacing w:after="20" w:before="20"/>
            </w:pPr>
            <w:r/>
            <w:r>
              <w:rPr>
                <w:color w:val="212529"/>
                <w:sz w:val="18"/>
              </w:rPr>
              <w:t>Line chart</w:t>
            </w:r>
          </w:p>
        </w:tc>
        <w:tc>
          <w:tcPr>
            <w:tcW w:type="dxa" w:w="4608"/>
          </w:tcPr>
          <w:p>
            <w:pPr>
              <w:spacing w:after="20" w:before="20"/>
            </w:pPr>
            <w:r/>
            <w:r>
              <w:rPr>
                <w:color w:val="212529"/>
                <w:sz w:val="18"/>
              </w:rPr>
              <w:t>How is revenue moving through the year?</w:t>
            </w:r>
          </w:p>
        </w:tc>
      </w:tr>
      <w:tr>
        <w:tc>
          <w:tcPr>
            <w:tcW w:type="dxa" w:w="2880"/>
            <w:shd w:val="clear" w:fill="EEF3F8"/>
          </w:tcPr>
          <w:p>
            <w:pPr>
              <w:spacing w:after="20" w:before="20"/>
            </w:pPr>
            <w:r/>
            <w:r>
              <w:rPr>
                <w:color w:val="212529"/>
                <w:sz w:val="18"/>
              </w:rPr>
              <w:t>Sales By Countries</w:t>
            </w:r>
          </w:p>
        </w:tc>
        <w:tc>
          <w:tcPr>
            <w:tcW w:type="dxa" w:w="2160"/>
            <w:shd w:val="clear" w:fill="EEF3F8"/>
          </w:tcPr>
          <w:p>
            <w:pPr>
              <w:spacing w:after="20" w:before="20"/>
            </w:pPr>
            <w:r/>
            <w:r>
              <w:rPr>
                <w:color w:val="212529"/>
                <w:sz w:val="18"/>
              </w:rPr>
              <w:t>Column chart</w:t>
            </w:r>
          </w:p>
        </w:tc>
        <w:tc>
          <w:tcPr>
            <w:tcW w:type="dxa" w:w="4608"/>
            <w:shd w:val="clear" w:fill="EEF3F8"/>
          </w:tcPr>
          <w:p>
            <w:pPr>
              <w:spacing w:after="20" w:before="20"/>
            </w:pPr>
            <w:r/>
            <w:r>
              <w:rPr>
                <w:color w:val="212529"/>
                <w:sz w:val="18"/>
              </w:rPr>
              <w:t>Which markets are largest?</w:t>
            </w:r>
          </w:p>
        </w:tc>
      </w:tr>
      <w:tr>
        <w:tc>
          <w:tcPr>
            <w:tcW w:type="dxa" w:w="2880"/>
          </w:tcPr>
          <w:p>
            <w:pPr>
              <w:spacing w:after="20" w:before="20"/>
            </w:pPr>
            <w:r/>
            <w:r>
              <w:rPr>
                <w:color w:val="212529"/>
                <w:sz w:val="18"/>
              </w:rPr>
              <w:t>Categories Sales</w:t>
            </w:r>
          </w:p>
        </w:tc>
        <w:tc>
          <w:tcPr>
            <w:tcW w:type="dxa" w:w="2160"/>
          </w:tcPr>
          <w:p>
            <w:pPr>
              <w:spacing w:after="20" w:before="20"/>
            </w:pPr>
            <w:r/>
            <w:r>
              <w:rPr>
                <w:color w:val="212529"/>
                <w:sz w:val="18"/>
              </w:rPr>
              <w:t>Bar chart</w:t>
            </w:r>
          </w:p>
        </w:tc>
        <w:tc>
          <w:tcPr>
            <w:tcW w:type="dxa" w:w="4608"/>
          </w:tcPr>
          <w:p>
            <w:pPr>
              <w:spacing w:after="20" w:before="20"/>
            </w:pPr>
            <w:r/>
            <w:r>
              <w:rPr>
                <w:color w:val="212529"/>
                <w:sz w:val="18"/>
              </w:rPr>
              <w:t>Which product categories perform best?</w:t>
            </w:r>
          </w:p>
        </w:tc>
      </w:tr>
      <w:tr>
        <w:tc>
          <w:tcPr>
            <w:tcW w:type="dxa" w:w="2880"/>
            <w:shd w:val="clear" w:fill="EEF3F8"/>
          </w:tcPr>
          <w:p>
            <w:pPr>
              <w:spacing w:after="20" w:before="20"/>
            </w:pPr>
            <w:r/>
            <w:r>
              <w:rPr>
                <w:color w:val="212529"/>
                <w:sz w:val="18"/>
              </w:rPr>
              <w:t>TOP 5 Cities By Sales</w:t>
            </w:r>
          </w:p>
        </w:tc>
        <w:tc>
          <w:tcPr>
            <w:tcW w:type="dxa" w:w="2160"/>
            <w:shd w:val="clear" w:fill="EEF3F8"/>
          </w:tcPr>
          <w:p>
            <w:pPr>
              <w:spacing w:after="20" w:before="20"/>
            </w:pPr>
            <w:r/>
            <w:r>
              <w:rPr>
                <w:color w:val="212529"/>
                <w:sz w:val="18"/>
              </w:rPr>
              <w:t>Bar chart</w:t>
            </w:r>
          </w:p>
        </w:tc>
        <w:tc>
          <w:tcPr>
            <w:tcW w:type="dxa" w:w="4608"/>
            <w:shd w:val="clear" w:fill="EEF3F8"/>
          </w:tcPr>
          <w:p>
            <w:pPr>
              <w:spacing w:after="20" w:before="20"/>
            </w:pPr>
            <w:r/>
            <w:r>
              <w:rPr>
                <w:color w:val="212529"/>
                <w:sz w:val="18"/>
              </w:rPr>
              <w:t>Where are the biggest cities?</w:t>
            </w:r>
          </w:p>
        </w:tc>
      </w:tr>
      <w:tr>
        <w:tc>
          <w:tcPr>
            <w:tcW w:type="dxa" w:w="2880"/>
          </w:tcPr>
          <w:p>
            <w:pPr>
              <w:spacing w:after="20" w:before="20"/>
            </w:pPr>
            <w:r/>
            <w:r>
              <w:rPr>
                <w:color w:val="212529"/>
                <w:sz w:val="18"/>
              </w:rPr>
              <w:t>Payment methods</w:t>
            </w:r>
          </w:p>
        </w:tc>
        <w:tc>
          <w:tcPr>
            <w:tcW w:type="dxa" w:w="2160"/>
          </w:tcPr>
          <w:p>
            <w:pPr>
              <w:spacing w:after="20" w:before="20"/>
            </w:pPr>
            <w:r/>
            <w:r>
              <w:rPr>
                <w:color w:val="212529"/>
                <w:sz w:val="18"/>
              </w:rPr>
              <w:t>Pie chart</w:t>
            </w:r>
          </w:p>
        </w:tc>
        <w:tc>
          <w:tcPr>
            <w:tcW w:type="dxa" w:w="4608"/>
          </w:tcPr>
          <w:p>
            <w:pPr>
              <w:spacing w:after="20" w:before="20"/>
            </w:pPr>
            <w:r/>
            <w:r>
              <w:rPr>
                <w:color w:val="212529"/>
                <w:sz w:val="18"/>
              </w:rPr>
              <w:t>How do customers prefer to pay?</w:t>
            </w:r>
          </w:p>
        </w:tc>
      </w:tr>
      <w:tr>
        <w:tc>
          <w:tcPr>
            <w:tcW w:type="dxa" w:w="2880"/>
            <w:shd w:val="clear" w:fill="EEF3F8"/>
          </w:tcPr>
          <w:p>
            <w:pPr>
              <w:spacing w:after="20" w:before="20"/>
            </w:pPr>
            <w:r/>
            <w:r>
              <w:rPr>
                <w:color w:val="212529"/>
                <w:sz w:val="18"/>
              </w:rPr>
              <w:t>Year / Country filters</w:t>
            </w:r>
          </w:p>
        </w:tc>
        <w:tc>
          <w:tcPr>
            <w:tcW w:type="dxa" w:w="2160"/>
            <w:shd w:val="clear" w:fill="EEF3F8"/>
          </w:tcPr>
          <w:p>
            <w:pPr>
              <w:spacing w:after="20" w:before="20"/>
            </w:pPr>
            <w:r/>
            <w:r>
              <w:rPr>
                <w:color w:val="212529"/>
                <w:sz w:val="18"/>
              </w:rPr>
              <w:t>Interactive selectors</w:t>
            </w:r>
          </w:p>
        </w:tc>
        <w:tc>
          <w:tcPr>
            <w:tcW w:type="dxa" w:w="4608"/>
            <w:shd w:val="clear" w:fill="EEF3F8"/>
          </w:tcPr>
          <w:p>
            <w:pPr>
              <w:spacing w:after="20" w:before="20"/>
            </w:pPr>
            <w:r/>
            <w:r>
              <w:rPr>
                <w:color w:val="212529"/>
                <w:sz w:val="18"/>
              </w:rPr>
              <w:t>Slice the whole view by period and market</w:t>
            </w:r>
          </w:p>
        </w:tc>
      </w:tr>
      <w:tr>
        <w:tc>
          <w:tcPr>
            <w:tcW w:type="dxa" w:w="2880"/>
          </w:tcPr>
          <w:p>
            <w:pPr>
              <w:spacing w:after="20" w:before="20"/>
            </w:pPr>
            <w:r/>
            <w:r>
              <w:rPr>
                <w:color w:val="212529"/>
                <w:sz w:val="18"/>
              </w:rPr>
              <w:t>KPI panels</w:t>
            </w:r>
          </w:p>
        </w:tc>
        <w:tc>
          <w:tcPr>
            <w:tcW w:type="dxa" w:w="2160"/>
          </w:tcPr>
          <w:p>
            <w:pPr>
              <w:spacing w:after="20" w:before="20"/>
            </w:pPr>
            <w:r/>
            <w:r>
              <w:rPr>
                <w:color w:val="212529"/>
                <w:sz w:val="18"/>
              </w:rPr>
              <w:t>Summary tables</w:t>
            </w:r>
          </w:p>
        </w:tc>
        <w:tc>
          <w:tcPr>
            <w:tcW w:type="dxa" w:w="4608"/>
          </w:tcPr>
          <w:p>
            <w:pPr>
              <w:spacing w:after="20" w:before="20"/>
            </w:pPr>
            <w:r/>
            <w:r>
              <w:rPr>
                <w:color w:val="212529"/>
                <w:sz w:val="18"/>
              </w:rPr>
              <w:t>Country, month, product and payment totals with a grand total</w:t>
            </w:r>
          </w:p>
        </w:tc>
      </w:tr>
    </w:tbl>
    <w:p>
      <w:pPr>
        <w:spacing w:before="60" w:after="200"/>
      </w:pPr>
      <w:r>
        <w:rPr>
          <w:i/>
          <w:color w:val="5C6670"/>
          <w:sz w:val="17"/>
        </w:rPr>
        <w:t>Table 11: Components of the Task 3 interactive dashboard.</w:t>
      </w:r>
    </w:p>
    <w:p>
      <w:pPr>
        <w:spacing w:before="120" w:after="40"/>
        <w:jc w:val="center"/>
      </w:pPr>
      <w:r>
        <w:drawing>
          <wp:inline xmlns:a="http://schemas.openxmlformats.org/drawingml/2006/main" xmlns:pic="http://schemas.openxmlformats.org/drawingml/2006/picture">
            <wp:extent cx="6035040" cy="2048907"/>
            <wp:docPr id="12" name="Picture 12"/>
            <wp:cNvGraphicFramePr>
              <a:graphicFrameLocks noChangeAspect="1"/>
            </wp:cNvGraphicFramePr>
            <a:graphic>
              <a:graphicData uri="http://schemas.openxmlformats.org/drawingml/2006/picture">
                <pic:pic>
                  <pic:nvPicPr>
                    <pic:cNvPr id="0" name="dashboard_screenshot.png"/>
                    <pic:cNvPicPr/>
                  </pic:nvPicPr>
                  <pic:blipFill>
                    <a:blip r:embed="rId21"/>
                    <a:stretch>
                      <a:fillRect/>
                    </a:stretch>
                  </pic:blipFill>
                  <pic:spPr>
                    <a:xfrm>
                      <a:off x="0" y="0"/>
                      <a:ext cx="6035040" cy="2048907"/>
                    </a:xfrm>
                    <a:prstGeom prst="rect"/>
                  </pic:spPr>
                </pic:pic>
              </a:graphicData>
            </a:graphic>
          </wp:inline>
        </w:drawing>
      </w:r>
    </w:p>
    <w:p>
      <w:pPr>
        <w:spacing w:after="240"/>
        <w:jc w:val="center"/>
      </w:pPr>
      <w:r>
        <w:rPr>
          <w:i/>
          <w:color w:val="5C6670"/>
          <w:sz w:val="17"/>
        </w:rPr>
        <w:t>Figure 12: The interactive dashboard as delivered in Task 3, showing the grand total of 365,723.12 across 626 orders.</w:t>
      </w:r>
    </w:p>
    <w:p>
      <w:pPr>
        <w:pStyle w:val="Heading2"/>
      </w:pPr>
      <w:r>
        <w:t>6.2 Known defects in the delivered dashboard</w:t>
      </w:r>
    </w:p>
    <w:p>
      <w:pPr>
        <w:spacing w:after="140" w:before="0"/>
      </w:pPr>
      <w:r>
        <w:rPr>
          <w:b w:val="0"/>
          <w:i w:val="0"/>
          <w:color w:val="212529"/>
          <w:sz w:val="21"/>
        </w:rPr>
        <w:t>Two measurement errors visible in this dashboard are corrected in this report. Both come from the data rather than from the visual design, so they are fixed by cleaning the source rather than by rebuilding the dashboard.</w:t>
      </w:r>
    </w:p>
    <w:p>
      <w:pPr>
        <w:pStyle w:val="ListBullet"/>
        <w:spacing w:after="80"/>
      </w:pPr>
      <w:r>
        <w:rPr>
          <w:b/>
          <w:color w:val="212529"/>
          <w:sz w:val="21"/>
        </w:rPr>
        <w:t xml:space="preserve">Split UK market. </w:t>
      </w:r>
      <w:r>
        <w:rPr>
          <w:color w:val="212529"/>
          <w:sz w:val="21"/>
        </w:rPr>
        <w:t>'England' and 'United Kingdom' appear as separate bars, splitting one market in two and understating the UK by 13,630.14. After correction the UK is the second-largest market, not the fifth.</w:t>
      </w:r>
    </w:p>
    <w:p>
      <w:pPr>
        <w:pStyle w:val="ListBullet"/>
        <w:spacing w:after="80"/>
      </w:pPr>
      <w:r>
        <w:rPr>
          <w:b/>
          <w:color w:val="212529"/>
          <w:sz w:val="21"/>
        </w:rPr>
        <w:t xml:space="preserve">Missing data presented as a category. </w:t>
      </w:r>
      <w:r>
        <w:rPr>
          <w:color w:val="212529"/>
          <w:sz w:val="21"/>
        </w:rPr>
        <w:t>'NA' is charted as though it were a country and ranked as a real market in the payment pie and country bar. It is actually 52 orders of missing data worth 31,144.23, and it is better labelled as Unknown.</w:t>
      </w:r>
    </w:p>
    <w:p>
      <w:pPr>
        <w:pStyle w:val="ListBullet"/>
        <w:spacing w:after="80"/>
      </w:pPr>
      <w:r>
        <w:rPr>
          <w:b/>
          <w:color w:val="212529"/>
          <w:sz w:val="21"/>
        </w:rPr>
        <w:t xml:space="preserve">A year filter that misleads. </w:t>
      </w:r>
      <w:r>
        <w:rPr>
          <w:color w:val="212529"/>
          <w:sz w:val="21"/>
        </w:rPr>
        <w:t>The Year filter invites a year-over-year comparison that the data cannot support, because 2024 and 2026 are only partially covered. Selecting 2026 shows a decline that is really a truncated extract.</w:t>
      </w:r>
    </w:p>
    <w:p>
      <w:pPr>
        <w:pStyle w:val="ListBullet"/>
        <w:spacing w:after="80"/>
      </w:pPr>
      <w:r>
        <w:rPr>
          <w:b/>
          <w:color w:val="212529"/>
          <w:sz w:val="21"/>
        </w:rPr>
        <w:t xml:space="preserve">City panel is noise. </w:t>
      </w:r>
      <w:r>
        <w:rPr>
          <w:color w:val="212529"/>
          <w:sz w:val="21"/>
        </w:rPr>
        <w:t>The top-five-cities panel looks meaningful but rests on individual orders: the leading city records two orders. It should be replaced with market-level reporting.</w:t>
      </w:r>
    </w:p>
    <w:p>
      <w:pPr>
        <w:pStyle w:val="Heading2"/>
      </w:pPr>
      <w:r>
        <w:t>6.3 Using the dashboard</w:t>
      </w:r>
    </w:p>
    <w:p>
      <w:pPr>
        <w:spacing w:after="140" w:before="0"/>
      </w:pPr>
      <w:r>
        <w:rPr>
          <w:b w:val="0"/>
          <w:i w:val="0"/>
          <w:color w:val="212529"/>
          <w:sz w:val="21"/>
        </w:rPr>
        <w:t>For a corrected reading of the business, use the dashboard to explore market and category structure, which are robust, and treat any single-year comparison with caution. The like-for-like figures in section 5.3 of this report are the defensible basis for trend statements.</w:t>
      </w:r>
    </w:p>
    <w:p>
      <w:r>
        <w:br w:type="page"/>
      </w:r>
    </w:p>
    <w:p>
      <w:pPr>
        <w:pStyle w:val="Heading1"/>
      </w:pPr>
      <w:r>
        <w:t>7. Key Business Insights</w:t>
      </w:r>
    </w:p>
    <w:p>
      <w:pPr>
        <w:pStyle w:val="Heading2"/>
      </w:pPr>
      <w:r>
        <w:t>Insight 1 - Trading is flat, and the reported decline is not real</w:t>
      </w:r>
    </w:p>
    <w:p>
      <w:pPr>
        <w:spacing w:after="60"/>
      </w:pPr>
      <w:r>
        <w:rPr>
          <w:b/>
          <w:color w:val="212529"/>
          <w:sz w:val="20"/>
        </w:rPr>
        <w:t xml:space="preserve">Evidence: </w:t>
      </w:r>
      <w:r>
        <w:rPr>
          <w:b w:val="0"/>
          <w:color w:val="212529"/>
          <w:sz w:val="20"/>
        </w:rPr>
        <w:t>Whole-year totals imply +187% then -21.8%. Correcting for coverage, January to August revenue moves -0.3% and average order value rises +2.3%.</w:t>
      </w:r>
    </w:p>
    <w:p>
      <w:pPr>
        <w:spacing w:after="160"/>
      </w:pPr>
      <w:r>
        <w:rPr>
          <w:b/>
          <w:color w:val="212529"/>
          <w:sz w:val="20"/>
        </w:rPr>
        <w:t xml:space="preserve">Implication: </w:t>
      </w:r>
      <w:r>
        <w:rPr>
          <w:b w:val="0"/>
          <w:color w:val="212529"/>
          <w:sz w:val="20"/>
        </w:rPr>
        <w:t>Do not commission a recovery plan for a decline that exists only in the extract. Fix the extraction window first.</w:t>
      </w:r>
    </w:p>
    <w:p>
      <w:pPr>
        <w:pStyle w:val="Heading2"/>
      </w:pPr>
      <w:r>
        <w:t>Insight 2 - The United Kingdom is the second-largest market, not the fifth</w:t>
      </w:r>
    </w:p>
    <w:p>
      <w:pPr>
        <w:spacing w:after="60"/>
      </w:pPr>
      <w:r>
        <w:rPr>
          <w:b/>
          <w:color w:val="212529"/>
          <w:sz w:val="20"/>
        </w:rPr>
        <w:t xml:space="preserve">Evidence: </w:t>
      </w:r>
      <w:r>
        <w:rPr>
          <w:b w:val="0"/>
          <w:color w:val="212529"/>
          <w:sz w:val="20"/>
        </w:rPr>
        <w:t>Merging the duplicated labels produces 69,745.83, 19.1% of revenue, moving the UK from rank 5 to rank 2 at the expense of India and Canada.</w:t>
      </w:r>
    </w:p>
    <w:p>
      <w:pPr>
        <w:spacing w:after="160"/>
      </w:pPr>
      <w:r>
        <w:rPr>
          <w:b/>
          <w:color w:val="212529"/>
          <w:sz w:val="20"/>
        </w:rPr>
        <w:t xml:space="preserve">Implication: </w:t>
      </w:r>
      <w:r>
        <w:rPr>
          <w:b w:val="0"/>
          <w:color w:val="212529"/>
          <w:sz w:val="20"/>
        </w:rPr>
        <w:t>Market prioritisation and any UK-specific resourcing decision taken from the earlier dashboard were based on an understated figure.</w:t>
      </w:r>
    </w:p>
    <w:p>
      <w:pPr>
        <w:pStyle w:val="Heading2"/>
      </w:pPr>
      <w:r>
        <w:t>Insight 3 - There is no customer retention to speak of</w:t>
      </w:r>
    </w:p>
    <w:p>
      <w:pPr>
        <w:spacing w:after="60"/>
      </w:pPr>
      <w:r>
        <w:rPr>
          <w:b/>
          <w:color w:val="212529"/>
          <w:sz w:val="20"/>
        </w:rPr>
        <w:t xml:space="preserve">Evidence: </w:t>
      </w:r>
      <w:r>
        <w:rPr>
          <w:b w:val="0"/>
          <w:color w:val="212529"/>
          <w:sz w:val="20"/>
        </w:rPr>
        <w:t>577 customers, 626 orders, zero repeat purchases. All revenue is first-time revenue.</w:t>
      </w:r>
    </w:p>
    <w:p>
      <w:pPr>
        <w:spacing w:after="160"/>
      </w:pPr>
      <w:r>
        <w:rPr>
          <w:b/>
          <w:color w:val="212529"/>
          <w:sz w:val="20"/>
        </w:rPr>
        <w:t xml:space="preserve">Implication: </w:t>
      </w:r>
      <w:r>
        <w:rPr>
          <w:b w:val="0"/>
          <w:color w:val="212529"/>
          <w:sz w:val="20"/>
        </w:rPr>
        <w:t>Growth depends entirely on continued acquisition. There is no installed base to defend, and no loyalty metric can be computed until customers are identified properly.</w:t>
      </w:r>
    </w:p>
    <w:p>
      <w:pPr>
        <w:pStyle w:val="Heading2"/>
      </w:pPr>
      <w:r>
        <w:t>Insight 4 - The product mix is flat, so there is no hero product to scale</w:t>
      </w:r>
    </w:p>
    <w:p>
      <w:pPr>
        <w:spacing w:after="60"/>
      </w:pPr>
      <w:r>
        <w:rPr>
          <w:b/>
          <w:color w:val="212529"/>
          <w:sz w:val="20"/>
        </w:rPr>
        <w:t xml:space="preserve">Evidence: </w:t>
      </w:r>
      <w:r>
        <w:rPr>
          <w:b w:val="0"/>
          <w:color w:val="212529"/>
          <w:sz w:val="20"/>
        </w:rPr>
        <w:t>All five categories sit between 16.7% and 21.1% of revenue, and the top product takes just 5.8%.</w:t>
      </w:r>
    </w:p>
    <w:p>
      <w:pPr>
        <w:spacing w:after="160"/>
      </w:pPr>
      <w:r>
        <w:rPr>
          <w:b/>
          <w:color w:val="212529"/>
          <w:sz w:val="20"/>
        </w:rPr>
        <w:t xml:space="preserve">Implication: </w:t>
      </w:r>
      <w:r>
        <w:rPr>
          <w:b w:val="0"/>
          <w:color w:val="212529"/>
          <w:sz w:val="20"/>
        </w:rPr>
        <w:t>Range decisions should be made on margin and availability rather than on chasing a breakout product that the data does not contain.</w:t>
      </w:r>
    </w:p>
    <w:p>
      <w:pPr>
        <w:pStyle w:val="Heading2"/>
      </w:pPr>
      <w:r>
        <w:t>Insight 5 - Revenue moves with order count, not basket size</w:t>
      </w:r>
    </w:p>
    <w:p>
      <w:pPr>
        <w:spacing w:after="60"/>
      </w:pPr>
      <w:r>
        <w:rPr>
          <w:b/>
          <w:color w:val="212529"/>
          <w:sz w:val="20"/>
        </w:rPr>
        <w:t xml:space="preserve">Evidence: </w:t>
      </w:r>
      <w:r>
        <w:rPr>
          <w:b w:val="0"/>
          <w:color w:val="212529"/>
          <w:sz w:val="20"/>
        </w:rPr>
        <w:t>Average order value is stable at 584.22 overall and moved only +2.3% year on year, while monthly order counts ranged from 16 to 32.</w:t>
      </w:r>
    </w:p>
    <w:p>
      <w:pPr>
        <w:spacing w:after="160"/>
      </w:pPr>
      <w:r>
        <w:rPr>
          <w:b/>
          <w:color w:val="212529"/>
          <w:sz w:val="20"/>
        </w:rPr>
        <w:t xml:space="preserve">Implication: </w:t>
      </w:r>
      <w:r>
        <w:rPr>
          <w:b w:val="0"/>
          <w:color w:val="212529"/>
          <w:sz w:val="20"/>
        </w:rPr>
        <w:t>The growth lever is demand generation and conversion, not upselling or price increases.</w:t>
      </w:r>
    </w:p>
    <w:p>
      <w:pPr>
        <w:pStyle w:val="Heading2"/>
      </w:pPr>
      <w:r>
        <w:t>Insight 6 - Geographic reporting below country level is not actionable</w:t>
      </w:r>
    </w:p>
    <w:p>
      <w:pPr>
        <w:spacing w:after="60"/>
      </w:pPr>
      <w:r>
        <w:rPr>
          <w:b/>
          <w:color w:val="212529"/>
          <w:sz w:val="20"/>
        </w:rPr>
        <w:t xml:space="preserve">Evidence: </w:t>
      </w:r>
      <w:r>
        <w:rPr>
          <w:b w:val="0"/>
          <w:color w:val="212529"/>
          <w:sz w:val="20"/>
        </w:rPr>
        <w:t>586 cities, top ten share 5.9%, largest city from 2 orders.</w:t>
      </w:r>
    </w:p>
    <w:p>
      <w:pPr>
        <w:spacing w:after="160"/>
      </w:pPr>
      <w:r>
        <w:rPr>
          <w:b/>
          <w:color w:val="212529"/>
          <w:sz w:val="20"/>
        </w:rPr>
        <w:t xml:space="preserve">Implication: </w:t>
      </w:r>
      <w:r>
        <w:rPr>
          <w:b w:val="0"/>
          <w:color w:val="212529"/>
          <w:sz w:val="20"/>
        </w:rPr>
        <w:t>Drop the city panel from the dashboard and reinvest that attention in market-level and category-level reporting.</w:t>
      </w:r>
    </w:p>
    <w:p>
      <w:pPr>
        <w:pStyle w:val="Heading2"/>
      </w:pPr>
      <w:r>
        <w:t>Insight 7 - Payment is broad-based with credit card leading</w:t>
      </w:r>
    </w:p>
    <w:p>
      <w:pPr>
        <w:spacing w:after="60"/>
      </w:pPr>
      <w:r>
        <w:rPr>
          <w:b/>
          <w:color w:val="212529"/>
          <w:sz w:val="20"/>
        </w:rPr>
        <w:t xml:space="preserve">Evidence: </w:t>
      </w:r>
      <w:r>
        <w:rPr>
          <w:b w:val="0"/>
          <w:color w:val="212529"/>
          <w:sz w:val="20"/>
        </w:rPr>
        <w:t>Credit card takes 31.9% of orders, cash on delivery 20.3%, and every named method holds at least 12.8%.</w:t>
      </w:r>
    </w:p>
    <w:p>
      <w:pPr>
        <w:spacing w:after="160"/>
      </w:pPr>
      <w:r>
        <w:rPr>
          <w:b/>
          <w:color w:val="212529"/>
          <w:sz w:val="20"/>
        </w:rPr>
        <w:t xml:space="preserve">Implication: </w:t>
      </w:r>
      <w:r>
        <w:rPr>
          <w:b w:val="0"/>
          <w:color w:val="212529"/>
          <w:sz w:val="20"/>
        </w:rPr>
        <w:t>No single payment method is a systemic risk, but cash on delivery at a fifth of orders is a material reconciliation and fulfilment cost worth quantifying.</w:t>
      </w:r>
    </w:p>
    <w:p>
      <w:pPr>
        <w:pStyle w:val="Heading2"/>
      </w:pPr>
      <w:r>
        <w:t>Insight 8 - One in twelve revenue units cannot be attributed to a market</w:t>
      </w:r>
    </w:p>
    <w:p>
      <w:pPr>
        <w:spacing w:after="60"/>
      </w:pPr>
      <w:r>
        <w:rPr>
          <w:b/>
          <w:color w:val="212529"/>
          <w:sz w:val="20"/>
        </w:rPr>
        <w:t xml:space="preserve">Evidence: </w:t>
      </w:r>
      <w:r>
        <w:rPr>
          <w:b w:val="0"/>
          <w:color w:val="212529"/>
          <w:sz w:val="20"/>
        </w:rPr>
        <w:t>52 orders worth 31,144.23, or 8.5% of revenue, have no country recorded.</w:t>
      </w:r>
    </w:p>
    <w:p>
      <w:pPr>
        <w:spacing w:after="160"/>
      </w:pPr>
      <w:r>
        <w:rPr>
          <w:b/>
          <w:color w:val="212529"/>
          <w:sz w:val="20"/>
        </w:rPr>
        <w:t xml:space="preserve">Implication: </w:t>
      </w:r>
      <w:r>
        <w:rPr>
          <w:b w:val="0"/>
          <w:color w:val="212529"/>
          <w:sz w:val="20"/>
        </w:rPr>
        <w:t>This is the largest correctable gap in the dataset and directly weakens every geographic conclusion.</w:t>
      </w:r>
    </w:p>
    <w:p>
      <w:r>
        <w:br w:type="page"/>
      </w:r>
    </w:p>
    <w:p>
      <w:pPr>
        <w:pStyle w:val="Heading1"/>
      </w:pPr>
      <w:r>
        <w:t>8. Recommendations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fill="1F4E79"/>
          </w:tcPr>
          <w:p>
            <w:pPr>
              <w:spacing w:after="20" w:before="20"/>
            </w:pPr>
            <w:r/>
            <w:r>
              <w:rPr>
                <w:b/>
                <w:color w:val="FFFFFF"/>
                <w:sz w:val="17"/>
              </w:rPr>
              <w:t>#</w:t>
            </w:r>
          </w:p>
        </w:tc>
        <w:tc>
          <w:tcPr>
            <w:tcW w:type="dxa" w:w="2664"/>
            <w:shd w:val="clear" w:fill="1F4E79"/>
          </w:tcPr>
          <w:p>
            <w:pPr>
              <w:spacing w:after="20" w:before="20"/>
            </w:pPr>
            <w:r/>
            <w:r>
              <w:rPr>
                <w:b/>
                <w:color w:val="FFFFFF"/>
                <w:sz w:val="17"/>
              </w:rPr>
              <w:t>Recommendation</w:t>
            </w:r>
          </w:p>
        </w:tc>
        <w:tc>
          <w:tcPr>
            <w:tcW w:type="dxa" w:w="4824"/>
            <w:shd w:val="clear" w:fill="1F4E79"/>
          </w:tcPr>
          <w:p>
            <w:pPr>
              <w:spacing w:after="20" w:before="20"/>
            </w:pPr>
            <w:r/>
            <w:r>
              <w:rPr>
                <w:b/>
                <w:color w:val="FFFFFF"/>
                <w:sz w:val="17"/>
              </w:rPr>
              <w:t>Rationale</w:t>
            </w:r>
          </w:p>
        </w:tc>
        <w:tc>
          <w:tcPr>
            <w:tcW w:type="dxa" w:w="1152"/>
            <w:shd w:val="clear" w:fill="1F4E79"/>
          </w:tcPr>
          <w:p>
            <w:pPr>
              <w:spacing w:after="20" w:before="20"/>
            </w:pPr>
            <w:r/>
            <w:r>
              <w:rPr>
                <w:b/>
                <w:color w:val="FFFFFF"/>
                <w:sz w:val="17"/>
              </w:rPr>
              <w:t>Priority</w:t>
            </w:r>
          </w:p>
        </w:tc>
      </w:tr>
      <w:tr>
        <w:tc>
          <w:tcPr>
            <w:tcW w:type="dxa" w:w="432"/>
          </w:tcPr>
          <w:p>
            <w:pPr>
              <w:spacing w:after="20" w:before="20"/>
            </w:pPr>
            <w:r/>
            <w:r>
              <w:rPr>
                <w:color w:val="212529"/>
                <w:sz w:val="17"/>
              </w:rPr>
              <w:t>1</w:t>
            </w:r>
          </w:p>
        </w:tc>
        <w:tc>
          <w:tcPr>
            <w:tcW w:type="dxa" w:w="2664"/>
          </w:tcPr>
          <w:p>
            <w:pPr>
              <w:spacing w:after="20" w:before="20"/>
            </w:pPr>
            <w:r/>
            <w:r>
              <w:rPr>
                <w:color w:val="212529"/>
                <w:sz w:val="17"/>
              </w:rPr>
              <w:t>Enforce country as a controlled list at the point of capture</w:t>
            </w:r>
          </w:p>
        </w:tc>
        <w:tc>
          <w:tcPr>
            <w:tcW w:type="dxa" w:w="4824"/>
          </w:tcPr>
          <w:p>
            <w:pPr>
              <w:spacing w:after="20" w:before="20"/>
            </w:pPr>
            <w:r/>
            <w:r>
              <w:rPr>
                <w:color w:val="212529"/>
                <w:sz w:val="17"/>
              </w:rPr>
              <w:t>Recovers attribution for the 8.5% of revenue currently recorded as Unknown and prevents a repeat of the England / United Kingdom split</w:t>
            </w:r>
          </w:p>
        </w:tc>
        <w:tc>
          <w:tcPr>
            <w:tcW w:type="dxa" w:w="1152"/>
          </w:tcPr>
          <w:p>
            <w:pPr>
              <w:spacing w:after="20" w:before="20"/>
            </w:pPr>
            <w:r/>
            <w:r>
              <w:rPr>
                <w:color w:val="212529"/>
                <w:sz w:val="17"/>
              </w:rPr>
              <w:t>High</w:t>
            </w:r>
          </w:p>
        </w:tc>
      </w:tr>
      <w:tr>
        <w:tc>
          <w:tcPr>
            <w:tcW w:type="dxa" w:w="432"/>
            <w:shd w:val="clear" w:fill="EEF3F8"/>
          </w:tcPr>
          <w:p>
            <w:pPr>
              <w:spacing w:after="20" w:before="20"/>
            </w:pPr>
            <w:r/>
            <w:r>
              <w:rPr>
                <w:color w:val="212529"/>
                <w:sz w:val="17"/>
              </w:rPr>
              <w:t>2</w:t>
            </w:r>
          </w:p>
        </w:tc>
        <w:tc>
          <w:tcPr>
            <w:tcW w:type="dxa" w:w="2664"/>
            <w:shd w:val="clear" w:fill="EEF3F8"/>
          </w:tcPr>
          <w:p>
            <w:pPr>
              <w:spacing w:after="20" w:before="20"/>
            </w:pPr>
            <w:r/>
            <w:r>
              <w:rPr>
                <w:color w:val="212529"/>
                <w:sz w:val="17"/>
              </w:rPr>
              <w:t>Introduce a customer identifier and instrument repeat purchase</w:t>
            </w:r>
          </w:p>
        </w:tc>
        <w:tc>
          <w:tcPr>
            <w:tcW w:type="dxa" w:w="4824"/>
            <w:shd w:val="clear" w:fill="EEF3F8"/>
          </w:tcPr>
          <w:p>
            <w:pPr>
              <w:spacing w:after="20" w:before="20"/>
            </w:pPr>
            <w:r/>
            <w:r>
              <w:rPr>
                <w:color w:val="212529"/>
                <w:sz w:val="17"/>
              </w:rPr>
              <w:t>Retention currently cannot be measured and appears to be zero; without a customer key there is no way to confirm or manage it</w:t>
            </w:r>
          </w:p>
        </w:tc>
        <w:tc>
          <w:tcPr>
            <w:tcW w:type="dxa" w:w="1152"/>
            <w:shd w:val="clear" w:fill="EEF3F8"/>
          </w:tcPr>
          <w:p>
            <w:pPr>
              <w:spacing w:after="20" w:before="20"/>
            </w:pPr>
            <w:r/>
            <w:r>
              <w:rPr>
                <w:color w:val="212529"/>
                <w:sz w:val="17"/>
              </w:rPr>
              <w:t>High</w:t>
            </w:r>
          </w:p>
        </w:tc>
      </w:tr>
      <w:tr>
        <w:tc>
          <w:tcPr>
            <w:tcW w:type="dxa" w:w="432"/>
          </w:tcPr>
          <w:p>
            <w:pPr>
              <w:spacing w:after="20" w:before="20"/>
            </w:pPr>
            <w:r/>
            <w:r>
              <w:rPr>
                <w:color w:val="212529"/>
                <w:sz w:val="17"/>
              </w:rPr>
              <w:t>3</w:t>
            </w:r>
          </w:p>
        </w:tc>
        <w:tc>
          <w:tcPr>
            <w:tcW w:type="dxa" w:w="2664"/>
          </w:tcPr>
          <w:p>
            <w:pPr>
              <w:spacing w:after="20" w:before="20"/>
            </w:pPr>
            <w:r/>
            <w:r>
              <w:rPr>
                <w:color w:val="212529"/>
                <w:sz w:val="17"/>
              </w:rPr>
              <w:t>Standardise the reporting window and always compare like for like</w:t>
            </w:r>
          </w:p>
        </w:tc>
        <w:tc>
          <w:tcPr>
            <w:tcW w:type="dxa" w:w="4824"/>
          </w:tcPr>
          <w:p>
            <w:pPr>
              <w:spacing w:after="20" w:before="20"/>
            </w:pPr>
            <w:r/>
            <w:r>
              <w:rPr>
                <w:color w:val="212529"/>
                <w:sz w:val="17"/>
              </w:rPr>
              <w:t>Partial years produced a false decline of 21.8%; comparisons must use complete, evenly covered periods</w:t>
            </w:r>
          </w:p>
        </w:tc>
        <w:tc>
          <w:tcPr>
            <w:tcW w:type="dxa" w:w="1152"/>
          </w:tcPr>
          <w:p>
            <w:pPr>
              <w:spacing w:after="20" w:before="20"/>
            </w:pPr>
            <w:r/>
            <w:r>
              <w:rPr>
                <w:color w:val="212529"/>
                <w:sz w:val="17"/>
              </w:rPr>
              <w:t>High</w:t>
            </w:r>
          </w:p>
        </w:tc>
      </w:tr>
      <w:tr>
        <w:tc>
          <w:tcPr>
            <w:tcW w:type="dxa" w:w="432"/>
            <w:shd w:val="clear" w:fill="EEF3F8"/>
          </w:tcPr>
          <w:p>
            <w:pPr>
              <w:spacing w:after="20" w:before="20"/>
            </w:pPr>
            <w:r/>
            <w:r>
              <w:rPr>
                <w:color w:val="212529"/>
                <w:sz w:val="17"/>
              </w:rPr>
              <w:t>4</w:t>
            </w:r>
          </w:p>
        </w:tc>
        <w:tc>
          <w:tcPr>
            <w:tcW w:type="dxa" w:w="2664"/>
            <w:shd w:val="clear" w:fill="EEF3F8"/>
          </w:tcPr>
          <w:p>
            <w:pPr>
              <w:spacing w:after="20" w:before="20"/>
            </w:pPr>
            <w:r/>
            <w:r>
              <w:rPr>
                <w:color w:val="212529"/>
                <w:sz w:val="17"/>
              </w:rPr>
              <w:t>Replace the city panel with market and category reporting</w:t>
            </w:r>
          </w:p>
        </w:tc>
        <w:tc>
          <w:tcPr>
            <w:tcW w:type="dxa" w:w="4824"/>
            <w:shd w:val="clear" w:fill="EEF3F8"/>
          </w:tcPr>
          <w:p>
            <w:pPr>
              <w:spacing w:after="20" w:before="20"/>
            </w:pPr>
            <w:r/>
            <w:r>
              <w:rPr>
                <w:color w:val="212529"/>
                <w:sz w:val="17"/>
              </w:rPr>
              <w:t>586 cities with a 5.9% top-ten share cannot support a decision</w:t>
            </w:r>
          </w:p>
        </w:tc>
        <w:tc>
          <w:tcPr>
            <w:tcW w:type="dxa" w:w="1152"/>
            <w:shd w:val="clear" w:fill="EEF3F8"/>
          </w:tcPr>
          <w:p>
            <w:pPr>
              <w:spacing w:after="20" w:before="20"/>
            </w:pPr>
            <w:r/>
            <w:r>
              <w:rPr>
                <w:color w:val="212529"/>
                <w:sz w:val="17"/>
              </w:rPr>
              <w:t>Medium</w:t>
            </w:r>
          </w:p>
        </w:tc>
      </w:tr>
      <w:tr>
        <w:tc>
          <w:tcPr>
            <w:tcW w:type="dxa" w:w="432"/>
          </w:tcPr>
          <w:p>
            <w:pPr>
              <w:spacing w:after="20" w:before="20"/>
            </w:pPr>
            <w:r/>
            <w:r>
              <w:rPr>
                <w:color w:val="212529"/>
                <w:sz w:val="17"/>
              </w:rPr>
              <w:t>5</w:t>
            </w:r>
          </w:p>
        </w:tc>
        <w:tc>
          <w:tcPr>
            <w:tcW w:type="dxa" w:w="2664"/>
          </w:tcPr>
          <w:p>
            <w:pPr>
              <w:spacing w:after="20" w:before="20"/>
            </w:pPr>
            <w:r/>
            <w:r>
              <w:rPr>
                <w:color w:val="212529"/>
                <w:sz w:val="17"/>
              </w:rPr>
              <w:t>Adopt the corrected market ranking in all onward reporting</w:t>
            </w:r>
          </w:p>
        </w:tc>
        <w:tc>
          <w:tcPr>
            <w:tcW w:type="dxa" w:w="4824"/>
          </w:tcPr>
          <w:p>
            <w:pPr>
              <w:spacing w:after="20" w:before="20"/>
            </w:pPr>
            <w:r/>
            <w:r>
              <w:rPr>
                <w:color w:val="212529"/>
                <w:sz w:val="17"/>
              </w:rPr>
              <w:t>The UK moves from fifth to second, which changes market prioritisation</w:t>
            </w:r>
          </w:p>
        </w:tc>
        <w:tc>
          <w:tcPr>
            <w:tcW w:type="dxa" w:w="1152"/>
          </w:tcPr>
          <w:p>
            <w:pPr>
              <w:spacing w:after="20" w:before="20"/>
            </w:pPr>
            <w:r/>
            <w:r>
              <w:rPr>
                <w:color w:val="212529"/>
                <w:sz w:val="17"/>
              </w:rPr>
              <w:t>Medium</w:t>
            </w:r>
          </w:p>
        </w:tc>
      </w:tr>
      <w:tr>
        <w:tc>
          <w:tcPr>
            <w:tcW w:type="dxa" w:w="432"/>
            <w:shd w:val="clear" w:fill="EEF3F8"/>
          </w:tcPr>
          <w:p>
            <w:pPr>
              <w:spacing w:after="20" w:before="20"/>
            </w:pPr>
            <w:r/>
            <w:r>
              <w:rPr>
                <w:color w:val="212529"/>
                <w:sz w:val="17"/>
              </w:rPr>
              <w:t>6</w:t>
            </w:r>
          </w:p>
        </w:tc>
        <w:tc>
          <w:tcPr>
            <w:tcW w:type="dxa" w:w="2664"/>
            <w:shd w:val="clear" w:fill="EEF3F8"/>
          </w:tcPr>
          <w:p>
            <w:pPr>
              <w:spacing w:after="20" w:before="20"/>
            </w:pPr>
            <w:r/>
            <w:r>
              <w:rPr>
                <w:color w:val="212529"/>
                <w:sz w:val="17"/>
              </w:rPr>
              <w:t>Add automated data-quality checks to the pipeline</w:t>
            </w:r>
          </w:p>
        </w:tc>
        <w:tc>
          <w:tcPr>
            <w:tcW w:type="dxa" w:w="4824"/>
            <w:shd w:val="clear" w:fill="EEF3F8"/>
          </w:tcPr>
          <w:p>
            <w:pPr>
              <w:spacing w:after="20" w:before="20"/>
            </w:pPr>
            <w:r/>
            <w:r>
              <w:rPr>
                <w:color w:val="212529"/>
                <w:sz w:val="17"/>
              </w:rPr>
              <w:t>Null counts, allowed-value lists and row-count checks would have caught both defects in this report at the time of loading</w:t>
            </w:r>
          </w:p>
        </w:tc>
        <w:tc>
          <w:tcPr>
            <w:tcW w:type="dxa" w:w="1152"/>
            <w:shd w:val="clear" w:fill="EEF3F8"/>
          </w:tcPr>
          <w:p>
            <w:pPr>
              <w:spacing w:after="20" w:before="20"/>
            </w:pPr>
            <w:r/>
            <w:r>
              <w:rPr>
                <w:color w:val="212529"/>
                <w:sz w:val="17"/>
              </w:rPr>
              <w:t>Medium</w:t>
            </w:r>
          </w:p>
        </w:tc>
      </w:tr>
      <w:tr>
        <w:tc>
          <w:tcPr>
            <w:tcW w:type="dxa" w:w="432"/>
          </w:tcPr>
          <w:p>
            <w:pPr>
              <w:spacing w:after="20" w:before="20"/>
            </w:pPr>
            <w:r/>
            <w:r>
              <w:rPr>
                <w:color w:val="212529"/>
                <w:sz w:val="17"/>
              </w:rPr>
              <w:t>7</w:t>
            </w:r>
          </w:p>
        </w:tc>
        <w:tc>
          <w:tcPr>
            <w:tcW w:type="dxa" w:w="2664"/>
          </w:tcPr>
          <w:p>
            <w:pPr>
              <w:spacing w:after="20" w:before="20"/>
            </w:pPr>
            <w:r/>
            <w:r>
              <w:rPr>
                <w:color w:val="212529"/>
                <w:sz w:val="17"/>
              </w:rPr>
              <w:t>Quantify the cost of cash on delivery and review the threshold for offering it</w:t>
            </w:r>
          </w:p>
        </w:tc>
        <w:tc>
          <w:tcPr>
            <w:tcW w:type="dxa" w:w="4824"/>
          </w:tcPr>
          <w:p>
            <w:pPr>
              <w:spacing w:after="20" w:before="20"/>
            </w:pPr>
            <w:r/>
            <w:r>
              <w:rPr>
                <w:color w:val="212529"/>
                <w:sz w:val="17"/>
              </w:rPr>
              <w:t>Cash on delivery is 20.3% of orders and carries a reconciliation and returns burden</w:t>
            </w:r>
          </w:p>
        </w:tc>
        <w:tc>
          <w:tcPr>
            <w:tcW w:type="dxa" w:w="1152"/>
          </w:tcPr>
          <w:p>
            <w:pPr>
              <w:spacing w:after="20" w:before="20"/>
            </w:pPr>
            <w:r/>
            <w:r>
              <w:rPr>
                <w:color w:val="212529"/>
                <w:sz w:val="17"/>
              </w:rPr>
              <w:t>Medium</w:t>
            </w:r>
          </w:p>
        </w:tc>
      </w:tr>
      <w:tr>
        <w:tc>
          <w:tcPr>
            <w:tcW w:type="dxa" w:w="432"/>
            <w:shd w:val="clear" w:fill="EEF3F8"/>
          </w:tcPr>
          <w:p>
            <w:pPr>
              <w:spacing w:after="20" w:before="20"/>
            </w:pPr>
            <w:r/>
            <w:r>
              <w:rPr>
                <w:color w:val="212529"/>
                <w:sz w:val="17"/>
              </w:rPr>
              <w:t>8</w:t>
            </w:r>
          </w:p>
        </w:tc>
        <w:tc>
          <w:tcPr>
            <w:tcW w:type="dxa" w:w="2664"/>
            <w:shd w:val="clear" w:fill="EEF3F8"/>
          </w:tcPr>
          <w:p>
            <w:pPr>
              <w:spacing w:after="20" w:before="20"/>
            </w:pPr>
            <w:r/>
            <w:r>
              <w:rPr>
                <w:color w:val="212529"/>
                <w:sz w:val="17"/>
              </w:rPr>
              <w:t>Validate the findings against production data before acting</w:t>
            </w:r>
          </w:p>
        </w:tc>
        <w:tc>
          <w:tcPr>
            <w:tcW w:type="dxa" w:w="4824"/>
            <w:shd w:val="clear" w:fill="EEF3F8"/>
          </w:tcPr>
          <w:p>
            <w:pPr>
              <w:spacing w:after="20" w:before="20"/>
            </w:pPr>
            <w:r/>
            <w:r>
              <w:rPr>
                <w:color w:val="212529"/>
                <w:sz w:val="17"/>
              </w:rPr>
              <w:t>The dataset has the hallmarks of synthetic test data, so the commercial conclusions need confirmation</w:t>
            </w:r>
          </w:p>
        </w:tc>
        <w:tc>
          <w:tcPr>
            <w:tcW w:type="dxa" w:w="1152"/>
            <w:shd w:val="clear" w:fill="EEF3F8"/>
          </w:tcPr>
          <w:p>
            <w:pPr>
              <w:spacing w:after="20" w:before="20"/>
            </w:pPr>
            <w:r/>
            <w:r>
              <w:rPr>
                <w:color w:val="212529"/>
                <w:sz w:val="17"/>
              </w:rPr>
              <w:t>High</w:t>
            </w:r>
          </w:p>
        </w:tc>
      </w:tr>
    </w:tbl>
    <w:p>
      <w:pPr>
        <w:spacing w:before="60" w:after="200"/>
      </w:pPr>
      <w:r>
        <w:rPr>
          <w:i/>
          <w:color w:val="5C6670"/>
          <w:sz w:val="17"/>
        </w:rPr>
        <w:t>Table 12: Recommendations, rationale and priority.</w:t>
      </w:r>
    </w:p>
    <w:p>
      <w:pPr>
        <w:pStyle w:val="Heading1"/>
      </w:pPr>
      <w:r>
        <w:t>9. Limitations and Caveats</w:t>
      </w:r>
    </w:p>
    <w:tbl>
      <w:tblPr>
        <w:tblStyle w:val="TableGrid"/>
        <w:tblW w:type="auto" w:w="0"/>
        <w:jc w:val="center"/>
        <w:tblLayout w:type="fixed"/>
        <w:tblLook w:firstColumn="1" w:firstRow="1" w:lastColumn="0" w:lastRow="0" w:noHBand="0" w:noVBand="1" w:val="04A0"/>
      </w:tblPr>
      <w:tblGrid>
        <w:gridCol w:w="4824"/>
        <w:gridCol w:w="4824"/>
      </w:tblGrid>
      <w:tr>
        <w:tc>
          <w:tcPr>
            <w:tcW w:type="dxa" w:w="4752"/>
            <w:shd w:val="clear" w:fill="1F4E79"/>
          </w:tcPr>
          <w:p>
            <w:pPr>
              <w:spacing w:after="20" w:before="20"/>
            </w:pPr>
            <w:r/>
            <w:r>
              <w:rPr>
                <w:b/>
                <w:color w:val="FFFFFF"/>
                <w:sz w:val="18"/>
              </w:rPr>
              <w:t>Limitation</w:t>
            </w:r>
          </w:p>
        </w:tc>
        <w:tc>
          <w:tcPr>
            <w:tcW w:type="dxa" w:w="4896"/>
            <w:shd w:val="clear" w:fill="1F4E79"/>
          </w:tcPr>
          <w:p>
            <w:pPr>
              <w:spacing w:after="20" w:before="20"/>
            </w:pPr>
            <w:r/>
            <w:r>
              <w:rPr>
                <w:b/>
                <w:color w:val="FFFFFF"/>
                <w:sz w:val="18"/>
              </w:rPr>
              <w:t>Effect on the analysis</w:t>
            </w:r>
          </w:p>
        </w:tc>
      </w:tr>
      <w:tr>
        <w:tc>
          <w:tcPr>
            <w:tcW w:type="dxa" w:w="4752"/>
          </w:tcPr>
          <w:p>
            <w:pPr>
              <w:spacing w:after="20" w:before="20"/>
            </w:pPr>
            <w:r/>
            <w:r>
              <w:rPr>
                <w:color w:val="212529"/>
                <w:sz w:val="18"/>
              </w:rPr>
              <w:t>The dataset appears to be synthetic (example.com emails, generated city names, 626 orders from 626 distinct customers)</w:t>
            </w:r>
          </w:p>
        </w:tc>
        <w:tc>
          <w:tcPr>
            <w:tcW w:type="dxa" w:w="4896"/>
          </w:tcPr>
          <w:p>
            <w:pPr>
              <w:spacing w:after="20" w:before="20"/>
            </w:pPr>
            <w:r/>
            <w:r>
              <w:rPr>
                <w:color w:val="212529"/>
                <w:sz w:val="18"/>
              </w:rPr>
              <w:t>Methodology is sound and transferable, but the commercial findings should be confirmed on live data</w:t>
            </w:r>
          </w:p>
        </w:tc>
      </w:tr>
      <w:tr>
        <w:tc>
          <w:tcPr>
            <w:tcW w:type="dxa" w:w="4752"/>
            <w:shd w:val="clear" w:fill="EEF3F8"/>
          </w:tcPr>
          <w:p>
            <w:pPr>
              <w:spacing w:after="20" w:before="20"/>
            </w:pPr>
            <w:r/>
            <w:r>
              <w:rPr>
                <w:color w:val="212529"/>
                <w:sz w:val="18"/>
              </w:rPr>
              <w:t>No currency is specified in the source</w:t>
            </w:r>
          </w:p>
        </w:tc>
        <w:tc>
          <w:tcPr>
            <w:tcW w:type="dxa" w:w="4896"/>
            <w:shd w:val="clear" w:fill="EEF3F8"/>
          </w:tcPr>
          <w:p>
            <w:pPr>
              <w:spacing w:after="20" w:before="20"/>
            </w:pPr>
            <w:r/>
            <w:r>
              <w:rPr>
                <w:color w:val="212529"/>
                <w:sz w:val="18"/>
              </w:rPr>
              <w:t>Monetary values are reported as raw units without a symbol</w:t>
            </w:r>
          </w:p>
        </w:tc>
      </w:tr>
      <w:tr>
        <w:tc>
          <w:tcPr>
            <w:tcW w:type="dxa" w:w="4752"/>
          </w:tcPr>
          <w:p>
            <w:pPr>
              <w:spacing w:after="20" w:before="20"/>
            </w:pPr>
            <w:r/>
            <w:r>
              <w:rPr>
                <w:color w:val="212529"/>
                <w:sz w:val="18"/>
              </w:rPr>
              <w:t>No cost, margin or discount fields exist</w:t>
            </w:r>
          </w:p>
        </w:tc>
        <w:tc>
          <w:tcPr>
            <w:tcW w:type="dxa" w:w="4896"/>
          </w:tcPr>
          <w:p>
            <w:pPr>
              <w:spacing w:after="20" w:before="20"/>
            </w:pPr>
            <w:r/>
            <w:r>
              <w:rPr>
                <w:color w:val="212529"/>
                <w:sz w:val="18"/>
              </w:rPr>
              <w:t>The analysis covers revenue only; profitability cannot be assessed</w:t>
            </w:r>
          </w:p>
        </w:tc>
      </w:tr>
      <w:tr>
        <w:tc>
          <w:tcPr>
            <w:tcW w:type="dxa" w:w="4752"/>
            <w:shd w:val="clear" w:fill="EEF3F8"/>
          </w:tcPr>
          <w:p>
            <w:pPr>
              <w:spacing w:after="20" w:before="20"/>
            </w:pPr>
            <w:r/>
            <w:r>
              <w:rPr>
                <w:color w:val="212529"/>
                <w:sz w:val="18"/>
              </w:rPr>
              <w:t>No customer identifier beyond email, and 49 orders have no email</w:t>
            </w:r>
          </w:p>
        </w:tc>
        <w:tc>
          <w:tcPr>
            <w:tcW w:type="dxa" w:w="4896"/>
            <w:shd w:val="clear" w:fill="EEF3F8"/>
          </w:tcPr>
          <w:p>
            <w:pPr>
              <w:spacing w:after="20" w:before="20"/>
            </w:pPr>
            <w:r/>
            <w:r>
              <w:rPr>
                <w:color w:val="212529"/>
                <w:sz w:val="18"/>
              </w:rPr>
              <w:t>Customer counts and retention are approximate and possibly understated</w:t>
            </w:r>
          </w:p>
        </w:tc>
      </w:tr>
      <w:tr>
        <w:tc>
          <w:tcPr>
            <w:tcW w:type="dxa" w:w="4752"/>
          </w:tcPr>
          <w:p>
            <w:pPr>
              <w:spacing w:after="20" w:before="20"/>
            </w:pPr>
            <w:r/>
            <w:r>
              <w:rPr>
                <w:color w:val="212529"/>
                <w:sz w:val="18"/>
              </w:rPr>
              <w:t>2024 is only populated from October and 2026 stops on 09 December</w:t>
            </w:r>
          </w:p>
        </w:tc>
        <w:tc>
          <w:tcPr>
            <w:tcW w:type="dxa" w:w="4896"/>
          </w:tcPr>
          <w:p>
            <w:pPr>
              <w:spacing w:after="20" w:before="20"/>
            </w:pPr>
            <w:r/>
            <w:r>
              <w:rPr>
                <w:color w:val="212529"/>
                <w:sz w:val="18"/>
              </w:rPr>
              <w:t>Whole-year trend comparison is invalid; only like-for-like windows are used</w:t>
            </w:r>
          </w:p>
        </w:tc>
      </w:tr>
      <w:tr>
        <w:tc>
          <w:tcPr>
            <w:tcW w:type="dxa" w:w="4752"/>
            <w:shd w:val="clear" w:fill="EEF3F8"/>
          </w:tcPr>
          <w:p>
            <w:pPr>
              <w:spacing w:after="20" w:before="20"/>
            </w:pPr>
            <w:r/>
            <w:r>
              <w:rPr>
                <w:color w:val="212529"/>
                <w:sz w:val="18"/>
              </w:rPr>
              <w:t>124 order IDs are absent from the sequence 100001 to 100750</w:t>
            </w:r>
          </w:p>
        </w:tc>
        <w:tc>
          <w:tcPr>
            <w:tcW w:type="dxa" w:w="4896"/>
            <w:shd w:val="clear" w:fill="EEF3F8"/>
          </w:tcPr>
          <w:p>
            <w:pPr>
              <w:spacing w:after="20" w:before="20"/>
            </w:pPr>
            <w:r/>
            <w:r>
              <w:rPr>
                <w:color w:val="212529"/>
                <w:sz w:val="18"/>
              </w:rPr>
              <w:t>It is unknown whether they were cancelled, never issued or filtered; the true order count may be higher</w:t>
            </w:r>
          </w:p>
        </w:tc>
      </w:tr>
      <w:tr>
        <w:tc>
          <w:tcPr>
            <w:tcW w:type="dxa" w:w="4752"/>
          </w:tcPr>
          <w:p>
            <w:pPr>
              <w:spacing w:after="20" w:before="20"/>
            </w:pPr>
            <w:r/>
            <w:r>
              <w:rPr>
                <w:color w:val="212529"/>
                <w:sz w:val="18"/>
              </w:rPr>
              <w:t>110 cells (1.46% of all cells) remain missing after cleaning</w:t>
            </w:r>
          </w:p>
        </w:tc>
        <w:tc>
          <w:tcPr>
            <w:tcW w:type="dxa" w:w="4896"/>
          </w:tcPr>
          <w:p>
            <w:pPr>
              <w:spacing w:after="20" w:before="20"/>
            </w:pPr>
            <w:r/>
            <w:r>
              <w:rPr>
                <w:color w:val="212529"/>
                <w:sz w:val="18"/>
              </w:rPr>
              <w:t>Affects customer, city and country detail; retained rather than imputed</w:t>
            </w:r>
          </w:p>
        </w:tc>
      </w:tr>
      <w:tr>
        <w:tc>
          <w:tcPr>
            <w:tcW w:type="dxa" w:w="4752"/>
            <w:shd w:val="clear" w:fill="EEF3F8"/>
          </w:tcPr>
          <w:p>
            <w:pPr>
              <w:spacing w:after="20" w:before="20"/>
            </w:pPr>
            <w:r/>
            <w:r>
              <w:rPr>
                <w:color w:val="212529"/>
                <w:sz w:val="18"/>
              </w:rPr>
              <w:t>No order status, returns or cancellation data</w:t>
            </w:r>
          </w:p>
        </w:tc>
        <w:tc>
          <w:tcPr>
            <w:tcW w:type="dxa" w:w="4896"/>
            <w:shd w:val="clear" w:fill="EEF3F8"/>
          </w:tcPr>
          <w:p>
            <w:pPr>
              <w:spacing w:after="20" w:before="20"/>
            </w:pPr>
            <w:r/>
            <w:r>
              <w:rPr>
                <w:color w:val="212529"/>
                <w:sz w:val="18"/>
              </w:rPr>
              <w:t>Gross revenue may overstate realised revenue</w:t>
            </w:r>
          </w:p>
        </w:tc>
      </w:tr>
    </w:tbl>
    <w:p>
      <w:pPr>
        <w:spacing w:before="60" w:after="200"/>
      </w:pPr>
      <w:r>
        <w:rPr>
          <w:i/>
          <w:color w:val="5C6670"/>
          <w:sz w:val="17"/>
        </w:rPr>
        <w:t>Table 13: Limitations that bound how far these conclusions can be taken.</w:t>
      </w:r>
    </w:p>
    <w:p>
      <w:pPr>
        <w:pStyle w:val="Heading1"/>
      </w:pPr>
      <w:r>
        <w:t>10. Conclusion</w:t>
      </w:r>
    </w:p>
    <w:p>
      <w:pPr>
        <w:spacing w:after="140" w:before="0"/>
      </w:pPr>
      <w:r>
        <w:rPr>
          <w:b w:val="0"/>
          <w:i w:val="0"/>
          <w:color w:val="212529"/>
          <w:sz w:val="21"/>
        </w:rPr>
        <w:t>The project set out to turn a raw retail extract into decision-ready insight, and it does. 626 orders worth 365,723.12 were cleaned, validated and analysed, and the analysis is reproducible from the accompanying scripts.</w:t>
      </w:r>
    </w:p>
    <w:p>
      <w:pPr>
        <w:spacing w:after="140" w:before="0"/>
      </w:pPr>
      <w:r>
        <w:rPr>
          <w:b w:val="0"/>
          <w:i w:val="0"/>
          <w:color w:val="212529"/>
          <w:sz w:val="21"/>
        </w:rPr>
        <w:t>The substantive conclusion is that Swynex's retail business is broadly balanced and stable. Five markets and five categories each contribute a similar share of revenue; no product, category or customer dominates; and, once data coverage is accounted for, trading between 2025 and 2026 is flat with a modestly improving basket value. The two apparent dramas in the earlier dashboard - a collapsing 2026 and a fifth-placed UK - were both measurement errors rather than business events.</w:t>
      </w:r>
    </w:p>
    <w:p>
      <w:pPr>
        <w:spacing w:after="140" w:before="0"/>
      </w:pPr>
      <w:r>
        <w:rPr>
          <w:b w:val="0"/>
          <w:i w:val="0"/>
          <w:color w:val="212529"/>
          <w:sz w:val="21"/>
        </w:rPr>
        <w:t>The most valuable outcome of the cleaning work is therefore not any single number but the discovery that two silent data defects had been producing confident, wrong answers. Country labels split a market in two, and a truncated extract manufactured a 21.8% decline. Neither raised an error. This is the argument for the data-quality controls recommended in section 8: on this dataset, the expensive mistakes were the ones that looked like clean results.</w:t>
      </w:r>
    </w:p>
    <w:p>
      <w:pPr>
        <w:spacing w:after="140" w:before="0"/>
      </w:pPr>
      <w:r>
        <w:rPr>
          <w:b w:val="0"/>
          <w:i w:val="0"/>
          <w:color w:val="212529"/>
          <w:sz w:val="21"/>
        </w:rPr>
        <w:t>The clearest genuine gap in the business picture is customer retention. With every order in the file a first purchase, there is no repeat revenue to build on, and no way to measure loyalty until customers can be identified. That, together with fixing the 8.5% of unattributed revenue, is where the next iteration of this work should begin.</w:t>
      </w:r>
    </w:p>
    <w:p>
      <w:r>
        <w:br w:type="page"/>
      </w:r>
    </w:p>
    <w:p>
      <w:pPr>
        <w:pStyle w:val="Heading1"/>
      </w:pPr>
      <w:r>
        <w:t>Appendix - Cleaning Log and Raw Data Audit</w:t>
      </w:r>
    </w:p>
    <w:p>
      <w:pPr>
        <w:pStyle w:val="Heading2"/>
      </w:pPr>
      <w:r>
        <w:t>A.1 Raw data audit</w:t>
      </w:r>
    </w:p>
    <w:tbl>
      <w:tblPr>
        <w:tblStyle w:val="TableGrid"/>
        <w:tblW w:type="auto" w:w="0"/>
        <w:jc w:val="center"/>
        <w:tblLayout w:type="fixed"/>
        <w:tblLook w:firstColumn="1" w:firstRow="1" w:lastColumn="0" w:lastRow="0" w:noHBand="0" w:noVBand="1" w:val="04A0"/>
      </w:tblPr>
      <w:tblGrid>
        <w:gridCol w:w="4824"/>
        <w:gridCol w:w="4824"/>
      </w:tblGrid>
      <w:tr>
        <w:tc>
          <w:tcPr>
            <w:tcW w:type="dxa" w:w="3888"/>
            <w:shd w:val="clear" w:fill="1F4E79"/>
          </w:tcPr>
          <w:p>
            <w:pPr>
              <w:spacing w:after="20" w:before="20"/>
            </w:pPr>
            <w:r/>
            <w:r>
              <w:rPr>
                <w:b/>
                <w:color w:val="FFFFFF"/>
                <w:sz w:val="18"/>
              </w:rPr>
              <w:t>Check</w:t>
            </w:r>
          </w:p>
        </w:tc>
        <w:tc>
          <w:tcPr>
            <w:tcW w:type="dxa" w:w="5760"/>
            <w:shd w:val="clear" w:fill="1F4E79"/>
          </w:tcPr>
          <w:p>
            <w:pPr>
              <w:spacing w:after="20" w:before="20"/>
            </w:pPr>
            <w:r/>
            <w:r>
              <w:rPr>
                <w:b/>
                <w:color w:val="FFFFFF"/>
                <w:sz w:val="18"/>
              </w:rPr>
              <w:t>Result</w:t>
            </w:r>
          </w:p>
        </w:tc>
      </w:tr>
      <w:tr>
        <w:tc>
          <w:tcPr>
            <w:tcW w:type="dxa" w:w="3888"/>
          </w:tcPr>
          <w:p>
            <w:pPr>
              <w:spacing w:after="20" w:before="20"/>
            </w:pPr>
            <w:r/>
            <w:r>
              <w:rPr>
                <w:color w:val="212529"/>
                <w:sz w:val="18"/>
              </w:rPr>
              <w:t>Source file</w:t>
            </w:r>
          </w:p>
        </w:tc>
        <w:tc>
          <w:tcPr>
            <w:tcW w:type="dxa" w:w="5760"/>
          </w:tcPr>
          <w:p>
            <w:pPr>
              <w:spacing w:after="20" w:before="20"/>
            </w:pPr>
            <w:r/>
            <w:r>
              <w:rPr>
                <w:color w:val="212529"/>
                <w:sz w:val="18"/>
              </w:rPr>
              <w:t>messy_retail_orders.csv</w:t>
            </w:r>
          </w:p>
        </w:tc>
      </w:tr>
      <w:tr>
        <w:tc>
          <w:tcPr>
            <w:tcW w:type="dxa" w:w="3888"/>
            <w:shd w:val="clear" w:fill="EEF3F8"/>
          </w:tcPr>
          <w:p>
            <w:pPr>
              <w:spacing w:after="20" w:before="20"/>
            </w:pPr>
            <w:r/>
            <w:r>
              <w:rPr>
                <w:color w:val="212529"/>
                <w:sz w:val="18"/>
              </w:rPr>
              <w:t>Physical lines</w:t>
            </w:r>
          </w:p>
        </w:tc>
        <w:tc>
          <w:tcPr>
            <w:tcW w:type="dxa" w:w="5760"/>
            <w:shd w:val="clear" w:fill="EEF3F8"/>
          </w:tcPr>
          <w:p>
            <w:pPr>
              <w:spacing w:after="20" w:before="20"/>
            </w:pPr>
            <w:r/>
            <w:r>
              <w:rPr>
                <w:color w:val="212529"/>
                <w:sz w:val="18"/>
              </w:rPr>
              <w:t>628</w:t>
            </w:r>
          </w:p>
        </w:tc>
      </w:tr>
      <w:tr>
        <w:tc>
          <w:tcPr>
            <w:tcW w:type="dxa" w:w="3888"/>
          </w:tcPr>
          <w:p>
            <w:pPr>
              <w:spacing w:after="20" w:before="20"/>
            </w:pPr>
            <w:r/>
            <w:r>
              <w:rPr>
                <w:color w:val="212529"/>
                <w:sz w:val="18"/>
              </w:rPr>
              <w:t>Header row</w:t>
            </w:r>
          </w:p>
        </w:tc>
        <w:tc>
          <w:tcPr>
            <w:tcW w:type="dxa" w:w="5760"/>
          </w:tcPr>
          <w:p>
            <w:pPr>
              <w:spacing w:after="20" w:before="20"/>
            </w:pPr>
            <w:r/>
            <w:r>
              <w:rPr>
                <w:color w:val="212529"/>
                <w:sz w:val="18"/>
              </w:rPr>
              <w:t>Line 2 (leading blank line present: True)</w:t>
            </w:r>
          </w:p>
        </w:tc>
      </w:tr>
      <w:tr>
        <w:tc>
          <w:tcPr>
            <w:tcW w:type="dxa" w:w="3888"/>
            <w:shd w:val="clear" w:fill="EEF3F8"/>
          </w:tcPr>
          <w:p>
            <w:pPr>
              <w:spacing w:after="20" w:before="20"/>
            </w:pPr>
            <w:r/>
            <w:r>
              <w:rPr>
                <w:color w:val="212529"/>
                <w:sz w:val="18"/>
              </w:rPr>
              <w:t>Columns in file / real data columns</w:t>
            </w:r>
          </w:p>
        </w:tc>
        <w:tc>
          <w:tcPr>
            <w:tcW w:type="dxa" w:w="5760"/>
            <w:shd w:val="clear" w:fill="EEF3F8"/>
          </w:tcPr>
          <w:p>
            <w:pPr>
              <w:spacing w:after="20" w:before="20"/>
            </w:pPr>
            <w:r/>
            <w:r>
              <w:rPr>
                <w:color w:val="212529"/>
                <w:sz w:val="18"/>
              </w:rPr>
              <w:t>15 / 12</w:t>
            </w:r>
          </w:p>
        </w:tc>
      </w:tr>
      <w:tr>
        <w:tc>
          <w:tcPr>
            <w:tcW w:type="dxa" w:w="3888"/>
          </w:tcPr>
          <w:p>
            <w:pPr>
              <w:spacing w:after="20" w:before="20"/>
            </w:pPr>
            <w:r/>
            <w:r>
              <w:rPr>
                <w:color w:val="212529"/>
                <w:sz w:val="18"/>
              </w:rPr>
              <w:t>Records</w:t>
            </w:r>
          </w:p>
        </w:tc>
        <w:tc>
          <w:tcPr>
            <w:tcW w:type="dxa" w:w="5760"/>
          </w:tcPr>
          <w:p>
            <w:pPr>
              <w:spacing w:after="20" w:before="20"/>
            </w:pPr>
            <w:r/>
            <w:r>
              <w:rPr>
                <w:color w:val="212529"/>
                <w:sz w:val="18"/>
              </w:rPr>
              <w:t>626</w:t>
            </w:r>
          </w:p>
        </w:tc>
      </w:tr>
      <w:tr>
        <w:tc>
          <w:tcPr>
            <w:tcW w:type="dxa" w:w="3888"/>
            <w:shd w:val="clear" w:fill="EEF3F8"/>
          </w:tcPr>
          <w:p>
            <w:pPr>
              <w:spacing w:after="20" w:before="20"/>
            </w:pPr>
            <w:r/>
            <w:r>
              <w:rPr>
                <w:color w:val="212529"/>
                <w:sz w:val="18"/>
              </w:rPr>
              <w:t>Missing cells in raw file</w:t>
            </w:r>
          </w:p>
        </w:tc>
        <w:tc>
          <w:tcPr>
            <w:tcW w:type="dxa" w:w="5760"/>
            <w:shd w:val="clear" w:fill="EEF3F8"/>
          </w:tcPr>
          <w:p>
            <w:pPr>
              <w:spacing w:after="20" w:before="20"/>
            </w:pPr>
            <w:r/>
            <w:r>
              <w:rPr>
                <w:color w:val="212529"/>
                <w:sz w:val="18"/>
              </w:rPr>
              <w:t>198 (all stored as the text 'NA')</w:t>
            </w:r>
          </w:p>
        </w:tc>
      </w:tr>
      <w:tr>
        <w:tc>
          <w:tcPr>
            <w:tcW w:type="dxa" w:w="3888"/>
          </w:tcPr>
          <w:p>
            <w:pPr>
              <w:spacing w:after="20" w:before="20"/>
            </w:pPr>
            <w:r/>
            <w:r>
              <w:rPr>
                <w:color w:val="212529"/>
                <w:sz w:val="18"/>
              </w:rPr>
              <w:t>Date format</w:t>
            </w:r>
          </w:p>
        </w:tc>
        <w:tc>
          <w:tcPr>
            <w:tcW w:type="dxa" w:w="5760"/>
          </w:tcPr>
          <w:p>
            <w:pPr>
              <w:spacing w:after="20" w:before="20"/>
            </w:pPr>
            <w:r/>
            <w:r>
              <w:rPr>
                <w:color w:val="212529"/>
                <w:sz w:val="18"/>
              </w:rPr>
              <w:t>dd/mm/yy (day-first) - consistent, no ambiguity conflict</w:t>
            </w:r>
          </w:p>
        </w:tc>
      </w:tr>
      <w:tr>
        <w:tc>
          <w:tcPr>
            <w:tcW w:type="dxa" w:w="3888"/>
            <w:shd w:val="clear" w:fill="EEF3F8"/>
          </w:tcPr>
          <w:p>
            <w:pPr>
              <w:spacing w:after="20" w:before="20"/>
            </w:pPr>
            <w:r/>
            <w:r>
              <w:rPr>
                <w:color w:val="212529"/>
                <w:sz w:val="18"/>
              </w:rPr>
              <w:t>Rows proving day-first dates</w:t>
            </w:r>
          </w:p>
        </w:tc>
        <w:tc>
          <w:tcPr>
            <w:tcW w:type="dxa" w:w="5760"/>
            <w:shd w:val="clear" w:fill="EEF3F8"/>
          </w:tcPr>
          <w:p>
            <w:pPr>
              <w:spacing w:after="20" w:before="20"/>
            </w:pPr>
            <w:r/>
            <w:r>
              <w:rPr>
                <w:color w:val="212529"/>
                <w:sz w:val="18"/>
              </w:rPr>
              <w:t>374 (day value above 12)</w:t>
            </w:r>
          </w:p>
        </w:tc>
      </w:tr>
      <w:tr>
        <w:tc>
          <w:tcPr>
            <w:tcW w:type="dxa" w:w="3888"/>
          </w:tcPr>
          <w:p>
            <w:pPr>
              <w:spacing w:after="20" w:before="20"/>
            </w:pPr>
            <w:r/>
            <w:r>
              <w:rPr>
                <w:color w:val="212529"/>
                <w:sz w:val="18"/>
              </w:rPr>
              <w:t>Rows contradicting day-first dates</w:t>
            </w:r>
          </w:p>
        </w:tc>
        <w:tc>
          <w:tcPr>
            <w:tcW w:type="dxa" w:w="5760"/>
          </w:tcPr>
          <w:p>
            <w:pPr>
              <w:spacing w:after="20" w:before="20"/>
            </w:pPr>
            <w:r/>
            <w:r>
              <w:rPr>
                <w:color w:val="212529"/>
                <w:sz w:val="18"/>
              </w:rPr>
              <w:t>0</w:t>
            </w:r>
          </w:p>
        </w:tc>
      </w:tr>
      <w:tr>
        <w:tc>
          <w:tcPr>
            <w:tcW w:type="dxa" w:w="3888"/>
            <w:shd w:val="clear" w:fill="EEF3F8"/>
          </w:tcPr>
          <w:p>
            <w:pPr>
              <w:spacing w:after="20" w:before="20"/>
            </w:pPr>
            <w:r/>
            <w:r>
              <w:rPr>
                <w:color w:val="212529"/>
                <w:sz w:val="18"/>
              </w:rPr>
              <w:t>Sales = Quantity x UnitPrice mismatches</w:t>
            </w:r>
          </w:p>
        </w:tc>
        <w:tc>
          <w:tcPr>
            <w:tcW w:type="dxa" w:w="5760"/>
            <w:shd w:val="clear" w:fill="EEF3F8"/>
          </w:tcPr>
          <w:p>
            <w:pPr>
              <w:spacing w:after="20" w:before="20"/>
            </w:pPr>
            <w:r/>
            <w:r>
              <w:rPr>
                <w:color w:val="212529"/>
                <w:sz w:val="18"/>
              </w:rPr>
              <w:t>0</w:t>
            </w:r>
          </w:p>
        </w:tc>
      </w:tr>
      <w:tr>
        <w:tc>
          <w:tcPr>
            <w:tcW w:type="dxa" w:w="3888"/>
          </w:tcPr>
          <w:p>
            <w:pPr>
              <w:spacing w:after="20" w:before="20"/>
            </w:pPr>
            <w:r/>
            <w:r>
              <w:rPr>
                <w:color w:val="212529"/>
                <w:sz w:val="18"/>
              </w:rPr>
              <w:t>Invalid non-empty email addresses</w:t>
            </w:r>
          </w:p>
        </w:tc>
        <w:tc>
          <w:tcPr>
            <w:tcW w:type="dxa" w:w="5760"/>
          </w:tcPr>
          <w:p>
            <w:pPr>
              <w:spacing w:after="20" w:before="20"/>
            </w:pPr>
            <w:r/>
            <w:r>
              <w:rPr>
                <w:color w:val="212529"/>
                <w:sz w:val="18"/>
              </w:rPr>
              <w:t>0</w:t>
            </w:r>
          </w:p>
        </w:tc>
      </w:tr>
      <w:tr>
        <w:tc>
          <w:tcPr>
            <w:tcW w:type="dxa" w:w="3888"/>
            <w:shd w:val="clear" w:fill="EEF3F8"/>
          </w:tcPr>
          <w:p>
            <w:pPr>
              <w:spacing w:after="20" w:before="20"/>
            </w:pPr>
            <w:r/>
            <w:r>
              <w:rPr>
                <w:color w:val="212529"/>
                <w:sz w:val="18"/>
              </w:rPr>
              <w:t>Duplicate records</w:t>
            </w:r>
          </w:p>
        </w:tc>
        <w:tc>
          <w:tcPr>
            <w:tcW w:type="dxa" w:w="5760"/>
            <w:shd w:val="clear" w:fill="EEF3F8"/>
          </w:tcPr>
          <w:p>
            <w:pPr>
              <w:spacing w:after="20" w:before="20"/>
            </w:pPr>
            <w:r/>
            <w:r>
              <w:rPr>
                <w:color w:val="212529"/>
                <w:sz w:val="18"/>
              </w:rPr>
              <w:t>0</w:t>
            </w:r>
          </w:p>
        </w:tc>
      </w:tr>
      <w:tr>
        <w:tc>
          <w:tcPr>
            <w:tcW w:type="dxa" w:w="3888"/>
          </w:tcPr>
          <w:p>
            <w:pPr>
              <w:spacing w:after="20" w:before="20"/>
            </w:pPr>
            <w:r/>
            <w:r>
              <w:rPr>
                <w:color w:val="212529"/>
                <w:sz w:val="18"/>
              </w:rPr>
              <w:t>Duplicate order IDs</w:t>
            </w:r>
          </w:p>
        </w:tc>
        <w:tc>
          <w:tcPr>
            <w:tcW w:type="dxa" w:w="5760"/>
          </w:tcPr>
          <w:p>
            <w:pPr>
              <w:spacing w:after="20" w:before="20"/>
            </w:pPr>
            <w:r/>
            <w:r>
              <w:rPr>
                <w:color w:val="212529"/>
                <w:sz w:val="18"/>
              </w:rPr>
              <w:t>0</w:t>
            </w:r>
          </w:p>
        </w:tc>
      </w:tr>
      <w:tr>
        <w:tc>
          <w:tcPr>
            <w:tcW w:type="dxa" w:w="3888"/>
            <w:shd w:val="clear" w:fill="EEF3F8"/>
          </w:tcPr>
          <w:p>
            <w:pPr>
              <w:spacing w:after="20" w:before="20"/>
            </w:pPr>
            <w:r/>
            <w:r>
              <w:rPr>
                <w:color w:val="212529"/>
                <w:sz w:val="18"/>
              </w:rPr>
              <w:t>Order ID range</w:t>
            </w:r>
          </w:p>
        </w:tc>
        <w:tc>
          <w:tcPr>
            <w:tcW w:type="dxa" w:w="5760"/>
            <w:shd w:val="clear" w:fill="EEF3F8"/>
          </w:tcPr>
          <w:p>
            <w:pPr>
              <w:spacing w:after="20" w:before="20"/>
            </w:pPr>
            <w:r/>
            <w:r>
              <w:rPr>
                <w:color w:val="212529"/>
                <w:sz w:val="18"/>
              </w:rPr>
              <w:t>100001 to 100750</w:t>
            </w:r>
          </w:p>
        </w:tc>
      </w:tr>
      <w:tr>
        <w:tc>
          <w:tcPr>
            <w:tcW w:type="dxa" w:w="3888"/>
          </w:tcPr>
          <w:p>
            <w:pPr>
              <w:spacing w:after="20" w:before="20"/>
            </w:pPr>
            <w:r/>
            <w:r>
              <w:rPr>
                <w:color w:val="212529"/>
                <w:sz w:val="18"/>
              </w:rPr>
              <w:t>Order IDs absent from range</w:t>
            </w:r>
          </w:p>
        </w:tc>
        <w:tc>
          <w:tcPr>
            <w:tcW w:type="dxa" w:w="5760"/>
          </w:tcPr>
          <w:p>
            <w:pPr>
              <w:spacing w:after="20" w:before="20"/>
            </w:pPr>
            <w:r/>
            <w:r>
              <w:rPr>
                <w:color w:val="212529"/>
                <w:sz w:val="18"/>
              </w:rPr>
              <w:t>124</w:t>
            </w:r>
          </w:p>
        </w:tc>
      </w:tr>
    </w:tbl>
    <w:p>
      <w:pPr>
        <w:spacing w:before="60" w:after="200"/>
      </w:pPr>
      <w:r>
        <w:rPr>
          <w:i/>
          <w:color w:val="5C6670"/>
          <w:sz w:val="17"/>
        </w:rPr>
        <w:t>Table 14: Complete raw-data audit. The ten cleaning steps are listed in Table 4.</w:t>
      </w:r>
    </w:p>
    <w:p>
      <w:pPr>
        <w:pStyle w:val="Heading2"/>
      </w:pPr>
      <w:r>
        <w:t>A.2 Analysis output tables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864"/>
            <w:shd w:val="clear" w:fill="1F4E79"/>
          </w:tcPr>
          <w:p>
            <w:pPr>
              <w:spacing w:after="20" w:before="20"/>
            </w:pPr>
            <w:r/>
            <w:r>
              <w:rPr>
                <w:b/>
                <w:color w:val="FFFFFF"/>
                <w:sz w:val="17"/>
              </w:rPr>
              <w:t>Year</w:t>
            </w:r>
          </w:p>
        </w:tc>
        <w:tc>
          <w:tcPr>
            <w:tcW w:type="dxa" w:w="1800"/>
            <w:shd w:val="clear" w:fill="1F4E79"/>
          </w:tcPr>
          <w:p>
            <w:pPr>
              <w:spacing w:after="20" w:before="20"/>
            </w:pPr>
            <w:r/>
            <w:r>
              <w:rPr>
                <w:b/>
                <w:color w:val="FFFFFF"/>
                <w:sz w:val="17"/>
              </w:rPr>
              <w:t>Revenue</w:t>
            </w:r>
          </w:p>
        </w:tc>
        <w:tc>
          <w:tcPr>
            <w:tcW w:type="dxa" w:w="1080"/>
            <w:shd w:val="clear" w:fill="1F4E79"/>
          </w:tcPr>
          <w:p>
            <w:pPr>
              <w:spacing w:after="20" w:before="20"/>
            </w:pPr>
            <w:r/>
            <w:r>
              <w:rPr>
                <w:b/>
                <w:color w:val="FFFFFF"/>
                <w:sz w:val="17"/>
              </w:rPr>
              <w:t>Orders</w:t>
            </w:r>
          </w:p>
        </w:tc>
        <w:tc>
          <w:tcPr>
            <w:tcW w:type="dxa" w:w="1656"/>
            <w:shd w:val="clear" w:fill="1F4E79"/>
          </w:tcPr>
          <w:p>
            <w:pPr>
              <w:spacing w:after="20" w:before="20"/>
            </w:pPr>
            <w:r/>
            <w:r>
              <w:rPr>
                <w:b/>
                <w:color w:val="FFFFFF"/>
                <w:sz w:val="17"/>
              </w:rPr>
              <w:t>Avg orders per month</w:t>
            </w:r>
          </w:p>
        </w:tc>
        <w:tc>
          <w:tcPr>
            <w:tcW w:type="dxa" w:w="4248"/>
            <w:shd w:val="clear" w:fill="1F4E79"/>
          </w:tcPr>
          <w:p>
            <w:pPr>
              <w:spacing w:after="20" w:before="20"/>
            </w:pPr>
            <w:r/>
            <w:r>
              <w:rPr>
                <w:b/>
                <w:color w:val="FFFFFF"/>
                <w:sz w:val="17"/>
              </w:rPr>
              <w:t>Coverage verdict</w:t>
            </w:r>
          </w:p>
        </w:tc>
      </w:tr>
      <w:tr>
        <w:tc>
          <w:tcPr>
            <w:tcW w:type="dxa" w:w="864"/>
          </w:tcPr>
          <w:p>
            <w:pPr>
              <w:spacing w:after="20" w:before="20"/>
            </w:pPr>
            <w:r/>
            <w:r>
              <w:rPr>
                <w:color w:val="212529"/>
                <w:sz w:val="17"/>
              </w:rPr>
              <w:t>2024</w:t>
            </w:r>
          </w:p>
        </w:tc>
        <w:tc>
          <w:tcPr>
            <w:tcW w:type="dxa" w:w="1800"/>
          </w:tcPr>
          <w:p>
            <w:pPr>
              <w:spacing w:after="20" w:before="20"/>
              <w:jc w:val="right"/>
            </w:pPr>
            <w:r/>
            <w:r>
              <w:rPr>
                <w:color w:val="212529"/>
                <w:sz w:val="17"/>
              </w:rPr>
              <w:t>59,894.84</w:t>
            </w:r>
          </w:p>
        </w:tc>
        <w:tc>
          <w:tcPr>
            <w:tcW w:type="dxa" w:w="1080"/>
          </w:tcPr>
          <w:p>
            <w:pPr>
              <w:spacing w:after="20" w:before="20"/>
              <w:jc w:val="right"/>
            </w:pPr>
            <w:r/>
            <w:r>
              <w:rPr>
                <w:color w:val="212529"/>
                <w:sz w:val="17"/>
              </w:rPr>
              <w:t>100</w:t>
            </w:r>
          </w:p>
        </w:tc>
        <w:tc>
          <w:tcPr>
            <w:tcW w:type="dxa" w:w="1656"/>
          </w:tcPr>
          <w:p>
            <w:pPr>
              <w:spacing w:after="20" w:before="20"/>
              <w:jc w:val="right"/>
            </w:pPr>
            <w:r/>
            <w:r>
              <w:rPr>
                <w:color w:val="212529"/>
                <w:sz w:val="17"/>
              </w:rPr>
              <w:t>8.3</w:t>
            </w:r>
          </w:p>
        </w:tc>
        <w:tc>
          <w:tcPr>
            <w:tcW w:type="dxa" w:w="4248"/>
          </w:tcPr>
          <w:p>
            <w:pPr>
              <w:spacing w:after="20" w:before="20"/>
            </w:pPr>
            <w:r/>
            <w:r>
              <w:rPr>
                <w:color w:val="212529"/>
                <w:sz w:val="17"/>
              </w:rPr>
              <w:t>Ramp-up only</w:t>
            </w:r>
          </w:p>
        </w:tc>
      </w:tr>
      <w:tr>
        <w:tc>
          <w:tcPr>
            <w:tcW w:type="dxa" w:w="864"/>
            <w:shd w:val="clear" w:fill="EEF3F8"/>
          </w:tcPr>
          <w:p>
            <w:pPr>
              <w:spacing w:after="20" w:before="20"/>
            </w:pPr>
            <w:r/>
            <w:r>
              <w:rPr>
                <w:color w:val="212529"/>
                <w:sz w:val="17"/>
              </w:rPr>
              <w:t>2025</w:t>
            </w:r>
          </w:p>
        </w:tc>
        <w:tc>
          <w:tcPr>
            <w:tcW w:type="dxa" w:w="1800"/>
            <w:shd w:val="clear" w:fill="EEF3F8"/>
          </w:tcPr>
          <w:p>
            <w:pPr>
              <w:spacing w:after="20" w:before="20"/>
              <w:jc w:val="right"/>
            </w:pPr>
            <w:r/>
            <w:r>
              <w:rPr>
                <w:color w:val="212529"/>
                <w:sz w:val="17"/>
              </w:rPr>
              <w:t>171,645.44</w:t>
            </w:r>
          </w:p>
        </w:tc>
        <w:tc>
          <w:tcPr>
            <w:tcW w:type="dxa" w:w="1080"/>
            <w:shd w:val="clear" w:fill="EEF3F8"/>
          </w:tcPr>
          <w:p>
            <w:pPr>
              <w:spacing w:after="20" w:before="20"/>
              <w:jc w:val="right"/>
            </w:pPr>
            <w:r/>
            <w:r>
              <w:rPr>
                <w:color w:val="212529"/>
                <w:sz w:val="17"/>
              </w:rPr>
              <w:t>298</w:t>
            </w:r>
          </w:p>
        </w:tc>
        <w:tc>
          <w:tcPr>
            <w:tcW w:type="dxa" w:w="1656"/>
            <w:shd w:val="clear" w:fill="EEF3F8"/>
          </w:tcPr>
          <w:p>
            <w:pPr>
              <w:spacing w:after="20" w:before="20"/>
              <w:jc w:val="right"/>
            </w:pPr>
            <w:r/>
            <w:r>
              <w:rPr>
                <w:color w:val="212529"/>
                <w:sz w:val="17"/>
              </w:rPr>
              <w:t>24.8</w:t>
            </w:r>
          </w:p>
        </w:tc>
        <w:tc>
          <w:tcPr>
            <w:tcW w:type="dxa" w:w="4248"/>
            <w:shd w:val="clear" w:fill="EEF3F8"/>
          </w:tcPr>
          <w:p>
            <w:pPr>
              <w:spacing w:after="20" w:before="20"/>
            </w:pPr>
            <w:r/>
            <w:r>
              <w:rPr>
                <w:color w:val="212529"/>
                <w:sz w:val="17"/>
              </w:rPr>
              <w:t>Complete and evenly distributed (~25 orders/month)</w:t>
            </w:r>
          </w:p>
        </w:tc>
      </w:tr>
      <w:tr>
        <w:tc>
          <w:tcPr>
            <w:tcW w:type="dxa" w:w="864"/>
          </w:tcPr>
          <w:p>
            <w:pPr>
              <w:spacing w:after="20" w:before="20"/>
            </w:pPr>
            <w:r/>
            <w:r>
              <w:rPr>
                <w:color w:val="212529"/>
                <w:sz w:val="17"/>
              </w:rPr>
              <w:t>2026</w:t>
            </w:r>
          </w:p>
        </w:tc>
        <w:tc>
          <w:tcPr>
            <w:tcW w:type="dxa" w:w="1800"/>
          </w:tcPr>
          <w:p>
            <w:pPr>
              <w:spacing w:after="20" w:before="20"/>
              <w:jc w:val="right"/>
            </w:pPr>
            <w:r/>
            <w:r>
              <w:rPr>
                <w:color w:val="212529"/>
                <w:sz w:val="17"/>
              </w:rPr>
              <w:t>134,182.84</w:t>
            </w:r>
          </w:p>
        </w:tc>
        <w:tc>
          <w:tcPr>
            <w:tcW w:type="dxa" w:w="1080"/>
          </w:tcPr>
          <w:p>
            <w:pPr>
              <w:spacing w:after="20" w:before="20"/>
              <w:jc w:val="right"/>
            </w:pPr>
            <w:r/>
            <w:r>
              <w:rPr>
                <w:color w:val="212529"/>
                <w:sz w:val="17"/>
              </w:rPr>
              <w:t>228</w:t>
            </w:r>
          </w:p>
        </w:tc>
        <w:tc>
          <w:tcPr>
            <w:tcW w:type="dxa" w:w="1656"/>
          </w:tcPr>
          <w:p>
            <w:pPr>
              <w:spacing w:after="20" w:before="20"/>
              <w:jc w:val="right"/>
            </w:pPr>
            <w:r/>
            <w:r>
              <w:rPr>
                <w:color w:val="212529"/>
                <w:sz w:val="17"/>
              </w:rPr>
              <w:t>19.0</w:t>
            </w:r>
          </w:p>
        </w:tc>
        <w:tc>
          <w:tcPr>
            <w:tcW w:type="dxa" w:w="4248"/>
          </w:tcPr>
          <w:p>
            <w:pPr>
              <w:spacing w:after="20" w:before="20"/>
            </w:pPr>
            <w:r/>
            <w:r>
              <w:rPr>
                <w:color w:val="212529"/>
                <w:sz w:val="17"/>
              </w:rPr>
              <w:t>Truncated</w:t>
            </w:r>
          </w:p>
        </w:tc>
      </w:tr>
    </w:tbl>
    <w:p>
      <w:pPr>
        <w:spacing w:before="60" w:after="200"/>
      </w:pPr>
      <w:r>
        <w:rPr>
          <w:i/>
          <w:color w:val="5C6670"/>
          <w:sz w:val="17"/>
        </w:rPr>
        <w:t>Table 15: Annual totals with the coverage caveat attached.</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872"/>
            <w:shd w:val="clear" w:fill="1F4E79"/>
          </w:tcPr>
          <w:p>
            <w:pPr>
              <w:spacing w:after="20" w:before="20"/>
            </w:pPr>
            <w:r/>
            <w:r>
              <w:rPr>
                <w:b/>
                <w:color w:val="FFFFFF"/>
                <w:sz w:val="17"/>
              </w:rPr>
              <w:t>Month</w:t>
            </w:r>
          </w:p>
        </w:tc>
        <w:tc>
          <w:tcPr>
            <w:tcW w:type="dxa" w:w="1872"/>
            <w:shd w:val="clear" w:fill="1F4E79"/>
          </w:tcPr>
          <w:p>
            <w:pPr>
              <w:spacing w:after="20" w:before="20"/>
            </w:pPr>
            <w:r/>
            <w:r>
              <w:rPr>
                <w:b/>
                <w:color w:val="FFFFFF"/>
                <w:sz w:val="17"/>
              </w:rPr>
              <w:t>2024</w:t>
            </w:r>
          </w:p>
        </w:tc>
        <w:tc>
          <w:tcPr>
            <w:tcW w:type="dxa" w:w="1872"/>
            <w:shd w:val="clear" w:fill="1F4E79"/>
          </w:tcPr>
          <w:p>
            <w:pPr>
              <w:spacing w:after="20" w:before="20"/>
            </w:pPr>
            <w:r/>
            <w:r>
              <w:rPr>
                <w:b/>
                <w:color w:val="FFFFFF"/>
                <w:sz w:val="17"/>
              </w:rPr>
              <w:t>2025</w:t>
            </w:r>
          </w:p>
        </w:tc>
        <w:tc>
          <w:tcPr>
            <w:tcW w:type="dxa" w:w="1872"/>
            <w:shd w:val="clear" w:fill="1F4E79"/>
          </w:tcPr>
          <w:p>
            <w:pPr>
              <w:spacing w:after="20" w:before="20"/>
            </w:pPr>
            <w:r/>
            <w:r>
              <w:rPr>
                <w:b/>
                <w:color w:val="FFFFFF"/>
                <w:sz w:val="17"/>
              </w:rPr>
              <w:t>2026</w:t>
            </w:r>
          </w:p>
        </w:tc>
        <w:tc>
          <w:tcPr>
            <w:tcW w:type="dxa" w:w="2160"/>
            <w:shd w:val="clear" w:fill="1F4E79"/>
          </w:tcPr>
          <w:p>
            <w:pPr>
              <w:spacing w:after="20" w:before="20"/>
            </w:pPr>
            <w:r/>
            <w:r>
              <w:rPr>
                <w:b/>
                <w:color w:val="FFFFFF"/>
                <w:sz w:val="17"/>
              </w:rPr>
              <w:t>All years</w:t>
            </w:r>
          </w:p>
        </w:tc>
      </w:tr>
      <w:tr>
        <w:tc>
          <w:tcPr>
            <w:tcW w:type="dxa" w:w="1872"/>
          </w:tcPr>
          <w:p>
            <w:pPr>
              <w:spacing w:after="20" w:before="20"/>
            </w:pPr>
            <w:r/>
            <w:r>
              <w:rPr>
                <w:color w:val="212529"/>
                <w:sz w:val="17"/>
              </w:rPr>
              <w:t>Jan</w:t>
            </w:r>
          </w:p>
        </w:tc>
        <w:tc>
          <w:tcPr>
            <w:tcW w:type="dxa" w:w="1872"/>
          </w:tcPr>
          <w:p>
            <w:pPr>
              <w:spacing w:after="20" w:before="20"/>
              <w:jc w:val="right"/>
            </w:pPr>
            <w:r/>
            <w:r>
              <w:rPr>
                <w:color w:val="212529"/>
                <w:sz w:val="17"/>
              </w:rPr>
              <w:t>1,716</w:t>
            </w:r>
          </w:p>
        </w:tc>
        <w:tc>
          <w:tcPr>
            <w:tcW w:type="dxa" w:w="1872"/>
          </w:tcPr>
          <w:p>
            <w:pPr>
              <w:spacing w:after="20" w:before="20"/>
              <w:jc w:val="right"/>
            </w:pPr>
            <w:r/>
            <w:r>
              <w:rPr>
                <w:color w:val="212529"/>
                <w:sz w:val="17"/>
              </w:rPr>
              <w:t>13,807</w:t>
            </w:r>
          </w:p>
        </w:tc>
        <w:tc>
          <w:tcPr>
            <w:tcW w:type="dxa" w:w="1872"/>
          </w:tcPr>
          <w:p>
            <w:pPr>
              <w:spacing w:after="20" w:before="20"/>
              <w:jc w:val="right"/>
            </w:pPr>
            <w:r/>
            <w:r>
              <w:rPr>
                <w:color w:val="212529"/>
                <w:sz w:val="17"/>
              </w:rPr>
              <w:t>15,566</w:t>
            </w:r>
          </w:p>
        </w:tc>
        <w:tc>
          <w:tcPr>
            <w:tcW w:type="dxa" w:w="2160"/>
          </w:tcPr>
          <w:p>
            <w:pPr>
              <w:spacing w:after="20" w:before="20"/>
              <w:jc w:val="right"/>
            </w:pPr>
            <w:r/>
            <w:r>
              <w:rPr>
                <w:color w:val="212529"/>
                <w:sz w:val="17"/>
              </w:rPr>
              <w:t>31,089</w:t>
            </w:r>
          </w:p>
        </w:tc>
      </w:tr>
      <w:tr>
        <w:tc>
          <w:tcPr>
            <w:tcW w:type="dxa" w:w="1872"/>
            <w:shd w:val="clear" w:fill="EEF3F8"/>
          </w:tcPr>
          <w:p>
            <w:pPr>
              <w:spacing w:after="20" w:before="20"/>
            </w:pPr>
            <w:r/>
            <w:r>
              <w:rPr>
                <w:color w:val="212529"/>
                <w:sz w:val="17"/>
              </w:rPr>
              <w:t>Feb</w:t>
            </w:r>
          </w:p>
        </w:tc>
        <w:tc>
          <w:tcPr>
            <w:tcW w:type="dxa" w:w="1872"/>
            <w:shd w:val="clear" w:fill="EEF3F8"/>
          </w:tcPr>
          <w:p>
            <w:pPr>
              <w:spacing w:after="20" w:before="20"/>
              <w:jc w:val="right"/>
            </w:pPr>
            <w:r/>
            <w:r>
              <w:rPr>
                <w:color w:val="212529"/>
                <w:sz w:val="17"/>
              </w:rPr>
              <w:t>342</w:t>
            </w:r>
          </w:p>
        </w:tc>
        <w:tc>
          <w:tcPr>
            <w:tcW w:type="dxa" w:w="1872"/>
            <w:shd w:val="clear" w:fill="EEF3F8"/>
          </w:tcPr>
          <w:p>
            <w:pPr>
              <w:spacing w:after="20" w:before="20"/>
              <w:jc w:val="right"/>
            </w:pPr>
            <w:r/>
            <w:r>
              <w:rPr>
                <w:color w:val="212529"/>
                <w:sz w:val="17"/>
              </w:rPr>
              <w:t>13,727</w:t>
            </w:r>
          </w:p>
        </w:tc>
        <w:tc>
          <w:tcPr>
            <w:tcW w:type="dxa" w:w="1872"/>
            <w:shd w:val="clear" w:fill="EEF3F8"/>
          </w:tcPr>
          <w:p>
            <w:pPr>
              <w:spacing w:after="20" w:before="20"/>
              <w:jc w:val="right"/>
            </w:pPr>
            <w:r/>
            <w:r>
              <w:rPr>
                <w:color w:val="212529"/>
                <w:sz w:val="17"/>
              </w:rPr>
              <w:t>9,166</w:t>
            </w:r>
          </w:p>
        </w:tc>
        <w:tc>
          <w:tcPr>
            <w:tcW w:type="dxa" w:w="2160"/>
            <w:shd w:val="clear" w:fill="EEF3F8"/>
          </w:tcPr>
          <w:p>
            <w:pPr>
              <w:spacing w:after="20" w:before="20"/>
              <w:jc w:val="right"/>
            </w:pPr>
            <w:r/>
            <w:r>
              <w:rPr>
                <w:color w:val="212529"/>
                <w:sz w:val="17"/>
              </w:rPr>
              <w:t>23,235</w:t>
            </w:r>
          </w:p>
        </w:tc>
      </w:tr>
      <w:tr>
        <w:tc>
          <w:tcPr>
            <w:tcW w:type="dxa" w:w="1872"/>
          </w:tcPr>
          <w:p>
            <w:pPr>
              <w:spacing w:after="20" w:before="20"/>
            </w:pPr>
            <w:r/>
            <w:r>
              <w:rPr>
                <w:color w:val="212529"/>
                <w:sz w:val="17"/>
              </w:rPr>
              <w:t>Mar</w:t>
            </w:r>
          </w:p>
        </w:tc>
        <w:tc>
          <w:tcPr>
            <w:tcW w:type="dxa" w:w="1872"/>
          </w:tcPr>
          <w:p>
            <w:pPr>
              <w:spacing w:after="20" w:before="20"/>
              <w:jc w:val="right"/>
            </w:pPr>
            <w:r/>
            <w:r>
              <w:rPr>
                <w:color w:val="212529"/>
                <w:sz w:val="17"/>
              </w:rPr>
              <w:t>1,245</w:t>
            </w:r>
          </w:p>
        </w:tc>
        <w:tc>
          <w:tcPr>
            <w:tcW w:type="dxa" w:w="1872"/>
          </w:tcPr>
          <w:p>
            <w:pPr>
              <w:spacing w:after="20" w:before="20"/>
              <w:jc w:val="right"/>
            </w:pPr>
            <w:r/>
            <w:r>
              <w:rPr>
                <w:color w:val="212529"/>
                <w:sz w:val="17"/>
              </w:rPr>
              <w:t>20,259</w:t>
            </w:r>
          </w:p>
        </w:tc>
        <w:tc>
          <w:tcPr>
            <w:tcW w:type="dxa" w:w="1872"/>
          </w:tcPr>
          <w:p>
            <w:pPr>
              <w:spacing w:after="20" w:before="20"/>
              <w:jc w:val="right"/>
            </w:pPr>
            <w:r/>
            <w:r>
              <w:rPr>
                <w:color w:val="212529"/>
                <w:sz w:val="17"/>
              </w:rPr>
              <w:t>16,712</w:t>
            </w:r>
          </w:p>
        </w:tc>
        <w:tc>
          <w:tcPr>
            <w:tcW w:type="dxa" w:w="2160"/>
          </w:tcPr>
          <w:p>
            <w:pPr>
              <w:spacing w:after="20" w:before="20"/>
              <w:jc w:val="right"/>
            </w:pPr>
            <w:r/>
            <w:r>
              <w:rPr>
                <w:color w:val="212529"/>
                <w:sz w:val="17"/>
              </w:rPr>
              <w:t>38,217</w:t>
            </w:r>
          </w:p>
        </w:tc>
      </w:tr>
      <w:tr>
        <w:tc>
          <w:tcPr>
            <w:tcW w:type="dxa" w:w="1872"/>
            <w:shd w:val="clear" w:fill="EEF3F8"/>
          </w:tcPr>
          <w:p>
            <w:pPr>
              <w:spacing w:after="20" w:before="20"/>
            </w:pPr>
            <w:r/>
            <w:r>
              <w:rPr>
                <w:color w:val="212529"/>
                <w:sz w:val="17"/>
              </w:rPr>
              <w:t>Apr</w:t>
            </w:r>
          </w:p>
        </w:tc>
        <w:tc>
          <w:tcPr>
            <w:tcW w:type="dxa" w:w="1872"/>
            <w:shd w:val="clear" w:fill="EEF3F8"/>
          </w:tcPr>
          <w:p>
            <w:pPr>
              <w:spacing w:after="20" w:before="20"/>
              <w:jc w:val="right"/>
            </w:pPr>
            <w:r/>
            <w:r>
              <w:rPr>
                <w:color w:val="212529"/>
                <w:sz w:val="17"/>
              </w:rPr>
              <w:t>1,657</w:t>
            </w:r>
          </w:p>
        </w:tc>
        <w:tc>
          <w:tcPr>
            <w:tcW w:type="dxa" w:w="1872"/>
            <w:shd w:val="clear" w:fill="EEF3F8"/>
          </w:tcPr>
          <w:p>
            <w:pPr>
              <w:spacing w:after="20" w:before="20"/>
              <w:jc w:val="right"/>
            </w:pPr>
            <w:r/>
            <w:r>
              <w:rPr>
                <w:color w:val="212529"/>
                <w:sz w:val="17"/>
              </w:rPr>
              <w:t>10,373</w:t>
            </w:r>
          </w:p>
        </w:tc>
        <w:tc>
          <w:tcPr>
            <w:tcW w:type="dxa" w:w="1872"/>
            <w:shd w:val="clear" w:fill="EEF3F8"/>
          </w:tcPr>
          <w:p>
            <w:pPr>
              <w:spacing w:after="20" w:before="20"/>
              <w:jc w:val="right"/>
            </w:pPr>
            <w:r/>
            <w:r>
              <w:rPr>
                <w:color w:val="212529"/>
                <w:sz w:val="17"/>
              </w:rPr>
              <w:t>12,876</w:t>
            </w:r>
          </w:p>
        </w:tc>
        <w:tc>
          <w:tcPr>
            <w:tcW w:type="dxa" w:w="2160"/>
            <w:shd w:val="clear" w:fill="EEF3F8"/>
          </w:tcPr>
          <w:p>
            <w:pPr>
              <w:spacing w:after="20" w:before="20"/>
              <w:jc w:val="right"/>
            </w:pPr>
            <w:r/>
            <w:r>
              <w:rPr>
                <w:color w:val="212529"/>
                <w:sz w:val="17"/>
              </w:rPr>
              <w:t>24,905</w:t>
            </w:r>
          </w:p>
        </w:tc>
      </w:tr>
      <w:tr>
        <w:tc>
          <w:tcPr>
            <w:tcW w:type="dxa" w:w="1872"/>
          </w:tcPr>
          <w:p>
            <w:pPr>
              <w:spacing w:after="20" w:before="20"/>
            </w:pPr>
            <w:r/>
            <w:r>
              <w:rPr>
                <w:color w:val="212529"/>
                <w:sz w:val="17"/>
              </w:rPr>
              <w:t>May</w:t>
            </w:r>
          </w:p>
        </w:tc>
        <w:tc>
          <w:tcPr>
            <w:tcW w:type="dxa" w:w="1872"/>
          </w:tcPr>
          <w:p>
            <w:pPr>
              <w:spacing w:after="20" w:before="20"/>
              <w:jc w:val="right"/>
            </w:pPr>
            <w:r/>
            <w:r>
              <w:rPr>
                <w:color w:val="212529"/>
                <w:sz w:val="17"/>
              </w:rPr>
              <w:t>1,571</w:t>
            </w:r>
          </w:p>
        </w:tc>
        <w:tc>
          <w:tcPr>
            <w:tcW w:type="dxa" w:w="1872"/>
          </w:tcPr>
          <w:p>
            <w:pPr>
              <w:spacing w:after="20" w:before="20"/>
              <w:jc w:val="right"/>
            </w:pPr>
            <w:r/>
            <w:r>
              <w:rPr>
                <w:color w:val="212529"/>
                <w:sz w:val="17"/>
              </w:rPr>
              <w:t>12,645</w:t>
            </w:r>
          </w:p>
        </w:tc>
        <w:tc>
          <w:tcPr>
            <w:tcW w:type="dxa" w:w="1872"/>
          </w:tcPr>
          <w:p>
            <w:pPr>
              <w:spacing w:after="20" w:before="20"/>
              <w:jc w:val="right"/>
            </w:pPr>
            <w:r/>
            <w:r>
              <w:rPr>
                <w:color w:val="212529"/>
                <w:sz w:val="17"/>
              </w:rPr>
              <w:t>11,022</w:t>
            </w:r>
          </w:p>
        </w:tc>
        <w:tc>
          <w:tcPr>
            <w:tcW w:type="dxa" w:w="2160"/>
          </w:tcPr>
          <w:p>
            <w:pPr>
              <w:spacing w:after="20" w:before="20"/>
              <w:jc w:val="right"/>
            </w:pPr>
            <w:r/>
            <w:r>
              <w:rPr>
                <w:color w:val="212529"/>
                <w:sz w:val="17"/>
              </w:rPr>
              <w:t>25,237</w:t>
            </w:r>
          </w:p>
        </w:tc>
      </w:tr>
      <w:tr>
        <w:tc>
          <w:tcPr>
            <w:tcW w:type="dxa" w:w="1872"/>
            <w:shd w:val="clear" w:fill="EEF3F8"/>
          </w:tcPr>
          <w:p>
            <w:pPr>
              <w:spacing w:after="20" w:before="20"/>
            </w:pPr>
            <w:r/>
            <w:r>
              <w:rPr>
                <w:color w:val="212529"/>
                <w:sz w:val="17"/>
              </w:rPr>
              <w:t>Jun</w:t>
            </w:r>
          </w:p>
        </w:tc>
        <w:tc>
          <w:tcPr>
            <w:tcW w:type="dxa" w:w="1872"/>
            <w:shd w:val="clear" w:fill="EEF3F8"/>
          </w:tcPr>
          <w:p>
            <w:pPr>
              <w:spacing w:after="20" w:before="20"/>
              <w:jc w:val="right"/>
            </w:pPr>
            <w:r/>
            <w:r>
              <w:rPr>
                <w:color w:val="212529"/>
                <w:sz w:val="17"/>
              </w:rPr>
              <w:t>3,344</w:t>
            </w:r>
          </w:p>
        </w:tc>
        <w:tc>
          <w:tcPr>
            <w:tcW w:type="dxa" w:w="1872"/>
            <w:shd w:val="clear" w:fill="EEF3F8"/>
          </w:tcPr>
          <w:p>
            <w:pPr>
              <w:spacing w:after="20" w:before="20"/>
              <w:jc w:val="right"/>
            </w:pPr>
            <w:r/>
            <w:r>
              <w:rPr>
                <w:color w:val="212529"/>
                <w:sz w:val="17"/>
              </w:rPr>
              <w:t>13,724</w:t>
            </w:r>
          </w:p>
        </w:tc>
        <w:tc>
          <w:tcPr>
            <w:tcW w:type="dxa" w:w="1872"/>
            <w:shd w:val="clear" w:fill="EEF3F8"/>
          </w:tcPr>
          <w:p>
            <w:pPr>
              <w:spacing w:after="20" w:before="20"/>
              <w:jc w:val="right"/>
            </w:pPr>
            <w:r/>
            <w:r>
              <w:rPr>
                <w:color w:val="212529"/>
                <w:sz w:val="17"/>
              </w:rPr>
              <w:t>17,118</w:t>
            </w:r>
          </w:p>
        </w:tc>
        <w:tc>
          <w:tcPr>
            <w:tcW w:type="dxa" w:w="2160"/>
            <w:shd w:val="clear" w:fill="EEF3F8"/>
          </w:tcPr>
          <w:p>
            <w:pPr>
              <w:spacing w:after="20" w:before="20"/>
              <w:jc w:val="right"/>
            </w:pPr>
            <w:r/>
            <w:r>
              <w:rPr>
                <w:color w:val="212529"/>
                <w:sz w:val="17"/>
              </w:rPr>
              <w:t>34,186</w:t>
            </w:r>
          </w:p>
        </w:tc>
      </w:tr>
      <w:tr>
        <w:tc>
          <w:tcPr>
            <w:tcW w:type="dxa" w:w="1872"/>
          </w:tcPr>
          <w:p>
            <w:pPr>
              <w:spacing w:after="20" w:before="20"/>
            </w:pPr>
            <w:r/>
            <w:r>
              <w:rPr>
                <w:color w:val="212529"/>
                <w:sz w:val="17"/>
              </w:rPr>
              <w:t>Jul</w:t>
            </w:r>
          </w:p>
        </w:tc>
        <w:tc>
          <w:tcPr>
            <w:tcW w:type="dxa" w:w="1872"/>
          </w:tcPr>
          <w:p>
            <w:pPr>
              <w:spacing w:after="20" w:before="20"/>
              <w:jc w:val="right"/>
            </w:pPr>
            <w:r/>
            <w:r>
              <w:rPr>
                <w:color w:val="212529"/>
                <w:sz w:val="17"/>
              </w:rPr>
              <w:t>1,982</w:t>
            </w:r>
          </w:p>
        </w:tc>
        <w:tc>
          <w:tcPr>
            <w:tcW w:type="dxa" w:w="1872"/>
          </w:tcPr>
          <w:p>
            <w:pPr>
              <w:spacing w:after="20" w:before="20"/>
              <w:jc w:val="right"/>
            </w:pPr>
            <w:r/>
            <w:r>
              <w:rPr>
                <w:color w:val="212529"/>
                <w:sz w:val="17"/>
              </w:rPr>
              <w:t>14,393</w:t>
            </w:r>
          </w:p>
        </w:tc>
        <w:tc>
          <w:tcPr>
            <w:tcW w:type="dxa" w:w="1872"/>
          </w:tcPr>
          <w:p>
            <w:pPr>
              <w:spacing w:after="20" w:before="20"/>
              <w:jc w:val="right"/>
            </w:pPr>
            <w:r/>
            <w:r>
              <w:rPr>
                <w:color w:val="212529"/>
                <w:sz w:val="17"/>
              </w:rPr>
              <w:t>18,213</w:t>
            </w:r>
          </w:p>
        </w:tc>
        <w:tc>
          <w:tcPr>
            <w:tcW w:type="dxa" w:w="2160"/>
          </w:tcPr>
          <w:p>
            <w:pPr>
              <w:spacing w:after="20" w:before="20"/>
              <w:jc w:val="right"/>
            </w:pPr>
            <w:r/>
            <w:r>
              <w:rPr>
                <w:color w:val="212529"/>
                <w:sz w:val="17"/>
              </w:rPr>
              <w:t>34,588</w:t>
            </w:r>
          </w:p>
        </w:tc>
      </w:tr>
      <w:tr>
        <w:tc>
          <w:tcPr>
            <w:tcW w:type="dxa" w:w="1872"/>
            <w:shd w:val="clear" w:fill="EEF3F8"/>
          </w:tcPr>
          <w:p>
            <w:pPr>
              <w:spacing w:after="20" w:before="20"/>
            </w:pPr>
            <w:r/>
            <w:r>
              <w:rPr>
                <w:color w:val="212529"/>
                <w:sz w:val="17"/>
              </w:rPr>
              <w:t>Aug</w:t>
            </w:r>
          </w:p>
        </w:tc>
        <w:tc>
          <w:tcPr>
            <w:tcW w:type="dxa" w:w="1872"/>
            <w:shd w:val="clear" w:fill="EEF3F8"/>
          </w:tcPr>
          <w:p>
            <w:pPr>
              <w:spacing w:after="20" w:before="20"/>
              <w:jc w:val="right"/>
            </w:pPr>
            <w:r/>
            <w:r>
              <w:rPr>
                <w:color w:val="212529"/>
                <w:sz w:val="17"/>
              </w:rPr>
              <w:t>457</w:t>
            </w:r>
          </w:p>
        </w:tc>
        <w:tc>
          <w:tcPr>
            <w:tcW w:type="dxa" w:w="1872"/>
            <w:shd w:val="clear" w:fill="EEF3F8"/>
          </w:tcPr>
          <w:p>
            <w:pPr>
              <w:spacing w:after="20" w:before="20"/>
              <w:jc w:val="right"/>
            </w:pPr>
            <w:r/>
            <w:r>
              <w:rPr>
                <w:color w:val="212529"/>
                <w:sz w:val="17"/>
              </w:rPr>
              <w:t>16,086</w:t>
            </w:r>
          </w:p>
        </w:tc>
        <w:tc>
          <w:tcPr>
            <w:tcW w:type="dxa" w:w="1872"/>
            <w:shd w:val="clear" w:fill="EEF3F8"/>
          </w:tcPr>
          <w:p>
            <w:pPr>
              <w:spacing w:after="20" w:before="20"/>
              <w:jc w:val="right"/>
            </w:pPr>
            <w:r/>
            <w:r>
              <w:rPr>
                <w:color w:val="212529"/>
                <w:sz w:val="17"/>
              </w:rPr>
              <w:t>14,041</w:t>
            </w:r>
          </w:p>
        </w:tc>
        <w:tc>
          <w:tcPr>
            <w:tcW w:type="dxa" w:w="2160"/>
            <w:shd w:val="clear" w:fill="EEF3F8"/>
          </w:tcPr>
          <w:p>
            <w:pPr>
              <w:spacing w:after="20" w:before="20"/>
              <w:jc w:val="right"/>
            </w:pPr>
            <w:r/>
            <w:r>
              <w:rPr>
                <w:color w:val="212529"/>
                <w:sz w:val="17"/>
              </w:rPr>
              <w:t>30,583</w:t>
            </w:r>
          </w:p>
        </w:tc>
      </w:tr>
      <w:tr>
        <w:tc>
          <w:tcPr>
            <w:tcW w:type="dxa" w:w="1872"/>
          </w:tcPr>
          <w:p>
            <w:pPr>
              <w:spacing w:after="20" w:before="20"/>
            </w:pPr>
            <w:r/>
            <w:r>
              <w:rPr>
                <w:color w:val="212529"/>
                <w:sz w:val="17"/>
              </w:rPr>
              <w:t>Sep</w:t>
            </w:r>
          </w:p>
        </w:tc>
        <w:tc>
          <w:tcPr>
            <w:tcW w:type="dxa" w:w="1872"/>
          </w:tcPr>
          <w:p>
            <w:pPr>
              <w:spacing w:after="20" w:before="20"/>
              <w:jc w:val="right"/>
            </w:pPr>
            <w:r/>
            <w:r>
              <w:rPr>
                <w:color w:val="212529"/>
                <w:sz w:val="17"/>
              </w:rPr>
              <w:t>6,250</w:t>
            </w:r>
          </w:p>
        </w:tc>
        <w:tc>
          <w:tcPr>
            <w:tcW w:type="dxa" w:w="1872"/>
          </w:tcPr>
          <w:p>
            <w:pPr>
              <w:spacing w:after="20" w:before="20"/>
              <w:jc w:val="right"/>
            </w:pPr>
            <w:r/>
            <w:r>
              <w:rPr>
                <w:color w:val="212529"/>
                <w:sz w:val="17"/>
              </w:rPr>
              <w:t>12,635</w:t>
            </w:r>
          </w:p>
        </w:tc>
        <w:tc>
          <w:tcPr>
            <w:tcW w:type="dxa" w:w="1872"/>
          </w:tcPr>
          <w:p>
            <w:pPr>
              <w:spacing w:after="20" w:before="20"/>
              <w:jc w:val="right"/>
            </w:pPr>
            <w:r/>
            <w:r>
              <w:rPr>
                <w:color w:val="212529"/>
                <w:sz w:val="17"/>
              </w:rPr>
              <w:t>3,192</w:t>
            </w:r>
          </w:p>
        </w:tc>
        <w:tc>
          <w:tcPr>
            <w:tcW w:type="dxa" w:w="2160"/>
          </w:tcPr>
          <w:p>
            <w:pPr>
              <w:spacing w:after="20" w:before="20"/>
              <w:jc w:val="right"/>
            </w:pPr>
            <w:r/>
            <w:r>
              <w:rPr>
                <w:color w:val="212529"/>
                <w:sz w:val="17"/>
              </w:rPr>
              <w:t>22,077</w:t>
            </w:r>
          </w:p>
        </w:tc>
      </w:tr>
      <w:tr>
        <w:tc>
          <w:tcPr>
            <w:tcW w:type="dxa" w:w="1872"/>
            <w:shd w:val="clear" w:fill="EEF3F8"/>
          </w:tcPr>
          <w:p>
            <w:pPr>
              <w:spacing w:after="20" w:before="20"/>
            </w:pPr>
            <w:r/>
            <w:r>
              <w:rPr>
                <w:color w:val="212529"/>
                <w:sz w:val="17"/>
              </w:rPr>
              <w:t>Oct</w:t>
            </w:r>
          </w:p>
        </w:tc>
        <w:tc>
          <w:tcPr>
            <w:tcW w:type="dxa" w:w="1872"/>
            <w:shd w:val="clear" w:fill="EEF3F8"/>
          </w:tcPr>
          <w:p>
            <w:pPr>
              <w:spacing w:after="20" w:before="20"/>
              <w:jc w:val="right"/>
            </w:pPr>
            <w:r/>
            <w:r>
              <w:rPr>
                <w:color w:val="212529"/>
                <w:sz w:val="17"/>
              </w:rPr>
              <w:t>13,292</w:t>
            </w:r>
          </w:p>
        </w:tc>
        <w:tc>
          <w:tcPr>
            <w:tcW w:type="dxa" w:w="1872"/>
            <w:shd w:val="clear" w:fill="EEF3F8"/>
          </w:tcPr>
          <w:p>
            <w:pPr>
              <w:spacing w:after="20" w:before="20"/>
              <w:jc w:val="right"/>
            </w:pPr>
            <w:r/>
            <w:r>
              <w:rPr>
                <w:color w:val="212529"/>
                <w:sz w:val="17"/>
              </w:rPr>
              <w:t>17,819</w:t>
            </w:r>
          </w:p>
        </w:tc>
        <w:tc>
          <w:tcPr>
            <w:tcW w:type="dxa" w:w="1872"/>
            <w:shd w:val="clear" w:fill="EEF3F8"/>
          </w:tcPr>
          <w:p>
            <w:pPr>
              <w:spacing w:after="20" w:before="20"/>
              <w:jc w:val="right"/>
            </w:pPr>
            <w:r/>
            <w:r>
              <w:rPr>
                <w:color w:val="212529"/>
                <w:sz w:val="17"/>
              </w:rPr>
              <w:t>5,329</w:t>
            </w:r>
          </w:p>
        </w:tc>
        <w:tc>
          <w:tcPr>
            <w:tcW w:type="dxa" w:w="2160"/>
            <w:shd w:val="clear" w:fill="EEF3F8"/>
          </w:tcPr>
          <w:p>
            <w:pPr>
              <w:spacing w:after="20" w:before="20"/>
              <w:jc w:val="right"/>
            </w:pPr>
            <w:r/>
            <w:r>
              <w:rPr>
                <w:color w:val="212529"/>
                <w:sz w:val="17"/>
              </w:rPr>
              <w:t>36,440</w:t>
            </w:r>
          </w:p>
        </w:tc>
      </w:tr>
      <w:tr>
        <w:tc>
          <w:tcPr>
            <w:tcW w:type="dxa" w:w="1872"/>
          </w:tcPr>
          <w:p>
            <w:pPr>
              <w:spacing w:after="20" w:before="20"/>
            </w:pPr>
            <w:r/>
            <w:r>
              <w:rPr>
                <w:color w:val="212529"/>
                <w:sz w:val="17"/>
              </w:rPr>
              <w:t>Nov</w:t>
            </w:r>
          </w:p>
        </w:tc>
        <w:tc>
          <w:tcPr>
            <w:tcW w:type="dxa" w:w="1872"/>
          </w:tcPr>
          <w:p>
            <w:pPr>
              <w:spacing w:after="20" w:before="20"/>
              <w:jc w:val="right"/>
            </w:pPr>
            <w:r/>
            <w:r>
              <w:rPr>
                <w:color w:val="212529"/>
                <w:sz w:val="17"/>
              </w:rPr>
              <w:t>9,667</w:t>
            </w:r>
          </w:p>
        </w:tc>
        <w:tc>
          <w:tcPr>
            <w:tcW w:type="dxa" w:w="1872"/>
          </w:tcPr>
          <w:p>
            <w:pPr>
              <w:spacing w:after="20" w:before="20"/>
              <w:jc w:val="right"/>
            </w:pPr>
            <w:r/>
            <w:r>
              <w:rPr>
                <w:color w:val="212529"/>
                <w:sz w:val="17"/>
              </w:rPr>
              <w:t>17,182</w:t>
            </w:r>
          </w:p>
        </w:tc>
        <w:tc>
          <w:tcPr>
            <w:tcW w:type="dxa" w:w="1872"/>
          </w:tcPr>
          <w:p>
            <w:pPr>
              <w:spacing w:after="20" w:before="20"/>
              <w:jc w:val="right"/>
            </w:pPr>
            <w:r/>
            <w:r>
              <w:rPr>
                <w:color w:val="212529"/>
                <w:sz w:val="17"/>
              </w:rPr>
              <w:t>9,108</w:t>
            </w:r>
          </w:p>
        </w:tc>
        <w:tc>
          <w:tcPr>
            <w:tcW w:type="dxa" w:w="2160"/>
          </w:tcPr>
          <w:p>
            <w:pPr>
              <w:spacing w:after="20" w:before="20"/>
              <w:jc w:val="right"/>
            </w:pPr>
            <w:r/>
            <w:r>
              <w:rPr>
                <w:color w:val="212529"/>
                <w:sz w:val="17"/>
              </w:rPr>
              <w:t>35,956</w:t>
            </w:r>
          </w:p>
        </w:tc>
      </w:tr>
      <w:tr>
        <w:tc>
          <w:tcPr>
            <w:tcW w:type="dxa" w:w="1872"/>
            <w:shd w:val="clear" w:fill="EEF3F8"/>
          </w:tcPr>
          <w:p>
            <w:pPr>
              <w:spacing w:after="20" w:before="20"/>
            </w:pPr>
            <w:r/>
            <w:r>
              <w:rPr>
                <w:color w:val="212529"/>
                <w:sz w:val="17"/>
              </w:rPr>
              <w:t>Dec</w:t>
            </w:r>
          </w:p>
        </w:tc>
        <w:tc>
          <w:tcPr>
            <w:tcW w:type="dxa" w:w="1872"/>
            <w:shd w:val="clear" w:fill="EEF3F8"/>
          </w:tcPr>
          <w:p>
            <w:pPr>
              <w:spacing w:after="20" w:before="20"/>
              <w:jc w:val="right"/>
            </w:pPr>
            <w:r/>
            <w:r>
              <w:rPr>
                <w:color w:val="212529"/>
                <w:sz w:val="17"/>
              </w:rPr>
              <w:t>18,371</w:t>
            </w:r>
          </w:p>
        </w:tc>
        <w:tc>
          <w:tcPr>
            <w:tcW w:type="dxa" w:w="1872"/>
            <w:shd w:val="clear" w:fill="EEF3F8"/>
          </w:tcPr>
          <w:p>
            <w:pPr>
              <w:spacing w:after="20" w:before="20"/>
              <w:jc w:val="right"/>
            </w:pPr>
            <w:r/>
            <w:r>
              <w:rPr>
                <w:color w:val="212529"/>
                <w:sz w:val="17"/>
              </w:rPr>
              <w:t>8,997</w:t>
            </w:r>
          </w:p>
        </w:tc>
        <w:tc>
          <w:tcPr>
            <w:tcW w:type="dxa" w:w="1872"/>
            <w:shd w:val="clear" w:fill="EEF3F8"/>
          </w:tcPr>
          <w:p>
            <w:pPr>
              <w:spacing w:after="20" w:before="20"/>
              <w:jc w:val="right"/>
            </w:pPr>
            <w:r/>
            <w:r>
              <w:rPr>
                <w:color w:val="212529"/>
                <w:sz w:val="17"/>
              </w:rPr>
              <w:t>1,841</w:t>
            </w:r>
          </w:p>
        </w:tc>
        <w:tc>
          <w:tcPr>
            <w:tcW w:type="dxa" w:w="2160"/>
            <w:shd w:val="clear" w:fill="EEF3F8"/>
          </w:tcPr>
          <w:p>
            <w:pPr>
              <w:spacing w:after="20" w:before="20"/>
              <w:jc w:val="right"/>
            </w:pPr>
            <w:r/>
            <w:r>
              <w:rPr>
                <w:color w:val="212529"/>
                <w:sz w:val="17"/>
              </w:rPr>
              <w:t>29,210</w:t>
            </w:r>
          </w:p>
        </w:tc>
      </w:tr>
    </w:tbl>
    <w:p>
      <w:pPr>
        <w:spacing w:before="60" w:after="200"/>
      </w:pPr>
      <w:r>
        <w:rPr>
          <w:i/>
          <w:color w:val="5C6670"/>
          <w:sz w:val="17"/>
        </w:rPr>
        <w:t>Table 16: Revenue by month and year. Read alongside the coverage matrix in Figure 6.</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0"/>
        <w:sz w:val="16"/>
      </w:rPr>
      <w:t xml:space="preserve">Swynex Retail Sales Analysis - Final Project Report    |    Page </w:t>
    </w:r>
    <w:r>
      <w:rPr>
        <w:color w:val="5C6670"/>
        <w:sz w:val="16"/>
      </w:rPr>
      <w:fldChar w:fldCharType="begin"/>
      <w:instrText xml:space="PAG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E5A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