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Empathy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July 2026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Rising Waters – Flood Prediction System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empathy map below captures the persona of a flood-prone-area resident from four perspectives — Says, Thinks, Does, and Feels — to keep the team's solution centred on real user needs.</w:t>
      </w:r>
    </w:p>
    <w:p>
      <w:pPr>
        <w:pStyle w:val="Heading2"/>
        <w:spacing w:after="120" w:before="240"/>
      </w:pPr>
      <w:r>
        <w:t xml:space="preserve">Persona: Ramesh, 42 — Resident &amp; Small Shop Owner in a River-Adjacent Ward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SAYS</w:t>
            </w:r>
          </w:p>
        </w:tc>
        <w:tc>
          <w:tcPr>
            <w:tcW w:type="dxa" w:w="468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THINKS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DOES</w:t>
            </w:r>
          </w:p>
        </w:tc>
        <w:tc>
          <w:tcPr>
            <w:tcW w:type="dxa" w:w="468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FEELS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[object Object]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2026-07-01T14:42:48.397Z</dcterms:created>
  <dcterms:modified xsi:type="dcterms:W3CDTF">2026-07-01T14:42:48.397Z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