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6477000" cy="1085850"/>
            <wp:effectExtent t="0" r="0" b="0" l="0"/>
            <wp:docPr id="1" name="header" descr="Vignan Institute header" titl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1085850"/>
                    </a:xfrm>
                    <a:prstGeom prst="rect">
                      <a:avLst/>
                    </a:prstGeom>
                  </pic:spPr>
                </pic:pic>
              </a:graphicData>
            </a:graphic>
          </wp:inline>
        </w:drawing>
      </w:r>
    </w:p>
    <w:p>
      <w:pPr>
        <w:spacing w:after="0" w:before="60"/>
        <w:jc w:val="center"/>
      </w:pPr>
      <w:r>
        <w:rPr>
          <w:rFonts w:ascii="Times New Roman" w:cs="Times New Roman" w:eastAsia="Times New Roman" w:hAnsi="Times New Roman"/>
          <w:b/>
          <w:bCs/>
          <w:sz w:val="24"/>
          <w:szCs w:val="24"/>
          <w:u w:val="single"/>
        </w:rPr>
        <w:t xml:space="preserve">DIGITAL INDIA INNOVATION VIGNAN'S INNOVATIVE PROJECT</w:t>
      </w:r>
    </w:p>
    <w:p>
      <w:pPr>
        <w:spacing w:after="200" w:before="160"/>
        <w:jc w:val="center"/>
      </w:pPr>
      <w:r>
        <w:rPr>
          <w:rFonts w:ascii="Times New Roman" w:cs="Times New Roman" w:eastAsia="Times New Roman" w:hAnsi="Times New Roman"/>
          <w:b/>
          <w:bCs/>
          <w:sz w:val="24"/>
          <w:szCs w:val="24"/>
          <w:u w:val="single"/>
        </w:rPr>
        <w:t xml:space="preserve">VIKSIT BHARATH 2047</w:t>
      </w:r>
    </w:p>
    <w:p>
      <w:pPr>
        <w:tabs>
          <w:tab w:val="right" w:pos="10206"/>
        </w:tabs>
        <w:spacing w:after="200"/>
      </w:pPr>
      <w:r>
        <w:rPr>
          <w:rFonts w:ascii="Times New Roman" w:cs="Times New Roman" w:eastAsia="Times New Roman" w:hAnsi="Times New Roman"/>
          <w:b/>
          <w:bCs/>
          <w:sz w:val="24"/>
          <w:szCs w:val="24"/>
        </w:rPr>
        <w:t xml:space="preserve">YEAR &amp; SEMESTER: III YEAR &amp; II SEMESTER</w:t>
      </w:r>
      <w:r>
        <w:rPr>
          <w:rFonts w:ascii="Times New Roman" w:cs="Times New Roman" w:eastAsia="Times New Roman" w:hAnsi="Times New Roman"/>
          <w:b/>
          <w:bCs/>
          <w:sz w:val="24"/>
          <w:szCs w:val="24"/>
        </w:rPr>
        <w:t xml:space="preserve">	ACADEMIC YEAR: 2026-27</w:t>
      </w:r>
    </w:p>
    <w:p>
      <w:pPr>
        <w:spacing w:after="160" w:before="0"/>
        <w:jc w:val="center"/>
      </w:pPr>
      <w:r>
        <w:rPr>
          <w:rFonts w:ascii="Times New Roman" w:cs="Times New Roman" w:eastAsia="Times New Roman" w:hAnsi="Times New Roman"/>
          <w:b/>
          <w:bCs/>
          <w:sz w:val="24"/>
          <w:szCs w:val="24"/>
          <w:u w:val="single"/>
        </w:rPr>
        <w:t xml:space="preserve">ABSTRACT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406"/>
      </w:tblGrid>
      <w:t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b/>
                <w:bCs/>
                <w:sz w:val="24"/>
                <w:szCs w:val="24"/>
              </w:rPr>
              <w:t xml:space="preserve">Batch No.</w:t>
            </w:r>
          </w:p>
        </w:tc>
        <w:tc>
          <w:tcPr>
            <w:tcW w:type="dxa" w:w="8006"/>
            <w:gridSpan w:val="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b/>
                <w:bCs/>
                <w:sz w:val="24"/>
                <w:szCs w:val="24"/>
              </w:rPr>
              <w:t xml:space="preserve">3B2</w:t>
            </w:r>
          </w:p>
        </w:tc>
      </w:tr>
      <w:t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b/>
                <w:bCs/>
                <w:sz w:val="24"/>
                <w:szCs w:val="24"/>
              </w:rPr>
              <w:t xml:space="preserve">Title of the</w:t>
            </w:r>
          </w:p>
          <w:p>
            <w:pPr>
              <w:spacing w:after="0" w:before="0"/>
              <w:jc w:val="left"/>
            </w:pPr>
            <w:r>
              <w:rPr>
                <w:rFonts w:ascii="Times New Roman" w:cs="Times New Roman" w:eastAsia="Times New Roman" w:hAnsi="Times New Roman"/>
                <w:b/>
                <w:bCs/>
                <w:sz w:val="24"/>
                <w:szCs w:val="24"/>
              </w:rPr>
              <w:t xml:space="preserve">Project</w:t>
            </w:r>
          </w:p>
        </w:tc>
        <w:tc>
          <w:tcPr>
            <w:tcW w:type="dxa" w:w="8006"/>
            <w:gridSpan w:val="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24"/>
                <w:szCs w:val="24"/>
              </w:rPr>
              <w:t xml:space="preserve">Cybersecurity Phishing Detection System</w:t>
            </w:r>
          </w:p>
        </w:tc>
      </w:tr>
      <w:tr>
        <w:tc>
          <w:tcPr>
            <w:tcW w:type="dxa" w:w="2200"/>
            <w:vMerge w:val="restart"/>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24"/>
                <w:szCs w:val="24"/>
              </w:rPr>
              <w:t xml:space="preserve">Student Details</w:t>
            </w:r>
          </w:p>
        </w:tc>
        <w:tc>
          <w:tcPr>
            <w:tcW w:type="dxa" w:w="2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b/>
                <w:bCs/>
                <w:sz w:val="24"/>
                <w:szCs w:val="24"/>
              </w:rPr>
              <w:t xml:space="preserve">Roll No</w:t>
            </w:r>
          </w:p>
        </w:tc>
        <w:tc>
          <w:tcPr>
            <w:tcW w:type="dxa" w:w="540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b/>
                <w:bCs/>
                <w:sz w:val="24"/>
                <w:szCs w:val="24"/>
              </w:rPr>
              <w:t xml:space="preserve">Name of the Student</w:t>
            </w:r>
          </w:p>
        </w:tc>
      </w:tr>
      <w:tr>
        <w:tc>
          <w:tcPr>
            <w:vMerge w:val="continue"/>
            <w:tcBorders>
              <w:top w:val="single" w:color="000000" w:sz="6"/>
              <w:left w:val="single" w:color="000000" w:sz="6"/>
              <w:bottom w:val="single" w:color="000000" w:sz="6"/>
              <w:right w:val="single" w:color="000000" w:sz="6"/>
            </w:tcBorders>
          </w:tcPr>
          <w:p/>
        </w:tc>
        <w:tc>
          <w:tcPr>
            <w:tcW w:type="dxa" w:w="2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sz w:val="24"/>
                <w:szCs w:val="24"/>
              </w:rPr>
              <w:t xml:space="preserve">24891A0594</w:t>
            </w:r>
          </w:p>
        </w:tc>
        <w:tc>
          <w:tcPr>
            <w:tcW w:type="dxa" w:w="540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sz w:val="24"/>
                <w:szCs w:val="24"/>
              </w:rPr>
              <w:t xml:space="preserve">KOTHAPALLY BINDUSREE</w:t>
            </w:r>
          </w:p>
        </w:tc>
      </w:tr>
      <w:tr>
        <w:tc>
          <w:tcPr>
            <w:vMerge w:val="continue"/>
            <w:tcBorders>
              <w:top w:val="single" w:color="000000" w:sz="6"/>
              <w:left w:val="single" w:color="000000" w:sz="6"/>
              <w:bottom w:val="single" w:color="000000" w:sz="6"/>
              <w:right w:val="single" w:color="000000" w:sz="6"/>
            </w:tcBorders>
          </w:tcPr>
          <w:p/>
        </w:tc>
        <w:tc>
          <w:tcPr>
            <w:tcW w:type="dxa" w:w="2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sz w:val="24"/>
                <w:szCs w:val="24"/>
              </w:rPr>
              <w:t xml:space="preserve">24891A0596</w:t>
            </w:r>
          </w:p>
        </w:tc>
        <w:tc>
          <w:tcPr>
            <w:tcW w:type="dxa" w:w="540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sz w:val="24"/>
                <w:szCs w:val="24"/>
              </w:rPr>
              <w:t xml:space="preserve">MALLEPAKULA BHUVANISHWARI</w:t>
            </w:r>
          </w:p>
        </w:tc>
      </w:tr>
      <w:tr>
        <w:tc>
          <w:tcPr>
            <w:vMerge w:val="continue"/>
            <w:tcBorders>
              <w:top w:val="single" w:color="000000" w:sz="6"/>
              <w:left w:val="single" w:color="000000" w:sz="6"/>
              <w:bottom w:val="single" w:color="000000" w:sz="6"/>
              <w:right w:val="single" w:color="000000" w:sz="6"/>
            </w:tcBorders>
          </w:tcPr>
          <w:p/>
        </w:tc>
        <w:tc>
          <w:tcPr>
            <w:tcW w:type="dxa" w:w="2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sz w:val="24"/>
                <w:szCs w:val="24"/>
              </w:rPr>
              <w:t xml:space="preserve">24891A0575</w:t>
            </w:r>
          </w:p>
        </w:tc>
        <w:tc>
          <w:tcPr>
            <w:tcW w:type="dxa" w:w="540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sz w:val="24"/>
                <w:szCs w:val="24"/>
              </w:rPr>
              <w:t xml:space="preserve">DUNGROTHU NIKHIL</w:t>
            </w:r>
          </w:p>
        </w:tc>
      </w:tr>
      <w:tr>
        <w:tc>
          <w:tcPr>
            <w:vMerge w:val="continue"/>
            <w:tcBorders>
              <w:top w:val="single" w:color="000000" w:sz="6"/>
              <w:left w:val="single" w:color="000000" w:sz="6"/>
              <w:bottom w:val="single" w:color="000000" w:sz="6"/>
              <w:right w:val="single" w:color="000000" w:sz="6"/>
            </w:tcBorders>
          </w:tcPr>
          <w:p/>
        </w:tc>
        <w:tc>
          <w:tcPr>
            <w:tcW w:type="dxa" w:w="26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sz w:val="24"/>
                <w:szCs w:val="24"/>
              </w:rPr>
              <w:t xml:space="preserve">24891A0573</w:t>
            </w:r>
          </w:p>
        </w:tc>
        <w:tc>
          <w:tcPr>
            <w:tcW w:type="dxa" w:w="540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sz w:val="24"/>
                <w:szCs w:val="24"/>
              </w:rPr>
              <w:t xml:space="preserve">DEVARASHETTY RAM NARAYAN</w:t>
            </w:r>
          </w:p>
        </w:tc>
      </w:tr>
      <w:t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b/>
                <w:bCs/>
                <w:sz w:val="24"/>
                <w:szCs w:val="24"/>
              </w:rPr>
              <w:t xml:space="preserve">Guide Name</w:t>
            </w:r>
          </w:p>
        </w:tc>
        <w:tc>
          <w:tcPr>
            <w:tcW w:type="dxa" w:w="8006"/>
            <w:gridSpan w:val="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b/>
                <w:bCs/>
                <w:sz w:val="24"/>
                <w:szCs w:val="24"/>
              </w:rPr>
              <w:t xml:space="preserve">Mr. VSSPLN Balaji Lanka</w:t>
            </w:r>
          </w:p>
        </w:tc>
      </w:tr>
      <w:t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b/>
                <w:bCs/>
                <w:sz w:val="24"/>
                <w:szCs w:val="24"/>
              </w:rPr>
              <w:t xml:space="preserve">Name of the</w:t>
            </w:r>
          </w:p>
          <w:p>
            <w:pPr>
              <w:spacing w:after="0" w:before="0"/>
              <w:jc w:val="left"/>
            </w:pPr>
            <w:r>
              <w:rPr>
                <w:rFonts w:ascii="Times New Roman" w:cs="Times New Roman" w:eastAsia="Times New Roman" w:hAnsi="Times New Roman"/>
                <w:b/>
                <w:bCs/>
                <w:sz w:val="24"/>
                <w:szCs w:val="24"/>
              </w:rPr>
              <w:t xml:space="preserve">Subject</w:t>
            </w:r>
          </w:p>
        </w:tc>
        <w:tc>
          <w:tcPr>
            <w:tcW w:type="dxa" w:w="8006"/>
            <w:gridSpan w:val="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left"/>
            </w:pPr>
            <w:r>
              <w:rPr>
                <w:rFonts w:ascii="Times New Roman" w:cs="Times New Roman" w:eastAsia="Times New Roman" w:hAnsi="Times New Roman"/>
                <w:sz w:val="24"/>
                <w:szCs w:val="24"/>
              </w:rPr>
              <w:t xml:space="preserve">Cyber Security, AI&amp;ML</w:t>
            </w:r>
          </w:p>
        </w:tc>
      </w:tr>
      <w:t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24"/>
                <w:szCs w:val="24"/>
              </w:rPr>
              <w:t xml:space="preserve">Abstract</w:t>
            </w:r>
          </w:p>
        </w:tc>
        <w:tc>
          <w:tcPr>
            <w:tcW w:type="dxa" w:w="8006"/>
            <w:gridSpan w:val="2"/>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line="300"/>
              <w:jc w:val="both"/>
            </w:pPr>
            <w:r>
              <w:rPr>
                <w:rFonts w:ascii="Times New Roman" w:cs="Times New Roman" w:eastAsia="Times New Roman" w:hAnsi="Times New Roman"/>
                <w:sz w:val="22"/>
                <w:szCs w:val="22"/>
              </w:rPr>
              <w:t xml:space="preserve">Phishing attacks have rapidly evolved from traditional deceptive emails into sophisticated, multi-channel social engineering campaigns spanning modern messaging applications such as WhatsApp Web, instant messaging platforms, SMS, and corporate emails. Conventional security defense mechanisms relying strictly on static domain blocklists or single-vector heuristics are consistently bypassed by zero-day typosquatting domains, brand impersonation using free email services, and fast-flux URL redirects. Cybersecurity Phishing Detection System is an end-to-end, multi-vector defense solution engineered to intercept and neutralize phishing threats in real time across multiple communication channels. The solution employs a lightweight browser extension and client-side listeners that capture incoming textual payloads, embedded URLs, and sender identifiers directly from active web sessions without disrupting user experience. The intercepted data is processed by a hybrid AI risk evaluation engine combining Natural Language Processing (NLP) heuristics, a TF-IDF with Logistic Regression machine learning classifier, and deep sender reputation analytics. The system evaluates sender authenticity by detecting brand typosquatting via Levenshtein-distance heuristics, flagging unauthorized free-provider impersonations (e.g., claiming to be PayPal or Amazon from a Gmail address), and assessing international phone prefixes. A multi-factor risk scoring algorithm synthesizes text urgency, domain legitimacy, and sender integrity into an actionable threat score (0–100) and categorized verdict (SAFE, SUSPICIOUS, HIGH RISK, CRITICAL). Confirmed security incidents are logged to a cloud-hosted MongoDB alerts database and streamed in real time to a centralized SOC Web Dashboard, providing security analysts with instant situational awareness and automated incident mitigation.</w:t>
            </w:r>
          </w:p>
        </w:tc>
      </w:tr>
    </w:tbl>
    <w:p>
      <w:pPr>
        <w:spacing w:after="0" w:before="0" w:line="20" w:lineRule="exact"/>
      </w:pPr>
      <w:r>
        <w:rPr>
          <w:rFonts w:ascii="Times New Roman" w:cs="Times New Roman" w:eastAsia="Times New Roman" w:hAnsi="Times New Roman"/>
          <w:sz w:val="2"/>
          <w:szCs w:val="2"/>
        </w:rPr>
        <w:t xml:space="preserve"/>
      </w:r>
    </w:p>
    <w:p>
      <w:pPr>
        <w:sectPr>
          <w:pgSz w:w="11906" w:h="16838" w:orient="portrait"/>
          <w:pgMar w:top="567" w:right="850" w:bottom="567" w:left="850" w:header="708" w:footer="708" w:gutter="0"/>
          <w:pgNumType/>
          <w:docGrid w:linePitch="360"/>
        </w:sectPr>
      </w:pPr>
    </w:p>
    <w:p>
      <w:pPr>
        <w:spacing w:after="60"/>
        <w:jc w:val="center"/>
      </w:pPr>
      <w:r>
        <w:drawing>
          <wp:inline distT="0" distB="0" distL="0" distR="0">
            <wp:extent cx="6477000" cy="1085850"/>
            <wp:effectExtent t="0" r="0" b="0" l="0"/>
            <wp:docPr id="1" name="header" descr="Vignan Institute header" title="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1085850"/>
                    </a:xfrm>
                    <a:prstGeom prst="rect">
                      <a:avLst/>
                    </a:prstGeom>
                  </pic:spPr>
                </pic:pic>
              </a:graphicData>
            </a:graphic>
          </wp:inline>
        </w:drawing>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8006"/>
      </w:tblGrid>
      <w:tr>
        <w:trPr>
          <w:trHeight w:val="9800" w:hRule="atLeast"/>
        </w:trPr>
        <w:tc>
          <w:tcPr>
            <w:tcW w:type="dxa" w:w="2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spacing w:after="0" w:before="0"/>
              <w:jc w:val="center"/>
            </w:pPr>
            <w:r>
              <w:rPr>
                <w:rFonts w:ascii="Times New Roman" w:cs="Times New Roman" w:eastAsia="Times New Roman" w:hAnsi="Times New Roman"/>
                <w:b/>
                <w:bCs/>
                <w:sz w:val="24"/>
                <w:szCs w:val="24"/>
              </w:rPr>
              <w:t xml:space="preserve">Image/</w:t>
            </w:r>
          </w:p>
          <w:p>
            <w:pPr>
              <w:spacing w:after="0" w:before="0"/>
              <w:jc w:val="center"/>
            </w:pPr>
            <w:r>
              <w:rPr>
                <w:rFonts w:ascii="Times New Roman" w:cs="Times New Roman" w:eastAsia="Times New Roman" w:hAnsi="Times New Roman"/>
                <w:b/>
                <w:bCs/>
                <w:sz w:val="24"/>
                <w:szCs w:val="24"/>
              </w:rPr>
              <w:t xml:space="preserve">Functional</w:t>
            </w:r>
          </w:p>
          <w:p>
            <w:pPr>
              <w:spacing w:after="0" w:before="0"/>
              <w:jc w:val="center"/>
            </w:pPr>
            <w:r>
              <w:rPr>
                <w:rFonts w:ascii="Times New Roman" w:cs="Times New Roman" w:eastAsia="Times New Roman" w:hAnsi="Times New Roman"/>
                <w:b/>
                <w:bCs/>
                <w:sz w:val="24"/>
                <w:szCs w:val="24"/>
              </w:rPr>
              <w:t xml:space="preserve">Diagram</w:t>
            </w:r>
          </w:p>
        </w:tc>
        <w:tc>
          <w:tcPr>
            <w:tcW w:type="dxa" w:w="8006"/>
            <w:tcBorders>
              <w:top w:val="single" w:color="000000" w:sz="6"/>
              <w:left w:val="single" w:color="000000" w:sz="6"/>
              <w:bottom w:val="single" w:color="000000" w:sz="6"/>
              <w:right w:val="single" w:color="000000" w:sz="6"/>
            </w:tcBorders>
            <w:tcMar>
              <w:top w:type="dxa" w:w="60"/>
              <w:left w:type="dxa" w:w="110"/>
              <w:bottom w:type="dxa" w:w="60"/>
              <w:right w:type="dxa" w:w="110"/>
            </w:tcMar>
            <w:vAlign w:val="top"/>
          </w:tcPr>
          <w:p>
            <w:pPr>
              <w:spacing w:before="200"/>
              <w:jc w:val="center"/>
            </w:pPr>
            <w:r>
              <w:drawing>
                <wp:inline distT="0" distB="0" distL="0" distR="0">
                  <wp:extent cx="4953000" cy="5334000"/>
                  <wp:effectExtent t="0" r="0" b="0" l="0"/>
                  <wp:docPr id="1" name="architecture" descr="Phishing Detection System architecture diagram"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334000"/>
                          </a:xfrm>
                          <a:prstGeom prst="rect">
                            <a:avLst/>
                          </a:prstGeom>
                        </pic:spPr>
                      </pic:pic>
                    </a:graphicData>
                  </a:graphic>
                </wp:inline>
              </w:drawing>
            </w:r>
          </w:p>
        </w:tc>
      </w:tr>
      <w:tr>
        <w:trPr>
          <w:trHeight w:val="2000" w:hRule="atLeast"/>
        </w:trPr>
        <w:tc>
          <w:tcPr>
            <w:tcW w:type="dxa" w:w="10206"/>
            <w:gridSpan w:val="2"/>
            <w:tcBorders>
              <w:top w:val="single" w:color="000000" w:sz="6"/>
              <w:left w:val="single" w:color="000000" w:sz="6"/>
              <w:bottom w:val="single" w:color="000000" w:sz="6"/>
              <w:right w:val="single" w:color="000000" w:sz="6"/>
            </w:tcBorders>
            <w:tcMar>
              <w:top w:type="dxa" w:w="60"/>
              <w:left w:type="dxa" w:w="110"/>
              <w:bottom w:type="dxa" w:w="60"/>
              <w:right w:type="dxa" w:w="110"/>
            </w:tcMar>
            <w:vAlign w:val="top"/>
          </w:tcPr>
          <w:p>
            <w:pPr>
              <w:tabs>
                <w:tab w:val="right" w:pos="9906"/>
              </w:tabs>
              <w:spacing w:before="900"/>
            </w:pPr>
            <w:r>
              <w:rPr>
                <w:rFonts w:ascii="Times New Roman" w:cs="Times New Roman" w:eastAsia="Times New Roman" w:hAnsi="Times New Roman"/>
                <w:b/>
                <w:bCs/>
                <w:sz w:val="24"/>
                <w:szCs w:val="24"/>
              </w:rPr>
              <w:t xml:space="preserve">  SIGNATURE OF THE GUIDE	SIGNATURE OF THE HOD</w:t>
            </w:r>
          </w:p>
        </w:tc>
      </w:tr>
    </w:tbl>
    <w:p>
      <w:pPr>
        <w:spacing w:after="0" w:before="0" w:line="20" w:lineRule="exact"/>
      </w:pPr>
      <w:r>
        <w:rPr>
          <w:rFonts w:ascii="Times New Roman" w:cs="Times New Roman" w:eastAsia="Times New Roman" w:hAnsi="Times New Roman"/>
          <w:sz w:val="2"/>
          <w:szCs w:val="2"/>
        </w:rPr>
        <w:t xml:space="preserve"/>
      </w:r>
    </w:p>
    <w:sectPr>
      <w:pgSz w:w="11906" w:h="16838" w:orient="portrait"/>
      <w:pgMar w:top="567" w:right="850" w:bottom="567"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d8044eb98b064524b7eac9d53f9cd698de5226.jpg"/><Relationship Id="rId8" Type="http://schemas.openxmlformats.org/officeDocument/2006/relationships/image" Target="media/9b2925ad8744bc0b234cb5045913cdf42e0d1f4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2026-10-12T18:44:07.040Z</dcterms:created>
  <dcterms:modified xsi:type="dcterms:W3CDTF">2026-10-12T18:44:07.040Z</dcterms:modified>
</cp:coreProperties>
</file>

<file path=docProps/custom.xml><?xml version="1.0" encoding="utf-8"?>
<Properties xmlns="http://schemas.openxmlformats.org/officeDocument/2006/custom-properties" xmlns:vt="http://schemas.openxmlformats.org/officeDocument/2006/docPropsVTypes"/>
</file>