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6"/>
        </w:rPr>
        <w:t>ECA1803 – OPTOELECTRONICS AND OPTICAL COMMUNICATION</w:t>
      </w:r>
    </w:p>
    <w:p>
      <w:pPr>
        <w:spacing w:before="0" w:after="40"/>
        <w:jc w:val="center"/>
      </w:pPr>
      <w:r>
        <w:rPr>
          <w:rFonts w:ascii="Times New Roman" w:hAnsi="Times New Roman"/>
          <w:b/>
          <w:color w:val="000000"/>
          <w:sz w:val="24"/>
        </w:rPr>
        <w:t>CO5 Case Study Based Assignment Report</w:t>
      </w:r>
    </w:p>
    <w:p>
      <w:pPr>
        <w:spacing w:before="0" w:after="240"/>
        <w:jc w:val="center"/>
      </w:pPr>
      <w:r>
        <w:rPr>
          <w:rFonts w:ascii="Times New Roman" w:hAnsi="Times New Roman"/>
          <w:i/>
          <w:color w:val="000000"/>
          <w:sz w:val="22"/>
        </w:rPr>
        <w:t>DWDM Metro Link Commissioning: From Field Measurements to a Standards-Based Upgrade Decision</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4680"/>
        <w:gridCol w:w="4680"/>
      </w:tblGrid>
      <w:tr>
        <w:tc>
          <w:tcPr>
            <w:tcW w:type="dxa" w:w="4680"/>
            <w:tcMar>
              <w:top w:w="60" w:type="dxa"/>
              <w:bottom w:w="60" w:type="dxa"/>
              <w:left w:w="100" w:type="dxa"/>
              <w:right w:w="100" w:type="dxa"/>
            </w:tcMar>
          </w:tcPr>
          <w:p>
            <w:pPr>
              <w:spacing w:after="40" w:line="264" w:lineRule="auto"/>
            </w:pPr>
            <w:r>
              <w:rPr>
                <w:rFonts w:ascii="Times New Roman" w:hAnsi="Times New Roman"/>
                <w:b/>
                <w:sz w:val="20"/>
              </w:rPr>
              <w:t>Candidate Name:</w:t>
            </w:r>
            <w:r>
              <w:rPr>
                <w:rFonts w:ascii="Times New Roman" w:hAnsi="Times New Roman"/>
                <w:sz w:val="20"/>
              </w:rPr>
              <w:t xml:space="preserve"> T. Ram Praneeth Reddy</w:t>
            </w:r>
          </w:p>
        </w:tc>
        <w:tc>
          <w:tcPr>
            <w:tcW w:type="dxa" w:w="4680"/>
            <w:tcMar>
              <w:top w:w="60" w:type="dxa"/>
              <w:bottom w:w="60" w:type="dxa"/>
              <w:left w:w="100" w:type="dxa"/>
              <w:right w:w="100" w:type="dxa"/>
            </w:tcMar>
          </w:tcPr>
          <w:p>
            <w:pPr>
              <w:spacing w:after="40" w:line="264" w:lineRule="auto"/>
            </w:pPr>
            <w:r>
              <w:rPr>
                <w:rFonts w:ascii="Times New Roman" w:hAnsi="Times New Roman"/>
                <w:b/>
                <w:sz w:val="20"/>
              </w:rPr>
              <w:t>Register Number:</w:t>
            </w:r>
            <w:r>
              <w:rPr>
                <w:rFonts w:ascii="Times New Roman" w:hAnsi="Times New Roman"/>
                <w:sz w:val="20"/>
              </w:rPr>
              <w:t xml:space="preserve"> 192512056</w:t>
            </w:r>
          </w:p>
        </w:tc>
      </w:tr>
      <w:tr>
        <w:tc>
          <w:tcPr>
            <w:tcW w:type="dxa" w:w="4680"/>
            <w:tcMar>
              <w:top w:w="60" w:type="dxa"/>
              <w:bottom w:w="60" w:type="dxa"/>
              <w:left w:w="100" w:type="dxa"/>
              <w:right w:w="100" w:type="dxa"/>
            </w:tcMar>
          </w:tcPr>
          <w:p>
            <w:pPr>
              <w:spacing w:after="40" w:line="264" w:lineRule="auto"/>
            </w:pPr>
            <w:r>
              <w:rPr>
                <w:rFonts w:ascii="Times New Roman" w:hAnsi="Times New Roman"/>
                <w:b/>
                <w:sz w:val="20"/>
              </w:rPr>
              <w:t>Course Code &amp; Title:</w:t>
            </w:r>
            <w:r>
              <w:rPr>
                <w:rFonts w:ascii="Times New Roman" w:hAnsi="Times New Roman"/>
                <w:sz w:val="20"/>
              </w:rPr>
              <w:t xml:space="preserve"> ECA1803 – Optoelectronics and Optical Communication</w:t>
            </w:r>
          </w:p>
        </w:tc>
        <w:tc>
          <w:tcPr>
            <w:tcW w:type="dxa" w:w="4680"/>
            <w:tcMar>
              <w:top w:w="60" w:type="dxa"/>
              <w:bottom w:w="60" w:type="dxa"/>
              <w:left w:w="100" w:type="dxa"/>
              <w:right w:w="100" w:type="dxa"/>
            </w:tcMar>
          </w:tcPr>
          <w:p>
            <w:pPr>
              <w:spacing w:after="40" w:line="264" w:lineRule="auto"/>
            </w:pPr>
            <w:r>
              <w:rPr>
                <w:rFonts w:ascii="Times New Roman" w:hAnsi="Times New Roman"/>
                <w:b/>
                <w:sz w:val="20"/>
              </w:rPr>
              <w:t>Assessment Type:</w:t>
            </w:r>
            <w:r>
              <w:rPr>
                <w:rFonts w:ascii="Times New Roman" w:hAnsi="Times New Roman"/>
                <w:sz w:val="20"/>
              </w:rPr>
              <w:t xml:space="preserve"> CO5 Case Study Based Assignment (Max Marks: 100)</w:t>
            </w:r>
          </w:p>
        </w:tc>
      </w:tr>
    </w:tbl>
    <w:p>
      <w:pPr>
        <w:spacing w:before="120" w:after="120"/>
      </w:pPr>
    </w:p>
    <w:p>
      <w:pPr>
        <w:spacing w:after="80" w:line="276" w:lineRule="auto"/>
      </w:pPr>
      <w:r>
        <w:rPr>
          <w:rFonts w:ascii="Times New Roman" w:hAnsi="Times New Roman"/>
          <w:b/>
          <w:color w:val="000000"/>
          <w:sz w:val="22"/>
        </w:rPr>
        <w:t xml:space="preserve">Methodological Design Approach: </w:t>
      </w:r>
      <w:r>
        <w:rPr>
          <w:rFonts w:ascii="Times New Roman" w:hAnsi="Times New Roman"/>
          <w:color w:val="000000"/>
          <w:sz w:val="22"/>
        </w:rPr>
        <w:t xml:space="preserve">Engineering Investigation Flow: </w:t>
        <w:br/>
        <w:t>SYSTEM REQUIREMENTS → FIELD MEASUREMENT → QUANTITATIVE ANALYSIS → ROOT-CAUSE ISOLATION → PHYSICAL REPAIR &amp; OPTIMIZATION → POST-REPAIR VERIFICATION → DEPLOYMENT DECISION.</w:t>
      </w:r>
    </w:p>
    <w:p>
      <w:pPr>
        <w:keepNext/>
        <w:spacing w:before="240" w:after="80"/>
      </w:pPr>
      <w:r>
        <w:rPr>
          <w:rFonts w:ascii="Times New Roman" w:hAnsi="Times New Roman"/>
          <w:b/>
          <w:color w:val="000000"/>
          <w:sz w:val="24"/>
        </w:rPr>
        <w:t>1. Executive Summary &amp; Design Requirement Statement</w:t>
      </w:r>
    </w:p>
    <w:p>
      <w:pPr>
        <w:spacing w:after="80" w:line="276" w:lineRule="auto"/>
      </w:pPr>
      <w:r>
        <w:rPr>
          <w:rFonts w:ascii="Times New Roman" w:hAnsi="Times New Roman"/>
          <w:color w:val="000000"/>
          <w:sz w:val="22"/>
        </w:rPr>
        <w:t>This engineering report delivers an exhaustive commissioning audit, physical root-cause diagnostic, and capacity expansion evaluation for a 60 km metropolitan optical transport link constructed from standard single-mode silica fiber (ITU-T G.652.D). The existing infrastructure operates eight 10 Gb/s Non-Return-to-Zero (NRZ) wavelength channels aligned to the 100 GHz ITU-T G.694.1 spectral grid. Initial field commissioning revealed severe physical-layer anomalies: an out-of-specification mechanical splice at the midpoint, an excessively lossy and reflective optical patch connector near the remote terminal, and an unacceptable transmission quality degradation on Channel 5 characterized by eye closure, elevated jitter, and low extinction ratio. Simultaneously, the operator requires a standards-compliant capacity migration to 1.60 Tb/s aggregate throughput across the existing dark fiber pair without costly trenching or fiber re-cabling.</w:t>
      </w:r>
    </w:p>
    <w:p>
      <w:pPr>
        <w:spacing w:after="80" w:line="276" w:lineRule="auto"/>
      </w:pPr>
      <w:r>
        <w:rPr>
          <w:rFonts w:ascii="Times New Roman" w:hAnsi="Times New Roman"/>
          <w:color w:val="000000"/>
          <w:sz w:val="22"/>
        </w:rPr>
        <w:t>Design Requirement Statement:</w:t>
        <w:br/>
        <w:t>Following localized physical remediation, the 60 km span must deliver an end-to-end received optical power profile satisfying a minimum 3.0 dB operating margin relative to a -24.0 dBm receiver sensitivity floor. Each active wavelength carrier must achieve a Bit Error Rate (BER) ≤ 10^-12 (corresponding to a quality factor Q ≥ 7.03) and maintain an optical extinction ratio (ER) ≥ 8.2 dB (the operational boundary condition of receiver calibration). Furthermore, total link Polarization Mode Dispersion (PMD) and Optical Signal-to-Noise Ratio (OSNR) must remain strictly compliant with standard optical interfaces, while an energy-efficient 1.60 Tb/s coherent upgrade path is established.</w:t>
      </w:r>
    </w:p>
    <w:p>
      <w:pPr>
        <w:spacing w:after="80" w:line="276" w:lineRule="auto"/>
      </w:pPr>
      <w:r>
        <w:rPr>
          <w:rFonts w:ascii="Times New Roman" w:hAnsi="Times New Roman"/>
          <w:b/>
          <w:color w:val="000000"/>
          <w:sz w:val="22"/>
        </w:rPr>
        <w:t xml:space="preserve">Field Measurement Discrepancy: </w:t>
      </w:r>
      <w:r>
        <w:rPr>
          <w:rFonts w:ascii="Times New Roman" w:hAnsi="Times New Roman"/>
          <w:color w:val="000000"/>
          <w:sz w:val="22"/>
        </w:rPr>
        <w:t>Critical Data Reconciliation Note: The field case documentation cites an as-built link loss figure of 22.52 dB in its summary section. However, an exhaustive summation of all measured physical loss elements (fiber attenuation, four mated connectors, twelve fusion splices, and the mechanical splice) yields a calculated total of exactly 16.52 dB. This discrepancy of 6.00 dB indicates either uncalibrated launch/receive test cords or undocumented lumped losses in the field notes. To ensure engineering integrity, this report utilizes the transparent component summation (16.52 dB as-found, 15.25 dB post-repair) while mandating a recalibrated two-point insertion loss remeasurement prior to final network commissioning.</w:t>
      </w:r>
    </w:p>
    <w:p>
      <w:pPr>
        <w:keepNext/>
        <w:spacing w:before="240" w:after="80"/>
      </w:pPr>
      <w:r>
        <w:rPr>
          <w:rFonts w:ascii="Times New Roman" w:hAnsi="Times New Roman"/>
          <w:b/>
          <w:color w:val="000000"/>
          <w:sz w:val="24"/>
        </w:rPr>
        <w:t>2. Stage 1: Interpretation of Measurement &amp; Performance Requirements</w:t>
      </w:r>
    </w:p>
    <w:p>
      <w:pPr>
        <w:spacing w:after="80" w:line="276" w:lineRule="auto"/>
      </w:pPr>
      <w:r>
        <w:rPr>
          <w:rFonts w:ascii="Times New Roman" w:hAnsi="Times New Roman"/>
          <w:color w:val="000000"/>
          <w:sz w:val="22"/>
        </w:rPr>
        <w:t>Accurate physical-layer diagnosis and standards compliance verification require a coordinated suite of calibrated optical test instruments and regulatory guidelines: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3120"/>
        <w:gridCol w:w="3120"/>
        <w:gridCol w:w="3120"/>
      </w:tblGrid>
      <w:tr>
        <w:tc>
          <w:tcPr>
            <w:tcW w:type="dxa" w:w="3120"/>
            <w:tcMar>
              <w:top w:w="80" w:type="dxa"/>
              <w:bottom w:w="80" w:type="dxa"/>
              <w:left w:w="100" w:type="dxa"/>
              <w:right w:w="100" w:type="dxa"/>
            </w:tcMar>
            <w:shd w:fill="F2F2F2"/>
          </w:tcPr>
          <w:p>
            <w:pPr>
              <w:jc w:val="left"/>
            </w:pPr>
            <w:r>
              <w:rPr>
                <w:rFonts w:ascii="Times New Roman" w:hAnsi="Times New Roman"/>
                <w:b/>
                <w:sz w:val="19"/>
              </w:rPr>
              <w:t>Instrument / Regulatory Standard</w:t>
            </w:r>
          </w:p>
        </w:tc>
        <w:tc>
          <w:tcPr>
            <w:tcW w:type="dxa" w:w="3120"/>
            <w:tcMar>
              <w:top w:w="80" w:type="dxa"/>
              <w:bottom w:w="80" w:type="dxa"/>
              <w:left w:w="100" w:type="dxa"/>
              <w:right w:w="100" w:type="dxa"/>
            </w:tcMar>
            <w:shd w:fill="F2F2F2"/>
          </w:tcPr>
          <w:p>
            <w:pPr>
              <w:jc w:val="center"/>
            </w:pPr>
            <w:r>
              <w:rPr>
                <w:rFonts w:ascii="Times New Roman" w:hAnsi="Times New Roman"/>
                <w:b/>
                <w:sz w:val="19"/>
              </w:rPr>
              <w:t>Primary Physical Parameter Validated</w:t>
            </w:r>
          </w:p>
        </w:tc>
        <w:tc>
          <w:tcPr>
            <w:tcW w:type="dxa" w:w="3120"/>
            <w:tcMar>
              <w:top w:w="80" w:type="dxa"/>
              <w:bottom w:w="80" w:type="dxa"/>
              <w:left w:w="100" w:type="dxa"/>
              <w:right w:w="100" w:type="dxa"/>
            </w:tcMar>
            <w:shd w:fill="F2F2F2"/>
          </w:tcPr>
          <w:p>
            <w:pPr>
              <w:jc w:val="center"/>
            </w:pPr>
            <w:r>
              <w:rPr>
                <w:rFonts w:ascii="Times New Roman" w:hAnsi="Times New Roman"/>
                <w:b/>
                <w:sz w:val="19"/>
              </w:rPr>
              <w:t>Diagnostic Function in Case Study Link</w:t>
            </w:r>
          </w:p>
        </w:tc>
      </w:tr>
      <w:tr>
        <w:tc>
          <w:tcPr>
            <w:tcW w:type="dxa" w:w="3120"/>
            <w:tcMar>
              <w:top w:w="60" w:type="dxa"/>
              <w:bottom w:w="60" w:type="dxa"/>
              <w:left w:w="100" w:type="dxa"/>
              <w:right w:w="100" w:type="dxa"/>
            </w:tcMar>
          </w:tcPr>
          <w:p>
            <w:pPr>
              <w:jc w:val="left"/>
            </w:pPr>
            <w:r>
              <w:rPr>
                <w:rFonts w:ascii="Times New Roman" w:hAnsi="Times New Roman"/>
                <w:sz w:val="18"/>
              </w:rPr>
              <w:t>Optical Power Meter (OPM)</w:t>
            </w:r>
          </w:p>
        </w:tc>
        <w:tc>
          <w:tcPr>
            <w:tcW w:type="dxa" w:w="3120"/>
            <w:tcMar>
              <w:top w:w="60" w:type="dxa"/>
              <w:bottom w:w="60" w:type="dxa"/>
              <w:left w:w="100" w:type="dxa"/>
              <w:right w:w="100" w:type="dxa"/>
            </w:tcMar>
          </w:tcPr>
          <w:p>
            <w:pPr>
              <w:jc w:val="center"/>
            </w:pPr>
            <w:r>
              <w:rPr>
                <w:rFonts w:ascii="Times New Roman" w:hAnsi="Times New Roman"/>
                <w:sz w:val="18"/>
              </w:rPr>
              <w:t>Absolute optical power (dBm) and insertion loss (dB)</w:t>
            </w:r>
          </w:p>
        </w:tc>
        <w:tc>
          <w:tcPr>
            <w:tcW w:type="dxa" w:w="3120"/>
            <w:tcMar>
              <w:top w:w="60" w:type="dxa"/>
              <w:bottom w:w="60" w:type="dxa"/>
              <w:left w:w="100" w:type="dxa"/>
              <w:right w:w="100" w:type="dxa"/>
            </w:tcMar>
          </w:tcPr>
          <w:p>
            <w:pPr>
              <w:jc w:val="left"/>
            </w:pPr>
            <w:r>
              <w:rPr>
                <w:rFonts w:ascii="Times New Roman" w:hAnsi="Times New Roman"/>
                <w:sz w:val="18"/>
              </w:rPr>
              <w:t>Measures per-channel transmitter launch levels, receiver incident power, and validates end-to-end span attenuation.</w:t>
            </w:r>
          </w:p>
        </w:tc>
      </w:tr>
      <w:tr>
        <w:tc>
          <w:tcPr>
            <w:tcW w:type="dxa" w:w="3120"/>
            <w:tcMar>
              <w:top w:w="60" w:type="dxa"/>
              <w:bottom w:w="60" w:type="dxa"/>
              <w:left w:w="100" w:type="dxa"/>
              <w:right w:w="100" w:type="dxa"/>
            </w:tcMar>
          </w:tcPr>
          <w:p>
            <w:pPr>
              <w:jc w:val="left"/>
            </w:pPr>
            <w:r>
              <w:rPr>
                <w:rFonts w:ascii="Times New Roman" w:hAnsi="Times New Roman"/>
                <w:sz w:val="18"/>
              </w:rPr>
              <w:t>Optical Spectrum Analyzer (OSA)</w:t>
            </w:r>
          </w:p>
        </w:tc>
        <w:tc>
          <w:tcPr>
            <w:tcW w:type="dxa" w:w="3120"/>
            <w:tcMar>
              <w:top w:w="60" w:type="dxa"/>
              <w:bottom w:w="60" w:type="dxa"/>
              <w:left w:w="100" w:type="dxa"/>
              <w:right w:w="100" w:type="dxa"/>
            </w:tcMar>
          </w:tcPr>
          <w:p>
            <w:pPr>
              <w:jc w:val="center"/>
            </w:pPr>
            <w:r>
              <w:rPr>
                <w:rFonts w:ascii="Times New Roman" w:hAnsi="Times New Roman"/>
                <w:sz w:val="18"/>
              </w:rPr>
              <w:t>Spectral channel power, wavelength accuracy, and OSNR</w:t>
            </w:r>
          </w:p>
        </w:tc>
        <w:tc>
          <w:tcPr>
            <w:tcW w:type="dxa" w:w="3120"/>
            <w:tcMar>
              <w:top w:w="60" w:type="dxa"/>
              <w:bottom w:w="60" w:type="dxa"/>
              <w:left w:w="100" w:type="dxa"/>
              <w:right w:w="100" w:type="dxa"/>
            </w:tcMar>
          </w:tcPr>
          <w:p>
            <w:pPr>
              <w:jc w:val="left"/>
            </w:pPr>
            <w:r>
              <w:rPr>
                <w:rFonts w:ascii="Times New Roman" w:hAnsi="Times New Roman"/>
                <w:sz w:val="18"/>
              </w:rPr>
              <w:t>Validates 100 GHz grid spacing, measures channel power balance, and evaluates ASE noise levels in 0.1 nm reference bandwidth.</w:t>
            </w:r>
          </w:p>
        </w:tc>
      </w:tr>
      <w:tr>
        <w:tc>
          <w:tcPr>
            <w:tcW w:type="dxa" w:w="3120"/>
            <w:tcMar>
              <w:top w:w="60" w:type="dxa"/>
              <w:bottom w:w="60" w:type="dxa"/>
              <w:left w:w="100" w:type="dxa"/>
              <w:right w:w="100" w:type="dxa"/>
            </w:tcMar>
          </w:tcPr>
          <w:p>
            <w:pPr>
              <w:jc w:val="left"/>
            </w:pPr>
            <w:r>
              <w:rPr>
                <w:rFonts w:ascii="Times New Roman" w:hAnsi="Times New Roman"/>
                <w:sz w:val="18"/>
              </w:rPr>
              <w:t>Optical Time-Domain Reflectometer (OTDR)</w:t>
            </w:r>
          </w:p>
        </w:tc>
        <w:tc>
          <w:tcPr>
            <w:tcW w:type="dxa" w:w="3120"/>
            <w:tcMar>
              <w:top w:w="60" w:type="dxa"/>
              <w:bottom w:w="60" w:type="dxa"/>
              <w:left w:w="100" w:type="dxa"/>
              <w:right w:w="100" w:type="dxa"/>
            </w:tcMar>
          </w:tcPr>
          <w:p>
            <w:pPr>
              <w:jc w:val="center"/>
            </w:pPr>
            <w:r>
              <w:rPr>
                <w:rFonts w:ascii="Times New Roman" w:hAnsi="Times New Roman"/>
                <w:sz w:val="18"/>
              </w:rPr>
              <w:t>Spatial event distance, local splice loss, and reflectance</w:t>
            </w:r>
          </w:p>
        </w:tc>
        <w:tc>
          <w:tcPr>
            <w:tcW w:type="dxa" w:w="3120"/>
            <w:tcMar>
              <w:top w:w="60" w:type="dxa"/>
              <w:bottom w:w="60" w:type="dxa"/>
              <w:left w:w="100" w:type="dxa"/>
              <w:right w:w="100" w:type="dxa"/>
            </w:tcMar>
          </w:tcPr>
          <w:p>
            <w:pPr>
              <w:jc w:val="left"/>
            </w:pPr>
            <w:r>
              <w:rPr>
                <w:rFonts w:ascii="Times New Roman" w:hAnsi="Times New Roman"/>
                <w:sz w:val="18"/>
              </w:rPr>
              <w:t>Localizes mechanical splice at 31.50 km and isolates reflective patch connector at 59.90 km; identifies fiber defects.</w:t>
            </w:r>
          </w:p>
        </w:tc>
      </w:tr>
      <w:tr>
        <w:tc>
          <w:tcPr>
            <w:tcW w:type="dxa" w:w="3120"/>
            <w:tcMar>
              <w:top w:w="60" w:type="dxa"/>
              <w:bottom w:w="60" w:type="dxa"/>
              <w:left w:w="100" w:type="dxa"/>
              <w:right w:w="100" w:type="dxa"/>
            </w:tcMar>
          </w:tcPr>
          <w:p>
            <w:pPr>
              <w:jc w:val="left"/>
            </w:pPr>
            <w:r>
              <w:rPr>
                <w:rFonts w:ascii="Times New Roman" w:hAnsi="Times New Roman"/>
                <w:sz w:val="18"/>
              </w:rPr>
              <w:t>Digital Sampling Oscilloscope &amp; BERT</w:t>
            </w:r>
          </w:p>
        </w:tc>
        <w:tc>
          <w:tcPr>
            <w:tcW w:type="dxa" w:w="3120"/>
            <w:tcMar>
              <w:top w:w="60" w:type="dxa"/>
              <w:bottom w:w="60" w:type="dxa"/>
              <w:left w:w="100" w:type="dxa"/>
              <w:right w:w="100" w:type="dxa"/>
            </w:tcMar>
          </w:tcPr>
          <w:p>
            <w:pPr>
              <w:jc w:val="center"/>
            </w:pPr>
            <w:r>
              <w:rPr>
                <w:rFonts w:ascii="Times New Roman" w:hAnsi="Times New Roman"/>
                <w:sz w:val="18"/>
              </w:rPr>
              <w:t>Eye-diagram mask, Q-factor, BER, and deterministic / random jitter</w:t>
            </w:r>
          </w:p>
        </w:tc>
        <w:tc>
          <w:tcPr>
            <w:tcW w:type="dxa" w:w="3120"/>
            <w:tcMar>
              <w:top w:w="60" w:type="dxa"/>
              <w:bottom w:w="60" w:type="dxa"/>
              <w:left w:w="100" w:type="dxa"/>
              <w:right w:w="100" w:type="dxa"/>
            </w:tcMar>
          </w:tcPr>
          <w:p>
            <w:pPr>
              <w:jc w:val="left"/>
            </w:pPr>
            <w:r>
              <w:rPr>
                <w:rFonts w:ascii="Times New Roman" w:hAnsi="Times New Roman"/>
                <w:sz w:val="18"/>
              </w:rPr>
              <w:t>Quantifies eye closure on Channel 5 vs. Channel 3; measures deterministic (DJ) and random jitter (RJ) to isolate transmitter faults.</w:t>
            </w:r>
          </w:p>
        </w:tc>
      </w:tr>
      <w:tr>
        <w:tc>
          <w:tcPr>
            <w:tcW w:type="dxa" w:w="3120"/>
            <w:tcMar>
              <w:top w:w="60" w:type="dxa"/>
              <w:bottom w:w="60" w:type="dxa"/>
              <w:left w:w="100" w:type="dxa"/>
              <w:right w:w="100" w:type="dxa"/>
            </w:tcMar>
          </w:tcPr>
          <w:p>
            <w:pPr>
              <w:jc w:val="left"/>
            </w:pPr>
            <w:r>
              <w:rPr>
                <w:rFonts w:ascii="Times New Roman" w:hAnsi="Times New Roman"/>
                <w:sz w:val="18"/>
              </w:rPr>
              <w:t>Dispersion / PMD Analyzer</w:t>
            </w:r>
          </w:p>
        </w:tc>
        <w:tc>
          <w:tcPr>
            <w:tcW w:type="dxa" w:w="3120"/>
            <w:tcMar>
              <w:top w:w="60" w:type="dxa"/>
              <w:bottom w:w="60" w:type="dxa"/>
              <w:left w:w="100" w:type="dxa"/>
              <w:right w:w="100" w:type="dxa"/>
            </w:tcMar>
          </w:tcPr>
          <w:p>
            <w:pPr>
              <w:jc w:val="center"/>
            </w:pPr>
            <w:r>
              <w:rPr>
                <w:rFonts w:ascii="Times New Roman" w:hAnsi="Times New Roman"/>
                <w:sz w:val="18"/>
              </w:rPr>
              <w:t>Chromatic Dispersion (CD) and Differential Group Delay (DGD)</w:t>
            </w:r>
          </w:p>
        </w:tc>
        <w:tc>
          <w:tcPr>
            <w:tcW w:type="dxa" w:w="3120"/>
            <w:tcMar>
              <w:top w:w="60" w:type="dxa"/>
              <w:bottom w:w="60" w:type="dxa"/>
              <w:left w:w="100" w:type="dxa"/>
              <w:right w:w="100" w:type="dxa"/>
            </w:tcMar>
          </w:tcPr>
          <w:p>
            <w:pPr>
              <w:jc w:val="left"/>
            </w:pPr>
            <w:r>
              <w:rPr>
                <w:rFonts w:ascii="Times New Roman" w:hAnsi="Times New Roman"/>
                <w:sz w:val="18"/>
              </w:rPr>
              <w:t>Confirms cumulative CD and PMD remain well within 10 Gb/s and 100G/400G upgrade bit-slot tolerances.</w:t>
            </w:r>
          </w:p>
        </w:tc>
      </w:tr>
      <w:tr>
        <w:tc>
          <w:tcPr>
            <w:tcW w:type="dxa" w:w="3120"/>
            <w:tcMar>
              <w:top w:w="60" w:type="dxa"/>
              <w:bottom w:w="60" w:type="dxa"/>
              <w:left w:w="100" w:type="dxa"/>
              <w:right w:w="100" w:type="dxa"/>
            </w:tcMar>
          </w:tcPr>
          <w:p>
            <w:pPr>
              <w:jc w:val="left"/>
            </w:pPr>
            <w:r>
              <w:rPr>
                <w:rFonts w:ascii="Times New Roman" w:hAnsi="Times New Roman"/>
                <w:sz w:val="18"/>
              </w:rPr>
              <w:t>ITU-T G.652.D &amp; ITU-T G.694.1</w:t>
            </w:r>
          </w:p>
        </w:tc>
        <w:tc>
          <w:tcPr>
            <w:tcW w:type="dxa" w:w="3120"/>
            <w:tcMar>
              <w:top w:w="60" w:type="dxa"/>
              <w:bottom w:w="60" w:type="dxa"/>
              <w:left w:w="100" w:type="dxa"/>
              <w:right w:w="100" w:type="dxa"/>
            </w:tcMar>
          </w:tcPr>
          <w:p>
            <w:pPr>
              <w:jc w:val="center"/>
            </w:pPr>
            <w:r>
              <w:rPr>
                <w:rFonts w:ascii="Times New Roman" w:hAnsi="Times New Roman"/>
                <w:sz w:val="18"/>
              </w:rPr>
              <w:t>Standard single-mode fiber and DWDM frequency grid</w:t>
            </w:r>
          </w:p>
        </w:tc>
        <w:tc>
          <w:tcPr>
            <w:tcW w:type="dxa" w:w="3120"/>
            <w:tcMar>
              <w:top w:w="60" w:type="dxa"/>
              <w:bottom w:w="60" w:type="dxa"/>
              <w:left w:w="100" w:type="dxa"/>
              <w:right w:w="100" w:type="dxa"/>
            </w:tcMar>
          </w:tcPr>
          <w:p>
            <w:pPr>
              <w:jc w:val="left"/>
            </w:pPr>
            <w:r>
              <w:rPr>
                <w:rFonts w:ascii="Times New Roman" w:hAnsi="Times New Roman"/>
                <w:sz w:val="18"/>
              </w:rPr>
              <w:t>Ensures compliance with standard 1550 nm transmission windows and 50/100 GHz fixed/flexible optical channel plans.</w:t>
            </w:r>
          </w:p>
        </w:tc>
      </w:tr>
    </w:tbl>
    <w:p>
      <w:pPr>
        <w:spacing w:before="80" w:after="80"/>
      </w:pPr>
    </w:p>
    <w:p>
      <w:pPr>
        <w:spacing w:after="80" w:line="276" w:lineRule="auto"/>
      </w:pPr>
      <w:r>
        <w:rPr>
          <w:rFonts w:ascii="Times New Roman" w:hAnsi="Times New Roman"/>
          <w:color w:val="000000"/>
          <w:sz w:val="22"/>
        </w:rPr>
        <w:t>Interplay of System Budget Parameters: Total link performance is governed by the interaction between passive fiber attenuation, discrete connector/splice losses, chromatic dispersion penalties, transmitter extinction-ratio penalties, receiver sensitivity thresholds, and optical amplifier noise accumulation. A degradation in extinction ratio or an elevation in timing jitter directly collapses the horizontal and vertical eye opening, accelerating bit errors even when average optical power appears sufficient.</w:t>
      </w:r>
    </w:p>
    <w:p>
      <w:pPr>
        <w:spacing w:after="80" w:line="276" w:lineRule="auto"/>
      </w:pPr>
      <w:r>
        <w:rPr>
          <w:rFonts w:ascii="Times New Roman" w:hAnsi="Times New Roman"/>
          <w:color w:val="000000"/>
          <w:sz w:val="22"/>
        </w:rPr>
        <w:t>OTDR Measurement Physics: The OTDR dynamic range dictates the maximum optical loss through which the instrument can acquire backscattered signal above the noise floor. The event dead zone (EDZ) defines the minimum physical distance required between two reflective events to resolve them as separate peaks. The attenuation dead zone (ADZ) represents the spatial distance needed following a Fresnel reflection for the Rayleigh backscatter trace to settle within ±0.5 dB, enabling accurate insertion loss measurement. Pulse width selection represents a fundamental trade-off: short pulses yield narrow dead zones but low dynamic range, whereas long pulses maximize reach at the expense of spatial resolution.</w:t>
      </w:r>
    </w:p>
    <w:p>
      <w:pPr>
        <w:spacing w:after="80" w:line="276" w:lineRule="auto"/>
      </w:pPr>
      <w:r>
        <w:rPr>
          <w:rFonts w:ascii="Times New Roman" w:hAnsi="Times New Roman"/>
          <w:color w:val="000000"/>
          <w:sz w:val="22"/>
        </w:rPr>
        <w:t>Physical Remediation Guidelines: Fusion splicing is mandatory for permanent telecommunication trunking, producing insertion losses &lt; 0.05 dB with reflections &lt; -60 dB. Mechanical splices, which rely on index-matching gel, degrade over time and introduce excessive loss (&gt; 0.5 dB) and reflections. For optical connectors, Ultra Physical Contact (UPC, blue, flat-radius polish, reflectance ≤ -50 dB) is standard for digital transmission, while Angled Physical Contact (APC, green, 8° angled polish, reflectance ≤ -65 dB) is mandatory for high-reflectance-sensitive analog or high-power Raman links. Never mate APC to UPC connectors, as the 8° air gap destroys optical coupling and causes catastrophic insertion losses (&gt; 4.0 dB).</w:t>
      </w:r>
    </w:p>
    <w:p>
      <w:pPr>
        <w:keepNext/>
        <w:spacing w:before="240" w:after="80"/>
      </w:pPr>
      <w:r>
        <w:rPr>
          <w:rFonts w:ascii="Times New Roman" w:hAnsi="Times New Roman"/>
          <w:b/>
          <w:color w:val="000000"/>
          <w:sz w:val="24"/>
        </w:rPr>
        <w:t>3. Stage 2: Link Power Budget, Dispersion Penalty, and OSNR Analysis</w:t>
      </w:r>
    </w:p>
    <w:p>
      <w:pPr>
        <w:keepNext/>
        <w:spacing w:before="160" w:after="60"/>
      </w:pPr>
      <w:r>
        <w:rPr>
          <w:rFonts w:ascii="Times New Roman" w:hAnsi="Times New Roman"/>
          <w:b/>
          <w:i/>
          <w:color w:val="000000"/>
          <w:sz w:val="22"/>
        </w:rPr>
        <w:t>2.1 End-to-End Optical Link Attenuation:</w:t>
      </w:r>
    </w:p>
    <w:p>
      <w:pPr>
        <w:spacing w:after="80" w:line="276" w:lineRule="auto"/>
      </w:pPr>
      <w:r>
        <w:rPr>
          <w:rFonts w:ascii="Times New Roman" w:hAnsi="Times New Roman"/>
          <w:color w:val="000000"/>
          <w:sz w:val="22"/>
        </w:rPr>
        <w:t>The physical loss budget of the 60 km G.652.D optical fiber link is evaluated by compiling measured component losses: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3120"/>
        <w:gridCol w:w="3120"/>
        <w:gridCol w:w="3120"/>
      </w:tblGrid>
      <w:tr>
        <w:tc>
          <w:tcPr>
            <w:tcW w:type="dxa" w:w="3120"/>
            <w:tcMar>
              <w:top w:w="80" w:type="dxa"/>
              <w:bottom w:w="80" w:type="dxa"/>
              <w:left w:w="100" w:type="dxa"/>
              <w:right w:w="100" w:type="dxa"/>
            </w:tcMar>
            <w:shd w:fill="F2F2F2"/>
          </w:tcPr>
          <w:p>
            <w:pPr>
              <w:jc w:val="left"/>
            </w:pPr>
            <w:r>
              <w:rPr>
                <w:rFonts w:ascii="Times New Roman" w:hAnsi="Times New Roman"/>
                <w:b/>
                <w:sz w:val="19"/>
              </w:rPr>
              <w:t>Link Component / Physical Event</w:t>
            </w:r>
          </w:p>
        </w:tc>
        <w:tc>
          <w:tcPr>
            <w:tcW w:type="dxa" w:w="3120"/>
            <w:tcMar>
              <w:top w:w="80" w:type="dxa"/>
              <w:bottom w:w="80" w:type="dxa"/>
              <w:left w:w="100" w:type="dxa"/>
              <w:right w:w="100" w:type="dxa"/>
            </w:tcMar>
            <w:shd w:fill="F2F2F2"/>
          </w:tcPr>
          <w:p>
            <w:pPr>
              <w:jc w:val="center"/>
            </w:pPr>
            <w:r>
              <w:rPr>
                <w:rFonts w:ascii="Times New Roman" w:hAnsi="Times New Roman"/>
                <w:b/>
                <w:sz w:val="19"/>
              </w:rPr>
              <w:t>Measured Component Characteristic</w:t>
            </w:r>
          </w:p>
        </w:tc>
        <w:tc>
          <w:tcPr>
            <w:tcW w:type="dxa" w:w="3120"/>
            <w:tcMar>
              <w:top w:w="80" w:type="dxa"/>
              <w:bottom w:w="80" w:type="dxa"/>
              <w:left w:w="100" w:type="dxa"/>
              <w:right w:w="100" w:type="dxa"/>
            </w:tcMar>
            <w:shd w:fill="F2F2F2"/>
          </w:tcPr>
          <w:p>
            <w:pPr>
              <w:jc w:val="center"/>
            </w:pPr>
            <w:r>
              <w:rPr>
                <w:rFonts w:ascii="Times New Roman" w:hAnsi="Times New Roman"/>
                <w:b/>
                <w:sz w:val="19"/>
              </w:rPr>
              <w:t>Cumulative Loss Contribution</w:t>
            </w:r>
          </w:p>
        </w:tc>
      </w:tr>
      <w:tr>
        <w:tc>
          <w:tcPr>
            <w:tcW w:type="dxa" w:w="3120"/>
            <w:tcMar>
              <w:top w:w="60" w:type="dxa"/>
              <w:bottom w:w="60" w:type="dxa"/>
              <w:left w:w="100" w:type="dxa"/>
              <w:right w:w="100" w:type="dxa"/>
            </w:tcMar>
          </w:tcPr>
          <w:p>
            <w:pPr>
              <w:jc w:val="left"/>
            </w:pPr>
            <w:r>
              <w:rPr>
                <w:rFonts w:ascii="Times New Roman" w:hAnsi="Times New Roman"/>
                <w:sz w:val="18"/>
              </w:rPr>
              <w:t>Distributed Fiber Attenuation</w:t>
            </w:r>
          </w:p>
        </w:tc>
        <w:tc>
          <w:tcPr>
            <w:tcW w:type="dxa" w:w="3120"/>
            <w:tcMar>
              <w:top w:w="60" w:type="dxa"/>
              <w:bottom w:w="60" w:type="dxa"/>
              <w:left w:w="100" w:type="dxa"/>
              <w:right w:w="100" w:type="dxa"/>
            </w:tcMar>
          </w:tcPr>
          <w:p>
            <w:pPr>
              <w:jc w:val="left"/>
            </w:pPr>
            <w:r>
              <w:rPr>
                <w:rFonts w:ascii="Times New Roman" w:hAnsi="Times New Roman"/>
                <w:sz w:val="18"/>
              </w:rPr>
              <w:t>60.0 km span @ 0.21 dB/km (at 1550 nm)</w:t>
            </w:r>
          </w:p>
        </w:tc>
        <w:tc>
          <w:tcPr>
            <w:tcW w:type="dxa" w:w="3120"/>
            <w:tcMar>
              <w:top w:w="60" w:type="dxa"/>
              <w:bottom w:w="60" w:type="dxa"/>
              <w:left w:w="100" w:type="dxa"/>
              <w:right w:w="100" w:type="dxa"/>
            </w:tcMar>
          </w:tcPr>
          <w:p>
            <w:pPr>
              <w:jc w:val="center"/>
            </w:pPr>
            <w:r>
              <w:rPr>
                <w:rFonts w:ascii="Times New Roman" w:hAnsi="Times New Roman"/>
                <w:sz w:val="18"/>
              </w:rPr>
              <w:t>12.60 dB</w:t>
            </w:r>
          </w:p>
        </w:tc>
      </w:tr>
      <w:tr>
        <w:tc>
          <w:tcPr>
            <w:tcW w:type="dxa" w:w="3120"/>
            <w:tcMar>
              <w:top w:w="60" w:type="dxa"/>
              <w:bottom w:w="60" w:type="dxa"/>
              <w:left w:w="100" w:type="dxa"/>
              <w:right w:w="100" w:type="dxa"/>
            </w:tcMar>
          </w:tcPr>
          <w:p>
            <w:pPr>
              <w:jc w:val="left"/>
            </w:pPr>
            <w:r>
              <w:rPr>
                <w:rFonts w:ascii="Times New Roman" w:hAnsi="Times New Roman"/>
                <w:sz w:val="18"/>
              </w:rPr>
              <w:t>Defective Patch Connector (Event 3)</w:t>
            </w:r>
          </w:p>
        </w:tc>
        <w:tc>
          <w:tcPr>
            <w:tcW w:type="dxa" w:w="3120"/>
            <w:tcMar>
              <w:top w:w="60" w:type="dxa"/>
              <w:bottom w:w="60" w:type="dxa"/>
              <w:left w:w="100" w:type="dxa"/>
              <w:right w:w="100" w:type="dxa"/>
            </w:tcMar>
          </w:tcPr>
          <w:p>
            <w:pPr>
              <w:jc w:val="left"/>
            </w:pPr>
            <w:r>
              <w:rPr>
                <w:rFonts w:ascii="Times New Roman" w:hAnsi="Times New Roman"/>
                <w:sz w:val="18"/>
              </w:rPr>
              <w:t>High-loss, contaminated LC/UPC connector at 59.90 km</w:t>
            </w:r>
          </w:p>
        </w:tc>
        <w:tc>
          <w:tcPr>
            <w:tcW w:type="dxa" w:w="3120"/>
            <w:tcMar>
              <w:top w:w="60" w:type="dxa"/>
              <w:bottom w:w="60" w:type="dxa"/>
              <w:left w:w="100" w:type="dxa"/>
              <w:right w:w="100" w:type="dxa"/>
            </w:tcMar>
          </w:tcPr>
          <w:p>
            <w:pPr>
              <w:jc w:val="center"/>
            </w:pPr>
            <w:r>
              <w:rPr>
                <w:rFonts w:ascii="Times New Roman" w:hAnsi="Times New Roman"/>
                <w:sz w:val="18"/>
              </w:rPr>
              <w:t>1.20 dB</w:t>
            </w:r>
          </w:p>
        </w:tc>
      </w:tr>
      <w:tr>
        <w:tc>
          <w:tcPr>
            <w:tcW w:type="dxa" w:w="3120"/>
            <w:tcMar>
              <w:top w:w="60" w:type="dxa"/>
              <w:bottom w:w="60" w:type="dxa"/>
              <w:left w:w="100" w:type="dxa"/>
              <w:right w:w="100" w:type="dxa"/>
            </w:tcMar>
          </w:tcPr>
          <w:p>
            <w:pPr>
              <w:jc w:val="left"/>
            </w:pPr>
            <w:r>
              <w:rPr>
                <w:rFonts w:ascii="Times New Roman" w:hAnsi="Times New Roman"/>
                <w:sz w:val="18"/>
              </w:rPr>
              <w:t>Standard Connectors (3 mated pairs)</w:t>
            </w:r>
          </w:p>
        </w:tc>
        <w:tc>
          <w:tcPr>
            <w:tcW w:type="dxa" w:w="3120"/>
            <w:tcMar>
              <w:top w:w="60" w:type="dxa"/>
              <w:bottom w:w="60" w:type="dxa"/>
              <w:left w:w="100" w:type="dxa"/>
              <w:right w:w="100" w:type="dxa"/>
            </w:tcMar>
          </w:tcPr>
          <w:p>
            <w:pPr>
              <w:jc w:val="left"/>
            </w:pPr>
            <w:r>
              <w:rPr>
                <w:rFonts w:ascii="Times New Roman" w:hAnsi="Times New Roman"/>
                <w:sz w:val="18"/>
              </w:rPr>
              <w:t>3 connectors @ 0.50 dB each (including Event 4)</w:t>
            </w:r>
          </w:p>
        </w:tc>
        <w:tc>
          <w:tcPr>
            <w:tcW w:type="dxa" w:w="3120"/>
            <w:tcMar>
              <w:top w:w="60" w:type="dxa"/>
              <w:bottom w:w="60" w:type="dxa"/>
              <w:left w:w="100" w:type="dxa"/>
              <w:right w:w="100" w:type="dxa"/>
            </w:tcMar>
          </w:tcPr>
          <w:p>
            <w:pPr>
              <w:jc w:val="center"/>
            </w:pPr>
            <w:r>
              <w:rPr>
                <w:rFonts w:ascii="Times New Roman" w:hAnsi="Times New Roman"/>
                <w:sz w:val="18"/>
              </w:rPr>
              <w:t>1.50 dB</w:t>
            </w:r>
          </w:p>
        </w:tc>
      </w:tr>
      <w:tr>
        <w:tc>
          <w:tcPr>
            <w:tcW w:type="dxa" w:w="3120"/>
            <w:tcMar>
              <w:top w:w="60" w:type="dxa"/>
              <w:bottom w:w="60" w:type="dxa"/>
              <w:left w:w="100" w:type="dxa"/>
              <w:right w:w="100" w:type="dxa"/>
            </w:tcMar>
          </w:tcPr>
          <w:p>
            <w:pPr>
              <w:jc w:val="left"/>
            </w:pPr>
            <w:r>
              <w:rPr>
                <w:rFonts w:ascii="Times New Roman" w:hAnsi="Times New Roman"/>
                <w:sz w:val="18"/>
              </w:rPr>
              <w:t>Standard Fusion Splices (12 splices)</w:t>
            </w:r>
          </w:p>
        </w:tc>
        <w:tc>
          <w:tcPr>
            <w:tcW w:type="dxa" w:w="3120"/>
            <w:tcMar>
              <w:top w:w="60" w:type="dxa"/>
              <w:bottom w:w="60" w:type="dxa"/>
              <w:left w:w="100" w:type="dxa"/>
              <w:right w:w="100" w:type="dxa"/>
            </w:tcMar>
          </w:tcPr>
          <w:p>
            <w:pPr>
              <w:jc w:val="left"/>
            </w:pPr>
            <w:r>
              <w:rPr>
                <w:rFonts w:ascii="Times New Roman" w:hAnsi="Times New Roman"/>
                <w:sz w:val="18"/>
              </w:rPr>
              <w:t>12 factory/field fusion splices @ 0.05 dB each</w:t>
            </w:r>
          </w:p>
        </w:tc>
        <w:tc>
          <w:tcPr>
            <w:tcW w:type="dxa" w:w="3120"/>
            <w:tcMar>
              <w:top w:w="60" w:type="dxa"/>
              <w:bottom w:w="60" w:type="dxa"/>
              <w:left w:w="100" w:type="dxa"/>
              <w:right w:w="100" w:type="dxa"/>
            </w:tcMar>
          </w:tcPr>
          <w:p>
            <w:pPr>
              <w:jc w:val="center"/>
            </w:pPr>
            <w:r>
              <w:rPr>
                <w:rFonts w:ascii="Times New Roman" w:hAnsi="Times New Roman"/>
                <w:sz w:val="18"/>
              </w:rPr>
              <w:t>0.60 dB</w:t>
            </w:r>
          </w:p>
        </w:tc>
      </w:tr>
      <w:tr>
        <w:tc>
          <w:tcPr>
            <w:tcW w:type="dxa" w:w="3120"/>
            <w:tcMar>
              <w:top w:w="60" w:type="dxa"/>
              <w:bottom w:w="60" w:type="dxa"/>
              <w:left w:w="100" w:type="dxa"/>
              <w:right w:w="100" w:type="dxa"/>
            </w:tcMar>
          </w:tcPr>
          <w:p>
            <w:pPr>
              <w:jc w:val="left"/>
            </w:pPr>
            <w:r>
              <w:rPr>
                <w:rFonts w:ascii="Times New Roman" w:hAnsi="Times New Roman"/>
                <w:sz w:val="18"/>
              </w:rPr>
              <w:t>Degraded Mechanical Splice (Event 2)</w:t>
            </w:r>
          </w:p>
        </w:tc>
        <w:tc>
          <w:tcPr>
            <w:tcW w:type="dxa" w:w="3120"/>
            <w:tcMar>
              <w:top w:w="60" w:type="dxa"/>
              <w:bottom w:w="60" w:type="dxa"/>
              <w:left w:w="100" w:type="dxa"/>
              <w:right w:w="100" w:type="dxa"/>
            </w:tcMar>
          </w:tcPr>
          <w:p>
            <w:pPr>
              <w:jc w:val="left"/>
            </w:pPr>
            <w:r>
              <w:rPr>
                <w:rFonts w:ascii="Times New Roman" w:hAnsi="Times New Roman"/>
                <w:sz w:val="18"/>
              </w:rPr>
              <w:t>Improper temporary splice at 31.50 km</w:t>
            </w:r>
          </w:p>
        </w:tc>
        <w:tc>
          <w:tcPr>
            <w:tcW w:type="dxa" w:w="3120"/>
            <w:tcMar>
              <w:top w:w="60" w:type="dxa"/>
              <w:bottom w:w="60" w:type="dxa"/>
              <w:left w:w="100" w:type="dxa"/>
              <w:right w:w="100" w:type="dxa"/>
            </w:tcMar>
          </w:tcPr>
          <w:p>
            <w:pPr>
              <w:jc w:val="center"/>
            </w:pPr>
            <w:r>
              <w:rPr>
                <w:rFonts w:ascii="Times New Roman" w:hAnsi="Times New Roman"/>
                <w:sz w:val="18"/>
              </w:rPr>
              <w:t>0.62 dB</w:t>
            </w:r>
          </w:p>
        </w:tc>
      </w:tr>
      <w:tr>
        <w:tc>
          <w:tcPr>
            <w:tcW w:type="dxa" w:w="3120"/>
            <w:tcMar>
              <w:top w:w="60" w:type="dxa"/>
              <w:bottom w:w="60" w:type="dxa"/>
              <w:left w:w="100" w:type="dxa"/>
              <w:right w:w="100" w:type="dxa"/>
            </w:tcMar>
          </w:tcPr>
          <w:p>
            <w:pPr>
              <w:jc w:val="left"/>
            </w:pPr>
            <w:r>
              <w:rPr>
                <w:rFonts w:ascii="Times New Roman" w:hAnsi="Times New Roman"/>
                <w:b/>
                <w:sz w:val="18"/>
              </w:rPr>
              <w:t>Total Measured As-Built Link Loss</w:t>
            </w:r>
          </w:p>
        </w:tc>
        <w:tc>
          <w:tcPr>
            <w:tcW w:type="dxa" w:w="3120"/>
            <w:tcMar>
              <w:top w:w="60" w:type="dxa"/>
              <w:bottom w:w="60" w:type="dxa"/>
              <w:left w:w="100" w:type="dxa"/>
              <w:right w:w="100" w:type="dxa"/>
            </w:tcMar>
          </w:tcPr>
          <w:p>
            <w:pPr>
              <w:jc w:val="left"/>
            </w:pPr>
            <w:r>
              <w:rPr>
                <w:rFonts w:ascii="Times New Roman" w:hAnsi="Times New Roman"/>
                <w:b/>
                <w:sz w:val="18"/>
              </w:rPr>
              <w:t>Sum of all measured physical loss elements</w:t>
            </w:r>
          </w:p>
        </w:tc>
        <w:tc>
          <w:tcPr>
            <w:tcW w:type="dxa" w:w="3120"/>
            <w:tcMar>
              <w:top w:w="60" w:type="dxa"/>
              <w:bottom w:w="60" w:type="dxa"/>
              <w:left w:w="100" w:type="dxa"/>
              <w:right w:w="100" w:type="dxa"/>
            </w:tcMar>
          </w:tcPr>
          <w:p>
            <w:pPr>
              <w:jc w:val="center"/>
            </w:pPr>
            <w:r>
              <w:rPr>
                <w:rFonts w:ascii="Times New Roman" w:hAnsi="Times New Roman"/>
                <w:b/>
                <w:sz w:val="18"/>
              </w:rPr>
              <w:t>16.52 dB</w:t>
            </w:r>
          </w:p>
        </w:tc>
      </w:tr>
      <w:tr>
        <w:tc>
          <w:tcPr>
            <w:tcW w:type="dxa" w:w="3120"/>
            <w:tcMar>
              <w:top w:w="60" w:type="dxa"/>
              <w:bottom w:w="60" w:type="dxa"/>
              <w:left w:w="100" w:type="dxa"/>
              <w:right w:w="100" w:type="dxa"/>
            </w:tcMar>
          </w:tcPr>
          <w:p>
            <w:pPr>
              <w:jc w:val="left"/>
            </w:pPr>
            <w:r>
              <w:rPr>
                <w:rFonts w:ascii="Times New Roman" w:hAnsi="Times New Roman"/>
                <w:b/>
                <w:sz w:val="18"/>
              </w:rPr>
              <w:t>Target Link Loss (Post-Repair)</w:t>
            </w:r>
          </w:p>
        </w:tc>
        <w:tc>
          <w:tcPr>
            <w:tcW w:type="dxa" w:w="3120"/>
            <w:tcMar>
              <w:top w:w="60" w:type="dxa"/>
              <w:bottom w:w="60" w:type="dxa"/>
              <w:left w:w="100" w:type="dxa"/>
              <w:right w:w="100" w:type="dxa"/>
            </w:tcMar>
          </w:tcPr>
          <w:p>
            <w:pPr>
              <w:jc w:val="left"/>
            </w:pPr>
            <w:r>
              <w:rPr>
                <w:rFonts w:ascii="Times New Roman" w:hAnsi="Times New Roman"/>
                <w:b/>
                <w:sz w:val="18"/>
              </w:rPr>
              <w:t>Events 2 &amp; 3 replaced (13 splices @ 0.05 dB + 4 conn @ 0.50 dB)</w:t>
            </w:r>
          </w:p>
        </w:tc>
        <w:tc>
          <w:tcPr>
            <w:tcW w:type="dxa" w:w="3120"/>
            <w:tcMar>
              <w:top w:w="60" w:type="dxa"/>
              <w:bottom w:w="60" w:type="dxa"/>
              <w:left w:w="100" w:type="dxa"/>
              <w:right w:w="100" w:type="dxa"/>
            </w:tcMar>
          </w:tcPr>
          <w:p>
            <w:pPr>
              <w:jc w:val="center"/>
            </w:pPr>
            <w:r>
              <w:rPr>
                <w:rFonts w:ascii="Times New Roman" w:hAnsi="Times New Roman"/>
                <w:b/>
                <w:sz w:val="18"/>
              </w:rPr>
              <w:t>15.25 dB</w:t>
            </w:r>
          </w:p>
        </w:tc>
      </w:tr>
    </w:tbl>
    <w:p>
      <w:pPr>
        <w:spacing w:before="80" w:after="80"/>
      </w:pPr>
    </w:p>
    <w:p>
      <w:pPr>
        <w:spacing w:after="80" w:line="276" w:lineRule="auto"/>
      </w:pPr>
      <w:r>
        <w:rPr>
          <w:rFonts w:ascii="Times New Roman" w:hAnsi="Times New Roman"/>
          <w:color w:val="000000"/>
          <w:sz w:val="22"/>
        </w:rPr>
        <w:t>Analysis of Loss Discrepancy: The as-built component sum of 16.52 dB exceeds the 15.25 dB design allowance by 1.27 dB, directly attributable to the defective connector (+0.70 dB excess) and mechanical splice (+0.57 dB excess). Rebuilding these two faulty interfaces restores total loss to 15.25 dB. The case sheet's secondary citation of 22.52 dB contains a 6.00 dB discrepancy that must be reconciled during commissioning recalibration.</w:t>
      </w:r>
    </w:p>
    <w:p>
      <w:pPr>
        <w:keepNext/>
        <w:spacing w:before="160" w:after="60"/>
      </w:pPr>
      <w:r>
        <w:rPr>
          <w:rFonts w:ascii="Times New Roman" w:hAnsi="Times New Roman"/>
          <w:b/>
          <w:i/>
          <w:color w:val="000000"/>
          <w:sz w:val="22"/>
        </w:rPr>
        <w:t>2.2 Incident Power, Transmission Penalties, and System Margin:</w:t>
      </w:r>
    </w:p>
    <w:p>
      <w:pPr>
        <w:spacing w:after="80" w:line="276" w:lineRule="auto"/>
      </w:pPr>
      <w:r>
        <w:rPr>
          <w:rFonts w:ascii="Times New Roman" w:hAnsi="Times New Roman"/>
          <w:color w:val="000000"/>
          <w:sz w:val="22"/>
        </w:rPr>
        <w:t>Transmitter launch power is calibrated to P_tx = +1.0 dBm per channel. Prior to repair, the unpenalized received optical power is P_rx = +1.0 dBm - 16.52 dB = -15.52 dBm per channel. Following repair, the incident power improves to P_rx = +1.0 dBm - 15.25 dB = -14.25 dBm per channel.</w:t>
      </w:r>
    </w:p>
    <w:p>
      <w:pPr>
        <w:spacing w:after="80" w:line="276" w:lineRule="auto"/>
      </w:pPr>
      <w:r>
        <w:rPr>
          <w:rFonts w:ascii="Times New Roman" w:hAnsi="Times New Roman"/>
          <w:color w:val="000000"/>
          <w:sz w:val="22"/>
        </w:rPr>
        <w:t xml:space="preserve">1. Chromatic Dispersion Penalty Derivation: </w:t>
        <w:br/>
        <w:t xml:space="preserve">   Using the provided empirical dispersion penalty expression:</w:t>
        <w:br/>
        <w:t xml:space="preserve">   δ_CD = 5 * log10[1 + (2 * π * B * D * L * σ_λ)^2]</w:t>
        <w:br/>
        <w:t xml:space="preserve">   where data rate B = 10 Gb/s = 10 × 10^9 b/s, fiber dispersion D = 17.0 ps/(nm·km), link length L = 60.0 km, and source RMS spectral width σ_λ = 0.03 nm.</w:t>
        <w:br/>
        <w:t xml:space="preserve">   • Cumulative Dispersion Delay: D * L * σ_λ = 17.0 ps/(nm·km) * 60.0 km * 0.03 nm = 30.60 ps = 0.0306 ns.</w:t>
        <w:br/>
        <w:t xml:space="preserve">   • Normalized Parameter: B * D * L * σ_λ = (10 × 10^9 s^-1) * (30.60 × 10^-12 s) = 0.3060.</w:t>
        <w:br/>
        <w:t xml:space="preserve">   • Frequency Product: 2 * π * 0.3060 = 1.92265.</w:t>
        <w:br/>
        <w:t xml:space="preserve">   • Squared Term: (1.92265)^2 = 3.6966.</w:t>
        <w:br/>
        <w:t xml:space="preserve">   • Penalty Calculation: δ_CD = 5 * log10[1 + 3.6966] = 5 * log10(4.6966) = 5 * 0.67178 = 3.3589 dB ≈ 3.36 dB.</w:t>
      </w:r>
    </w:p>
    <w:p>
      <w:pPr>
        <w:spacing w:after="80" w:line="276" w:lineRule="auto"/>
      </w:pPr>
      <w:r>
        <w:rPr>
          <w:rFonts w:ascii="Times New Roman" w:hAnsi="Times New Roman"/>
          <w:color w:val="000000"/>
          <w:sz w:val="22"/>
        </w:rPr>
        <w:t xml:space="preserve">2. Extinction Ratio (ER) Penalty Derivation: </w:t>
        <w:br/>
        <w:t xml:space="preserve">   A finite extinction ratio elevates the optical '0' power rail, closing the eye and degrading receiver decision thresholds. The power penalty is modeled by:</w:t>
        <w:br/>
        <w:t xml:space="preserve">   Penalty_ER ≈ 10 * log10[(r + 1) / (r - 1)], where linear ratio r = 10^(ER / 10).</w:t>
        <w:br/>
        <w:t xml:space="preserve">   • Healthy Channel 3 (ER = 9.0 dB): r = 10^(9.0 / 10) = 7.9433.</w:t>
        <w:br/>
        <w:t xml:space="preserve">     Penalty_ER(Ch3) = 10 * log10[(7.9433 + 1) / (7.9433 - 1)] = 10 * log10[8.9433 / 6.9433] = 10 * log10(1.2880) = 1.099 dB ≈ 1.10 dB.</w:t>
        <w:br/>
        <w:t xml:space="preserve">   • Degraded Channel 5 (ER = 4.5 dB): r = 10^(4.5 / 10) = 2.8184.</w:t>
        <w:br/>
        <w:t xml:space="preserve">     Penalty_ER(Ch5) = 10 * log10[(2.8184 + 1) / (2.8184 - 1)] = 10 * log10[3.8184 / 1.8184] = 10 * log10(2.0999) = 3.222 dB ≈ 3.22 dB.</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3120"/>
        <w:gridCol w:w="3120"/>
        <w:gridCol w:w="3120"/>
      </w:tblGrid>
      <w:tr>
        <w:tc>
          <w:tcPr>
            <w:tcW w:type="dxa" w:w="3120"/>
            <w:tcMar>
              <w:top w:w="80" w:type="dxa"/>
              <w:bottom w:w="80" w:type="dxa"/>
              <w:left w:w="100" w:type="dxa"/>
              <w:right w:w="100" w:type="dxa"/>
            </w:tcMar>
            <w:shd w:fill="F2F2F2"/>
          </w:tcPr>
          <w:p>
            <w:pPr>
              <w:jc w:val="left"/>
            </w:pPr>
            <w:r>
              <w:rPr>
                <w:rFonts w:ascii="Times New Roman" w:hAnsi="Times New Roman"/>
                <w:b/>
                <w:sz w:val="19"/>
              </w:rPr>
              <w:t>Transmission Parameter</w:t>
            </w:r>
          </w:p>
        </w:tc>
        <w:tc>
          <w:tcPr>
            <w:tcW w:type="dxa" w:w="3120"/>
            <w:tcMar>
              <w:top w:w="80" w:type="dxa"/>
              <w:bottom w:w="80" w:type="dxa"/>
              <w:left w:w="100" w:type="dxa"/>
              <w:right w:w="100" w:type="dxa"/>
            </w:tcMar>
            <w:shd w:fill="F2F2F2"/>
          </w:tcPr>
          <w:p>
            <w:pPr>
              <w:jc w:val="center"/>
            </w:pPr>
            <w:r>
              <w:rPr>
                <w:rFonts w:ascii="Times New Roman" w:hAnsi="Times New Roman"/>
                <w:b/>
                <w:sz w:val="19"/>
              </w:rPr>
              <w:t>Healthy Reference: Channel 3</w:t>
            </w:r>
          </w:p>
        </w:tc>
        <w:tc>
          <w:tcPr>
            <w:tcW w:type="dxa" w:w="3120"/>
            <w:tcMar>
              <w:top w:w="80" w:type="dxa"/>
              <w:bottom w:w="80" w:type="dxa"/>
              <w:left w:w="100" w:type="dxa"/>
              <w:right w:w="100" w:type="dxa"/>
            </w:tcMar>
            <w:shd w:fill="F2F2F2"/>
          </w:tcPr>
          <w:p>
            <w:pPr>
              <w:jc w:val="center"/>
            </w:pPr>
            <w:r>
              <w:rPr>
                <w:rFonts w:ascii="Times New Roman" w:hAnsi="Times New Roman"/>
                <w:b/>
                <w:sz w:val="19"/>
              </w:rPr>
              <w:t>Degraded Interface: Channel 5</w:t>
            </w:r>
          </w:p>
        </w:tc>
      </w:tr>
      <w:tr>
        <w:tc>
          <w:tcPr>
            <w:tcW w:type="dxa" w:w="3120"/>
            <w:tcMar>
              <w:top w:w="60" w:type="dxa"/>
              <w:bottom w:w="60" w:type="dxa"/>
              <w:left w:w="100" w:type="dxa"/>
              <w:right w:w="100" w:type="dxa"/>
            </w:tcMar>
          </w:tcPr>
          <w:p>
            <w:pPr>
              <w:jc w:val="left"/>
            </w:pPr>
            <w:r>
              <w:rPr>
                <w:rFonts w:ascii="Times New Roman" w:hAnsi="Times New Roman"/>
                <w:sz w:val="18"/>
              </w:rPr>
              <w:t>Post-Repair Incident Optical Power</w:t>
            </w:r>
          </w:p>
        </w:tc>
        <w:tc>
          <w:tcPr>
            <w:tcW w:type="dxa" w:w="3120"/>
            <w:tcMar>
              <w:top w:w="60" w:type="dxa"/>
              <w:bottom w:w="60" w:type="dxa"/>
              <w:left w:w="100" w:type="dxa"/>
              <w:right w:w="100" w:type="dxa"/>
            </w:tcMar>
          </w:tcPr>
          <w:p>
            <w:pPr>
              <w:jc w:val="center"/>
            </w:pPr>
            <w:r>
              <w:rPr>
                <w:rFonts w:ascii="Times New Roman" w:hAnsi="Times New Roman"/>
                <w:sz w:val="18"/>
              </w:rPr>
              <w:t>-14.25 dBm per channel</w:t>
            </w:r>
          </w:p>
        </w:tc>
        <w:tc>
          <w:tcPr>
            <w:tcW w:type="dxa" w:w="3120"/>
            <w:tcMar>
              <w:top w:w="60" w:type="dxa"/>
              <w:bottom w:w="60" w:type="dxa"/>
              <w:left w:w="100" w:type="dxa"/>
              <w:right w:w="100" w:type="dxa"/>
            </w:tcMar>
          </w:tcPr>
          <w:p>
            <w:pPr>
              <w:jc w:val="center"/>
            </w:pPr>
            <w:r>
              <w:rPr>
                <w:rFonts w:ascii="Times New Roman" w:hAnsi="Times New Roman"/>
                <w:sz w:val="18"/>
              </w:rPr>
              <w:t>-14.25 dBm per channel</w:t>
            </w:r>
          </w:p>
        </w:tc>
      </w:tr>
      <w:tr>
        <w:tc>
          <w:tcPr>
            <w:tcW w:type="dxa" w:w="3120"/>
            <w:tcMar>
              <w:top w:w="60" w:type="dxa"/>
              <w:bottom w:w="60" w:type="dxa"/>
              <w:left w:w="100" w:type="dxa"/>
              <w:right w:w="100" w:type="dxa"/>
            </w:tcMar>
          </w:tcPr>
          <w:p>
            <w:pPr>
              <w:jc w:val="left"/>
            </w:pPr>
            <w:r>
              <w:rPr>
                <w:rFonts w:ascii="Times New Roman" w:hAnsi="Times New Roman"/>
                <w:sz w:val="18"/>
              </w:rPr>
              <w:t>Chromatic Dispersion Penalty (δ_CD)</w:t>
            </w:r>
          </w:p>
        </w:tc>
        <w:tc>
          <w:tcPr>
            <w:tcW w:type="dxa" w:w="3120"/>
            <w:tcMar>
              <w:top w:w="60" w:type="dxa"/>
              <w:bottom w:w="60" w:type="dxa"/>
              <w:left w:w="100" w:type="dxa"/>
              <w:right w:w="100" w:type="dxa"/>
            </w:tcMar>
          </w:tcPr>
          <w:p>
            <w:pPr>
              <w:jc w:val="center"/>
            </w:pPr>
            <w:r>
              <w:rPr>
                <w:rFonts w:ascii="Times New Roman" w:hAnsi="Times New Roman"/>
                <w:sz w:val="18"/>
              </w:rPr>
              <w:t>3.36 dB</w:t>
            </w:r>
          </w:p>
        </w:tc>
        <w:tc>
          <w:tcPr>
            <w:tcW w:type="dxa" w:w="3120"/>
            <w:tcMar>
              <w:top w:w="60" w:type="dxa"/>
              <w:bottom w:w="60" w:type="dxa"/>
              <w:left w:w="100" w:type="dxa"/>
              <w:right w:w="100" w:type="dxa"/>
            </w:tcMar>
          </w:tcPr>
          <w:p>
            <w:pPr>
              <w:jc w:val="center"/>
            </w:pPr>
            <w:r>
              <w:rPr>
                <w:rFonts w:ascii="Times New Roman" w:hAnsi="Times New Roman"/>
                <w:sz w:val="18"/>
              </w:rPr>
              <w:t>3.36 dB</w:t>
            </w:r>
          </w:p>
        </w:tc>
      </w:tr>
      <w:tr>
        <w:tc>
          <w:tcPr>
            <w:tcW w:type="dxa" w:w="3120"/>
            <w:tcMar>
              <w:top w:w="60" w:type="dxa"/>
              <w:bottom w:w="60" w:type="dxa"/>
              <w:left w:w="100" w:type="dxa"/>
              <w:right w:w="100" w:type="dxa"/>
            </w:tcMar>
          </w:tcPr>
          <w:p>
            <w:pPr>
              <w:jc w:val="left"/>
            </w:pPr>
            <w:r>
              <w:rPr>
                <w:rFonts w:ascii="Times New Roman" w:hAnsi="Times New Roman"/>
                <w:sz w:val="18"/>
              </w:rPr>
              <w:t>Extinction Ratio Power Penalty</w:t>
            </w:r>
          </w:p>
        </w:tc>
        <w:tc>
          <w:tcPr>
            <w:tcW w:type="dxa" w:w="3120"/>
            <w:tcMar>
              <w:top w:w="60" w:type="dxa"/>
              <w:bottom w:w="60" w:type="dxa"/>
              <w:left w:w="100" w:type="dxa"/>
              <w:right w:w="100" w:type="dxa"/>
            </w:tcMar>
          </w:tcPr>
          <w:p>
            <w:pPr>
              <w:jc w:val="center"/>
            </w:pPr>
            <w:r>
              <w:rPr>
                <w:rFonts w:ascii="Times New Roman" w:hAnsi="Times New Roman"/>
                <w:sz w:val="18"/>
              </w:rPr>
              <w:t>1.10 dB (at ER = 9.0 dB)</w:t>
            </w:r>
          </w:p>
        </w:tc>
        <w:tc>
          <w:tcPr>
            <w:tcW w:type="dxa" w:w="3120"/>
            <w:tcMar>
              <w:top w:w="60" w:type="dxa"/>
              <w:bottom w:w="60" w:type="dxa"/>
              <w:left w:w="100" w:type="dxa"/>
              <w:right w:w="100" w:type="dxa"/>
            </w:tcMar>
          </w:tcPr>
          <w:p>
            <w:pPr>
              <w:jc w:val="center"/>
            </w:pPr>
            <w:r>
              <w:rPr>
                <w:rFonts w:ascii="Times New Roman" w:hAnsi="Times New Roman"/>
                <w:sz w:val="18"/>
              </w:rPr>
              <w:t>3.22 dB (at ER = 4.5 dB)</w:t>
            </w:r>
          </w:p>
        </w:tc>
      </w:tr>
      <w:tr>
        <w:tc>
          <w:tcPr>
            <w:tcW w:type="dxa" w:w="3120"/>
            <w:tcMar>
              <w:top w:w="60" w:type="dxa"/>
              <w:bottom w:w="60" w:type="dxa"/>
              <w:left w:w="100" w:type="dxa"/>
              <w:right w:w="100" w:type="dxa"/>
            </w:tcMar>
          </w:tcPr>
          <w:p>
            <w:pPr>
              <w:jc w:val="left"/>
            </w:pPr>
            <w:r>
              <w:rPr>
                <w:rFonts w:ascii="Times New Roman" w:hAnsi="Times New Roman"/>
                <w:sz w:val="18"/>
              </w:rPr>
              <w:t>Effective Power (Post-Penalties)</w:t>
            </w:r>
          </w:p>
        </w:tc>
        <w:tc>
          <w:tcPr>
            <w:tcW w:type="dxa" w:w="3120"/>
            <w:tcMar>
              <w:top w:w="60" w:type="dxa"/>
              <w:bottom w:w="60" w:type="dxa"/>
              <w:left w:w="100" w:type="dxa"/>
              <w:right w:w="100" w:type="dxa"/>
            </w:tcMar>
          </w:tcPr>
          <w:p>
            <w:pPr>
              <w:jc w:val="center"/>
            </w:pPr>
            <w:r>
              <w:rPr>
                <w:rFonts w:ascii="Times New Roman" w:hAnsi="Times New Roman"/>
                <w:sz w:val="18"/>
              </w:rPr>
              <w:t>-18.71 dBm</w:t>
            </w:r>
          </w:p>
        </w:tc>
        <w:tc>
          <w:tcPr>
            <w:tcW w:type="dxa" w:w="3120"/>
            <w:tcMar>
              <w:top w:w="60" w:type="dxa"/>
              <w:bottom w:w="60" w:type="dxa"/>
              <w:left w:w="100" w:type="dxa"/>
              <w:right w:w="100" w:type="dxa"/>
            </w:tcMar>
          </w:tcPr>
          <w:p>
            <w:pPr>
              <w:jc w:val="center"/>
            </w:pPr>
            <w:r>
              <w:rPr>
                <w:rFonts w:ascii="Times New Roman" w:hAnsi="Times New Roman"/>
                <w:sz w:val="18"/>
              </w:rPr>
              <w:t>-20.83 dBm</w:t>
            </w:r>
          </w:p>
        </w:tc>
      </w:tr>
      <w:tr>
        <w:tc>
          <w:tcPr>
            <w:tcW w:type="dxa" w:w="3120"/>
            <w:tcMar>
              <w:top w:w="60" w:type="dxa"/>
              <w:bottom w:w="60" w:type="dxa"/>
              <w:left w:w="100" w:type="dxa"/>
              <w:right w:w="100" w:type="dxa"/>
            </w:tcMar>
          </w:tcPr>
          <w:p>
            <w:pPr>
              <w:jc w:val="left"/>
            </w:pPr>
            <w:r>
              <w:rPr>
                <w:rFonts w:ascii="Times New Roman" w:hAnsi="Times New Roman"/>
                <w:b/>
                <w:sz w:val="18"/>
              </w:rPr>
              <w:t>Operating Margin vs. -24.0 dBm Sensitivity</w:t>
            </w:r>
          </w:p>
        </w:tc>
        <w:tc>
          <w:tcPr>
            <w:tcW w:type="dxa" w:w="3120"/>
            <w:tcMar>
              <w:top w:w="60" w:type="dxa"/>
              <w:bottom w:w="60" w:type="dxa"/>
              <w:left w:w="100" w:type="dxa"/>
              <w:right w:w="100" w:type="dxa"/>
            </w:tcMar>
          </w:tcPr>
          <w:p>
            <w:pPr>
              <w:jc w:val="center"/>
            </w:pPr>
            <w:r>
              <w:rPr>
                <w:rFonts w:ascii="Times New Roman" w:hAnsi="Times New Roman"/>
                <w:b/>
                <w:sz w:val="18"/>
              </w:rPr>
              <w:t>5.29 dB (PASS: Exceeds ≥ 3.0 dB)</w:t>
            </w:r>
          </w:p>
        </w:tc>
        <w:tc>
          <w:tcPr>
            <w:tcW w:type="dxa" w:w="3120"/>
            <w:tcMar>
              <w:top w:w="60" w:type="dxa"/>
              <w:bottom w:w="60" w:type="dxa"/>
              <w:left w:w="100" w:type="dxa"/>
              <w:right w:w="100" w:type="dxa"/>
            </w:tcMar>
          </w:tcPr>
          <w:p>
            <w:pPr>
              <w:jc w:val="center"/>
            </w:pPr>
            <w:r>
              <w:rPr>
                <w:rFonts w:ascii="Times New Roman" w:hAnsi="Times New Roman"/>
                <w:b/>
                <w:sz w:val="18"/>
              </w:rPr>
              <w:t>3.17 dB (FAIL: ER violates ≥ 8.2 dB criterion)</w:t>
            </w:r>
          </w:p>
        </w:tc>
      </w:tr>
    </w:tbl>
    <w:p>
      <w:pPr>
        <w:spacing w:before="80" w:after="80"/>
      </w:pPr>
    </w:p>
    <w:p>
      <w:pPr>
        <w:spacing w:after="80" w:line="276" w:lineRule="auto"/>
      </w:pPr>
      <w:r>
        <w:rPr>
          <w:rFonts w:ascii="Times New Roman" w:hAnsi="Times New Roman"/>
          <w:color w:val="000000"/>
          <w:sz w:val="22"/>
        </w:rPr>
        <w:t>Engineering Quality Verdict: Channel 5 cannot be accepted despite showing a mathematical margin of 3.17 dB. The manufacturer receiver sensitivity specification of -24.0 dBm is valid ONLY when the optical extinction ratio satisfies ER ≥ 8.2 dB. At ER = 4.5 dB, the receiver decision threshold experiences severe vertical eye closure, rendering the sensitivity benchmark invalid.</w:t>
      </w:r>
    </w:p>
    <w:p>
      <w:pPr>
        <w:keepNext/>
        <w:spacing w:before="160" w:after="60"/>
      </w:pPr>
      <w:r>
        <w:rPr>
          <w:rFonts w:ascii="Times New Roman" w:hAnsi="Times New Roman"/>
          <w:b/>
          <w:i/>
          <w:color w:val="000000"/>
          <w:sz w:val="22"/>
        </w:rPr>
        <w:t>2.3 OSNR Budget &amp; Polarization Mode Dispersion (PMD):</w:t>
      </w:r>
    </w:p>
    <w:p>
      <w:pPr>
        <w:spacing w:after="80" w:line="276" w:lineRule="auto"/>
      </w:pPr>
      <w:r>
        <w:rPr>
          <w:rFonts w:ascii="Times New Roman" w:hAnsi="Times New Roman"/>
          <w:color w:val="000000"/>
          <w:sz w:val="22"/>
        </w:rPr>
        <w:t>Using the provided EDFA amplified spontaneous emission relation (evaluated in a 0.10 nm reference bandwidth):</w:t>
        <w:br/>
        <w:t>OSNR = 58.0 + P_in(dBm) - NF(dB)</w:t>
        <w:br/>
        <w:t>With optical input power to the pre-amplifier P_in = -6.0 dBm and amplifier noise figure NF = 5.0 dB:</w:t>
        <w:br/>
        <w:t>OSNR = 58.0 + (-6.0) - 5.0 = 47.0 dB.</w:t>
        <w:br/>
        <w:t>The achieved OSNR of 47.0 dB exceeds the minimum regulatory 20.0 dB threshold by 27.0 dB, confirming that optical amplifier noise is NOT the root cause of link impairment.</w:t>
      </w:r>
    </w:p>
    <w:p>
      <w:pPr>
        <w:spacing w:after="80" w:line="276" w:lineRule="auto"/>
      </w:pPr>
      <w:r>
        <w:rPr>
          <w:rFonts w:ascii="Times New Roman" w:hAnsi="Times New Roman"/>
          <w:color w:val="000000"/>
          <w:sz w:val="22"/>
        </w:rPr>
        <w:t>Polarization Mode Dispersion (PMD) across the 60 km link with PMD coefficient D_PMD = 0.10 ps/√km is:</w:t>
        <w:br/>
        <w:t>Δτ_PMD = D_PMD * sqrt(L) = 0.10 * sqrt(60.0) = 0.10 * 7.746 = 0.775 ps.</w:t>
        <w:br/>
        <w:t>For 10 Gb/s transmission (bit period T_b = 100 ps), the allowable PMD threshold is 0.10 * T_b = 10.0 ps. Because 0.775 ps &lt;&lt; 10.0 ps, PMD induces negligible power penalties (&lt; 0.1 dB).</w:t>
      </w: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1 (Physical Remediation Priority): Prioritize physical repair of the excessive splice loss (Event 2) and reflective connector loss (Event 3) to recover 1.27 dB of optical power margin, followed immediately by correcting the Channel 5 transmitter optical path to restore ER ≥ 8.2 dB. Amplifier OSNR (47 dB) and link PMD (0.775 ps) are fully compliant.</w:t>
      </w:r>
    </w:p>
    <w:p>
      <w:pPr>
        <w:keepNext/>
        <w:spacing w:before="240" w:after="80"/>
      </w:pPr>
      <w:r>
        <w:rPr>
          <w:rFonts w:ascii="Times New Roman" w:hAnsi="Times New Roman"/>
          <w:b/>
          <w:color w:val="000000"/>
          <w:sz w:val="24"/>
        </w:rPr>
        <w:t>4. Stage 3: OTDR Fault Localization, Pulse Width Sizing, and Interface Remediation</w:t>
      </w:r>
    </w:p>
    <w:p>
      <w:pPr>
        <w:spacing w:after="80" w:line="276" w:lineRule="auto"/>
      </w:pPr>
      <w:r>
        <w:rPr>
          <w:rFonts w:ascii="Times New Roman" w:hAnsi="Times New Roman"/>
          <w:color w:val="000000"/>
          <w:sz w:val="22"/>
        </w:rPr>
        <w:t>Selecting the appropriate OTDR pulse width requires matching the measurement dynamic range against link attenuation (16.52 dB + 6.0 dB measurement margin = 22.52 dB required) while ensuring spatial dead zones can resolve closely spaced events.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1872"/>
        <w:gridCol w:w="1872"/>
        <w:gridCol w:w="1872"/>
        <w:gridCol w:w="1872"/>
        <w:gridCol w:w="1872"/>
      </w:tblGrid>
      <w:tr>
        <w:tc>
          <w:tcPr>
            <w:tcW w:type="dxa" w:w="1872"/>
            <w:tcMar>
              <w:top w:w="80" w:type="dxa"/>
              <w:bottom w:w="80" w:type="dxa"/>
              <w:left w:w="100" w:type="dxa"/>
              <w:right w:w="100" w:type="dxa"/>
            </w:tcMar>
            <w:shd w:fill="F2F2F2"/>
          </w:tcPr>
          <w:p>
            <w:pPr>
              <w:jc w:val="center"/>
            </w:pPr>
            <w:r>
              <w:rPr>
                <w:rFonts w:ascii="Times New Roman" w:hAnsi="Times New Roman"/>
                <w:b/>
                <w:sz w:val="19"/>
              </w:rPr>
              <w:t>Pulse Width (τ)</w:t>
            </w:r>
          </w:p>
        </w:tc>
        <w:tc>
          <w:tcPr>
            <w:tcW w:type="dxa" w:w="1872"/>
            <w:tcMar>
              <w:top w:w="80" w:type="dxa"/>
              <w:bottom w:w="80" w:type="dxa"/>
              <w:left w:w="100" w:type="dxa"/>
              <w:right w:w="100" w:type="dxa"/>
            </w:tcMar>
            <w:shd w:fill="F2F2F2"/>
          </w:tcPr>
          <w:p>
            <w:pPr>
              <w:jc w:val="center"/>
            </w:pPr>
            <w:r>
              <w:rPr>
                <w:rFonts w:ascii="Times New Roman" w:hAnsi="Times New Roman"/>
                <w:b/>
                <w:sz w:val="19"/>
              </w:rPr>
              <w:t>Dynamic Range</w:t>
            </w:r>
          </w:p>
        </w:tc>
        <w:tc>
          <w:tcPr>
            <w:tcW w:type="dxa" w:w="1872"/>
            <w:tcMar>
              <w:top w:w="80" w:type="dxa"/>
              <w:bottom w:w="80" w:type="dxa"/>
              <w:left w:w="100" w:type="dxa"/>
              <w:right w:w="100" w:type="dxa"/>
            </w:tcMar>
            <w:shd w:fill="F2F2F2"/>
          </w:tcPr>
          <w:p>
            <w:pPr>
              <w:jc w:val="center"/>
            </w:pPr>
            <w:r>
              <w:rPr>
                <w:rFonts w:ascii="Times New Roman" w:hAnsi="Times New Roman"/>
                <w:b/>
                <w:sz w:val="19"/>
              </w:rPr>
              <w:t>Event Dead Zone (EDZ)</w:t>
            </w:r>
          </w:p>
        </w:tc>
        <w:tc>
          <w:tcPr>
            <w:tcW w:type="dxa" w:w="1872"/>
            <w:tcMar>
              <w:top w:w="80" w:type="dxa"/>
              <w:bottom w:w="80" w:type="dxa"/>
              <w:left w:w="100" w:type="dxa"/>
              <w:right w:w="100" w:type="dxa"/>
            </w:tcMar>
            <w:shd w:fill="F2F2F2"/>
          </w:tcPr>
          <w:p>
            <w:pPr>
              <w:jc w:val="center"/>
            </w:pPr>
            <w:r>
              <w:rPr>
                <w:rFonts w:ascii="Times New Roman" w:hAnsi="Times New Roman"/>
                <w:b/>
                <w:sz w:val="19"/>
              </w:rPr>
              <w:t>Attenuation Dead Zone (ADZ)</w:t>
            </w:r>
          </w:p>
        </w:tc>
        <w:tc>
          <w:tcPr>
            <w:tcW w:type="dxa" w:w="1872"/>
            <w:tcMar>
              <w:top w:w="80" w:type="dxa"/>
              <w:bottom w:w="80" w:type="dxa"/>
              <w:left w:w="100" w:type="dxa"/>
              <w:right w:w="100" w:type="dxa"/>
            </w:tcMar>
            <w:shd w:fill="F2F2F2"/>
          </w:tcPr>
          <w:p>
            <w:pPr>
              <w:jc w:val="center"/>
            </w:pPr>
            <w:r>
              <w:rPr>
                <w:rFonts w:ascii="Times New Roman" w:hAnsi="Times New Roman"/>
                <w:b/>
                <w:sz w:val="19"/>
              </w:rPr>
              <w:t>Spatial Pulse Length cτ/(2n)</w:t>
            </w:r>
          </w:p>
        </w:tc>
      </w:tr>
      <w:tr>
        <w:tc>
          <w:tcPr>
            <w:tcW w:type="dxa" w:w="1872"/>
            <w:tcMar>
              <w:top w:w="60" w:type="dxa"/>
              <w:bottom w:w="60" w:type="dxa"/>
              <w:left w:w="100" w:type="dxa"/>
              <w:right w:w="100" w:type="dxa"/>
            </w:tcMar>
          </w:tcPr>
          <w:p>
            <w:pPr>
              <w:jc w:val="left"/>
            </w:pPr>
            <w:r>
              <w:rPr>
                <w:rFonts w:ascii="Times New Roman" w:hAnsi="Times New Roman"/>
                <w:sz w:val="18"/>
              </w:rPr>
              <w:t>10 ns</w:t>
            </w:r>
          </w:p>
        </w:tc>
        <w:tc>
          <w:tcPr>
            <w:tcW w:type="dxa" w:w="1872"/>
            <w:tcMar>
              <w:top w:w="60" w:type="dxa"/>
              <w:bottom w:w="60" w:type="dxa"/>
              <w:left w:w="100" w:type="dxa"/>
              <w:right w:w="100" w:type="dxa"/>
            </w:tcMar>
          </w:tcPr>
          <w:p>
            <w:pPr>
              <w:jc w:val="center"/>
            </w:pPr>
            <w:r>
              <w:rPr>
                <w:rFonts w:ascii="Times New Roman" w:hAnsi="Times New Roman"/>
                <w:sz w:val="18"/>
              </w:rPr>
              <w:t>20.0 dB</w:t>
            </w:r>
          </w:p>
        </w:tc>
        <w:tc>
          <w:tcPr>
            <w:tcW w:type="dxa" w:w="1872"/>
            <w:tcMar>
              <w:top w:w="60" w:type="dxa"/>
              <w:bottom w:w="60" w:type="dxa"/>
              <w:left w:w="100" w:type="dxa"/>
              <w:right w:w="100" w:type="dxa"/>
            </w:tcMar>
          </w:tcPr>
          <w:p>
            <w:pPr>
              <w:jc w:val="center"/>
            </w:pPr>
            <w:r>
              <w:rPr>
                <w:rFonts w:ascii="Times New Roman" w:hAnsi="Times New Roman"/>
                <w:sz w:val="18"/>
              </w:rPr>
              <w:t>1.0 m</w:t>
            </w:r>
          </w:p>
        </w:tc>
        <w:tc>
          <w:tcPr>
            <w:tcW w:type="dxa" w:w="1872"/>
            <w:tcMar>
              <w:top w:w="60" w:type="dxa"/>
              <w:bottom w:w="60" w:type="dxa"/>
              <w:left w:w="100" w:type="dxa"/>
              <w:right w:w="100" w:type="dxa"/>
            </w:tcMar>
          </w:tcPr>
          <w:p>
            <w:pPr>
              <w:jc w:val="center"/>
            </w:pPr>
            <w:r>
              <w:rPr>
                <w:rFonts w:ascii="Times New Roman" w:hAnsi="Times New Roman"/>
                <w:sz w:val="18"/>
              </w:rPr>
              <w:t>4.0 m</w:t>
            </w:r>
          </w:p>
        </w:tc>
        <w:tc>
          <w:tcPr>
            <w:tcW w:type="dxa" w:w="1872"/>
            <w:tcMar>
              <w:top w:w="60" w:type="dxa"/>
              <w:bottom w:w="60" w:type="dxa"/>
              <w:left w:w="100" w:type="dxa"/>
              <w:right w:w="100" w:type="dxa"/>
            </w:tcMar>
          </w:tcPr>
          <w:p>
            <w:pPr>
              <w:jc w:val="left"/>
            </w:pPr>
            <w:r>
              <w:rPr>
                <w:rFonts w:ascii="Times New Roman" w:hAnsi="Times New Roman"/>
                <w:sz w:val="18"/>
              </w:rPr>
              <w:t>≈ 1.02 m (Resolves 9 m patch-cord connectors)</w:t>
            </w:r>
          </w:p>
        </w:tc>
      </w:tr>
      <w:tr>
        <w:tc>
          <w:tcPr>
            <w:tcW w:type="dxa" w:w="1872"/>
            <w:tcMar>
              <w:top w:w="60" w:type="dxa"/>
              <w:bottom w:w="60" w:type="dxa"/>
              <w:left w:w="100" w:type="dxa"/>
              <w:right w:w="100" w:type="dxa"/>
            </w:tcMar>
          </w:tcPr>
          <w:p>
            <w:pPr>
              <w:jc w:val="left"/>
            </w:pPr>
            <w:r>
              <w:rPr>
                <w:rFonts w:ascii="Times New Roman" w:hAnsi="Times New Roman"/>
                <w:sz w:val="18"/>
              </w:rPr>
              <w:t>100 ns</w:t>
            </w:r>
          </w:p>
        </w:tc>
        <w:tc>
          <w:tcPr>
            <w:tcW w:type="dxa" w:w="1872"/>
            <w:tcMar>
              <w:top w:w="60" w:type="dxa"/>
              <w:bottom w:w="60" w:type="dxa"/>
              <w:left w:w="100" w:type="dxa"/>
              <w:right w:w="100" w:type="dxa"/>
            </w:tcMar>
          </w:tcPr>
          <w:p>
            <w:pPr>
              <w:jc w:val="center"/>
            </w:pPr>
            <w:r>
              <w:rPr>
                <w:rFonts w:ascii="Times New Roman" w:hAnsi="Times New Roman"/>
                <w:sz w:val="18"/>
              </w:rPr>
              <w:t>27.0 dB</w:t>
            </w:r>
          </w:p>
        </w:tc>
        <w:tc>
          <w:tcPr>
            <w:tcW w:type="dxa" w:w="1872"/>
            <w:tcMar>
              <w:top w:w="60" w:type="dxa"/>
              <w:bottom w:w="60" w:type="dxa"/>
              <w:left w:w="100" w:type="dxa"/>
              <w:right w:w="100" w:type="dxa"/>
            </w:tcMar>
          </w:tcPr>
          <w:p>
            <w:pPr>
              <w:jc w:val="center"/>
            </w:pPr>
            <w:r>
              <w:rPr>
                <w:rFonts w:ascii="Times New Roman" w:hAnsi="Times New Roman"/>
                <w:sz w:val="18"/>
              </w:rPr>
              <w:t>5.0 m</w:t>
            </w:r>
          </w:p>
        </w:tc>
        <w:tc>
          <w:tcPr>
            <w:tcW w:type="dxa" w:w="1872"/>
            <w:tcMar>
              <w:top w:w="60" w:type="dxa"/>
              <w:bottom w:w="60" w:type="dxa"/>
              <w:left w:w="100" w:type="dxa"/>
              <w:right w:w="100" w:type="dxa"/>
            </w:tcMar>
          </w:tcPr>
          <w:p>
            <w:pPr>
              <w:jc w:val="center"/>
            </w:pPr>
            <w:r>
              <w:rPr>
                <w:rFonts w:ascii="Times New Roman" w:hAnsi="Times New Roman"/>
                <w:sz w:val="18"/>
              </w:rPr>
              <w:t>15.0 m</w:t>
            </w:r>
          </w:p>
        </w:tc>
        <w:tc>
          <w:tcPr>
            <w:tcW w:type="dxa" w:w="1872"/>
            <w:tcMar>
              <w:top w:w="60" w:type="dxa"/>
              <w:bottom w:w="60" w:type="dxa"/>
              <w:left w:w="100" w:type="dxa"/>
              <w:right w:w="100" w:type="dxa"/>
            </w:tcMar>
          </w:tcPr>
          <w:p>
            <w:pPr>
              <w:jc w:val="left"/>
            </w:pPr>
            <w:r>
              <w:rPr>
                <w:rFonts w:ascii="Times New Roman" w:hAnsi="Times New Roman"/>
                <w:sz w:val="18"/>
              </w:rPr>
              <w:t>≈ 10.21 m (Optimal for 60 km full-span survey)</w:t>
            </w:r>
          </w:p>
        </w:tc>
      </w:tr>
      <w:tr>
        <w:tc>
          <w:tcPr>
            <w:tcW w:type="dxa" w:w="1872"/>
            <w:tcMar>
              <w:top w:w="60" w:type="dxa"/>
              <w:bottom w:w="60" w:type="dxa"/>
              <w:left w:w="100" w:type="dxa"/>
              <w:right w:w="100" w:type="dxa"/>
            </w:tcMar>
          </w:tcPr>
          <w:p>
            <w:pPr>
              <w:jc w:val="left"/>
            </w:pPr>
            <w:r>
              <w:rPr>
                <w:rFonts w:ascii="Times New Roman" w:hAnsi="Times New Roman"/>
                <w:sz w:val="18"/>
              </w:rPr>
              <w:t>1000 ns (1 μs)</w:t>
            </w:r>
          </w:p>
        </w:tc>
        <w:tc>
          <w:tcPr>
            <w:tcW w:type="dxa" w:w="1872"/>
            <w:tcMar>
              <w:top w:w="60" w:type="dxa"/>
              <w:bottom w:w="60" w:type="dxa"/>
              <w:left w:w="100" w:type="dxa"/>
              <w:right w:w="100" w:type="dxa"/>
            </w:tcMar>
          </w:tcPr>
          <w:p>
            <w:pPr>
              <w:jc w:val="center"/>
            </w:pPr>
            <w:r>
              <w:rPr>
                <w:rFonts w:ascii="Times New Roman" w:hAnsi="Times New Roman"/>
                <w:sz w:val="18"/>
              </w:rPr>
              <w:t>33.0 dB</w:t>
            </w:r>
          </w:p>
        </w:tc>
        <w:tc>
          <w:tcPr>
            <w:tcW w:type="dxa" w:w="1872"/>
            <w:tcMar>
              <w:top w:w="60" w:type="dxa"/>
              <w:bottom w:w="60" w:type="dxa"/>
              <w:left w:w="100" w:type="dxa"/>
              <w:right w:w="100" w:type="dxa"/>
            </w:tcMar>
          </w:tcPr>
          <w:p>
            <w:pPr>
              <w:jc w:val="center"/>
            </w:pPr>
            <w:r>
              <w:rPr>
                <w:rFonts w:ascii="Times New Roman" w:hAnsi="Times New Roman"/>
                <w:sz w:val="18"/>
              </w:rPr>
              <w:t>40.0 m</w:t>
            </w:r>
          </w:p>
        </w:tc>
        <w:tc>
          <w:tcPr>
            <w:tcW w:type="dxa" w:w="1872"/>
            <w:tcMar>
              <w:top w:w="60" w:type="dxa"/>
              <w:bottom w:w="60" w:type="dxa"/>
              <w:left w:w="100" w:type="dxa"/>
              <w:right w:w="100" w:type="dxa"/>
            </w:tcMar>
          </w:tcPr>
          <w:p>
            <w:pPr>
              <w:jc w:val="center"/>
            </w:pPr>
            <w:r>
              <w:rPr>
                <w:rFonts w:ascii="Times New Roman" w:hAnsi="Times New Roman"/>
                <w:sz w:val="18"/>
              </w:rPr>
              <w:t>100.0 m</w:t>
            </w:r>
          </w:p>
        </w:tc>
        <w:tc>
          <w:tcPr>
            <w:tcW w:type="dxa" w:w="1872"/>
            <w:tcMar>
              <w:top w:w="60" w:type="dxa"/>
              <w:bottom w:w="60" w:type="dxa"/>
              <w:left w:w="100" w:type="dxa"/>
              <w:right w:w="100" w:type="dxa"/>
            </w:tcMar>
          </w:tcPr>
          <w:p>
            <w:pPr>
              <w:jc w:val="left"/>
            </w:pPr>
            <w:r>
              <w:rPr>
                <w:rFonts w:ascii="Times New Roman" w:hAnsi="Times New Roman"/>
                <w:sz w:val="18"/>
              </w:rPr>
              <w:t>≈ 102.1 m (Blinds both end connectors completely)</w:t>
            </w:r>
          </w:p>
        </w:tc>
      </w:tr>
    </w:tbl>
    <w:p>
      <w:pPr>
        <w:spacing w:before="80" w:after="80"/>
      </w:pPr>
    </w:p>
    <w:p>
      <w:pPr>
        <w:spacing w:after="80" w:line="276" w:lineRule="auto"/>
      </w:pPr>
      <w:r>
        <w:rPr>
          <w:rFonts w:ascii="Times New Roman" w:hAnsi="Times New Roman"/>
          <w:color w:val="000000"/>
          <w:sz w:val="22"/>
        </w:rPr>
        <w:t>Diagnostic Analysis of Events 3 and 4: Event 3 (at 59.900 km) and Event 4 (at 59.909 km) are separated by exactly 9.0 meters on the remote patch cord. If measured using the 100 ns survey pulse, its 15.0 m attenuation dead zone completely masks Event 4 within the tail of Event 3. Therefore, while 100 ns is used for full-span characterization, a 10 ns high-resolution pulse (ADZ = 4.0 m &lt; 9.0 m) is mandatory to independently evaluate the two patch-panel connectors.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2340"/>
        <w:gridCol w:w="2340"/>
        <w:gridCol w:w="2340"/>
        <w:gridCol w:w="2340"/>
      </w:tblGrid>
      <w:tr>
        <w:tc>
          <w:tcPr>
            <w:tcW w:type="dxa" w:w="2340"/>
            <w:tcMar>
              <w:top w:w="80" w:type="dxa"/>
              <w:bottom w:w="80" w:type="dxa"/>
              <w:left w:w="100" w:type="dxa"/>
              <w:right w:w="100" w:type="dxa"/>
            </w:tcMar>
            <w:shd w:fill="F2F2F2"/>
          </w:tcPr>
          <w:p>
            <w:pPr>
              <w:jc w:val="center"/>
            </w:pPr>
            <w:r>
              <w:rPr>
                <w:rFonts w:ascii="Times New Roman" w:hAnsi="Times New Roman"/>
                <w:b/>
                <w:sz w:val="19"/>
              </w:rPr>
              <w:t>Event Index</w:t>
            </w:r>
          </w:p>
        </w:tc>
        <w:tc>
          <w:tcPr>
            <w:tcW w:type="dxa" w:w="2340"/>
            <w:tcMar>
              <w:top w:w="80" w:type="dxa"/>
              <w:bottom w:w="80" w:type="dxa"/>
              <w:left w:w="100" w:type="dxa"/>
              <w:right w:w="100" w:type="dxa"/>
            </w:tcMar>
            <w:shd w:fill="F2F2F2"/>
          </w:tcPr>
          <w:p>
            <w:pPr>
              <w:jc w:val="center"/>
            </w:pPr>
            <w:r>
              <w:rPr>
                <w:rFonts w:ascii="Times New Roman" w:hAnsi="Times New Roman"/>
                <w:b/>
                <w:sz w:val="19"/>
              </w:rPr>
              <w:t>Physical Distance</w:t>
            </w:r>
          </w:p>
        </w:tc>
        <w:tc>
          <w:tcPr>
            <w:tcW w:type="dxa" w:w="2340"/>
            <w:tcMar>
              <w:top w:w="80" w:type="dxa"/>
              <w:bottom w:w="80" w:type="dxa"/>
              <w:left w:w="100" w:type="dxa"/>
              <w:right w:w="100" w:type="dxa"/>
            </w:tcMar>
            <w:shd w:fill="F2F2F2"/>
          </w:tcPr>
          <w:p>
            <w:pPr>
              <w:jc w:val="left"/>
            </w:pPr>
            <w:r>
              <w:rPr>
                <w:rFonts w:ascii="Times New Roman" w:hAnsi="Times New Roman"/>
                <w:b/>
                <w:sz w:val="19"/>
              </w:rPr>
              <w:t>Measured Parameter</w:t>
            </w:r>
          </w:p>
        </w:tc>
        <w:tc>
          <w:tcPr>
            <w:tcW w:type="dxa" w:w="2340"/>
            <w:tcMar>
              <w:top w:w="80" w:type="dxa"/>
              <w:bottom w:w="80" w:type="dxa"/>
              <w:left w:w="100" w:type="dxa"/>
              <w:right w:w="100" w:type="dxa"/>
            </w:tcMar>
            <w:shd w:fill="F2F2F2"/>
          </w:tcPr>
          <w:p>
            <w:pPr>
              <w:jc w:val="left"/>
            </w:pPr>
            <w:r>
              <w:rPr>
                <w:rFonts w:ascii="Times New Roman" w:hAnsi="Times New Roman"/>
                <w:b/>
                <w:sz w:val="19"/>
              </w:rPr>
              <w:t>Diagnostic Assessment &amp; Required Action</w:t>
            </w:r>
          </w:p>
        </w:tc>
      </w:tr>
      <w:tr>
        <w:tc>
          <w:tcPr>
            <w:tcW w:type="dxa" w:w="2340"/>
            <w:tcMar>
              <w:top w:w="60" w:type="dxa"/>
              <w:bottom w:w="60" w:type="dxa"/>
              <w:left w:w="100" w:type="dxa"/>
              <w:right w:w="100" w:type="dxa"/>
            </w:tcMar>
          </w:tcPr>
          <w:p>
            <w:pPr>
              <w:jc w:val="center"/>
            </w:pPr>
            <w:r>
              <w:rPr>
                <w:rFonts w:ascii="Times New Roman" w:hAnsi="Times New Roman"/>
                <w:sz w:val="18"/>
              </w:rPr>
              <w:t>Event 1</w:t>
            </w:r>
          </w:p>
        </w:tc>
        <w:tc>
          <w:tcPr>
            <w:tcW w:type="dxa" w:w="2340"/>
            <w:tcMar>
              <w:top w:w="60" w:type="dxa"/>
              <w:bottom w:w="60" w:type="dxa"/>
              <w:left w:w="100" w:type="dxa"/>
              <w:right w:w="100" w:type="dxa"/>
            </w:tcMar>
          </w:tcPr>
          <w:p>
            <w:pPr>
              <w:jc w:val="center"/>
            </w:pPr>
            <w:r>
              <w:rPr>
                <w:rFonts w:ascii="Times New Roman" w:hAnsi="Times New Roman"/>
                <w:sz w:val="18"/>
              </w:rPr>
              <w:t>12.00 km</w:t>
            </w:r>
          </w:p>
        </w:tc>
        <w:tc>
          <w:tcPr>
            <w:tcW w:type="dxa" w:w="2340"/>
            <w:tcMar>
              <w:top w:w="60" w:type="dxa"/>
              <w:bottom w:w="60" w:type="dxa"/>
              <w:left w:w="100" w:type="dxa"/>
              <w:right w:w="100" w:type="dxa"/>
            </w:tcMar>
          </w:tcPr>
          <w:p>
            <w:pPr>
              <w:jc w:val="left"/>
            </w:pPr>
            <w:r>
              <w:rPr>
                <w:rFonts w:ascii="Times New Roman" w:hAnsi="Times New Roman"/>
                <w:sz w:val="18"/>
              </w:rPr>
              <w:t>0.05 dB, non-reflective</w:t>
            </w:r>
          </w:p>
        </w:tc>
        <w:tc>
          <w:tcPr>
            <w:tcW w:type="dxa" w:w="2340"/>
            <w:tcMar>
              <w:top w:w="60" w:type="dxa"/>
              <w:bottom w:w="60" w:type="dxa"/>
              <w:left w:w="100" w:type="dxa"/>
              <w:right w:w="100" w:type="dxa"/>
            </w:tcMar>
          </w:tcPr>
          <w:p>
            <w:pPr>
              <w:jc w:val="left"/>
            </w:pPr>
            <w:r>
              <w:rPr>
                <w:rFonts w:ascii="Times New Roman" w:hAnsi="Times New Roman"/>
                <w:sz w:val="18"/>
              </w:rPr>
              <w:t>Compliant fusion splice; retain and catalog in permanent records.</w:t>
            </w:r>
          </w:p>
        </w:tc>
      </w:tr>
      <w:tr>
        <w:tc>
          <w:tcPr>
            <w:tcW w:type="dxa" w:w="2340"/>
            <w:tcMar>
              <w:top w:w="60" w:type="dxa"/>
              <w:bottom w:w="60" w:type="dxa"/>
              <w:left w:w="100" w:type="dxa"/>
              <w:right w:w="100" w:type="dxa"/>
            </w:tcMar>
          </w:tcPr>
          <w:p>
            <w:pPr>
              <w:jc w:val="center"/>
            </w:pPr>
            <w:r>
              <w:rPr>
                <w:rFonts w:ascii="Times New Roman" w:hAnsi="Times New Roman"/>
                <w:sz w:val="18"/>
              </w:rPr>
              <w:t>Event 2</w:t>
            </w:r>
          </w:p>
        </w:tc>
        <w:tc>
          <w:tcPr>
            <w:tcW w:type="dxa" w:w="2340"/>
            <w:tcMar>
              <w:top w:w="60" w:type="dxa"/>
              <w:bottom w:w="60" w:type="dxa"/>
              <w:left w:w="100" w:type="dxa"/>
              <w:right w:w="100" w:type="dxa"/>
            </w:tcMar>
          </w:tcPr>
          <w:p>
            <w:pPr>
              <w:jc w:val="center"/>
            </w:pPr>
            <w:r>
              <w:rPr>
                <w:rFonts w:ascii="Times New Roman" w:hAnsi="Times New Roman"/>
                <w:sz w:val="18"/>
              </w:rPr>
              <w:t>31.50 km</w:t>
            </w:r>
          </w:p>
        </w:tc>
        <w:tc>
          <w:tcPr>
            <w:tcW w:type="dxa" w:w="2340"/>
            <w:tcMar>
              <w:top w:w="60" w:type="dxa"/>
              <w:bottom w:w="60" w:type="dxa"/>
              <w:left w:w="100" w:type="dxa"/>
              <w:right w:w="100" w:type="dxa"/>
            </w:tcMar>
          </w:tcPr>
          <w:p>
            <w:pPr>
              <w:jc w:val="left"/>
            </w:pPr>
            <w:r>
              <w:rPr>
                <w:rFonts w:ascii="Times New Roman" w:hAnsi="Times New Roman"/>
                <w:sz w:val="18"/>
              </w:rPr>
              <w:t>0.62 dB, reflectance -34 dB</w:t>
            </w:r>
          </w:p>
        </w:tc>
        <w:tc>
          <w:tcPr>
            <w:tcW w:type="dxa" w:w="2340"/>
            <w:tcMar>
              <w:top w:w="60" w:type="dxa"/>
              <w:bottom w:w="60" w:type="dxa"/>
              <w:left w:w="100" w:type="dxa"/>
              <w:right w:w="100" w:type="dxa"/>
            </w:tcMar>
          </w:tcPr>
          <w:p>
            <w:pPr>
              <w:jc w:val="left"/>
            </w:pPr>
            <w:r>
              <w:rPr>
                <w:rFonts w:ascii="Times New Roman" w:hAnsi="Times New Roman"/>
                <w:sz w:val="18"/>
              </w:rPr>
              <w:t>High-loss mechanical splice; cut out and replace with fusion splice (target loss ≤ 0.05 dB).</w:t>
            </w:r>
          </w:p>
        </w:tc>
      </w:tr>
      <w:tr>
        <w:tc>
          <w:tcPr>
            <w:tcW w:type="dxa" w:w="2340"/>
            <w:tcMar>
              <w:top w:w="60" w:type="dxa"/>
              <w:bottom w:w="60" w:type="dxa"/>
              <w:left w:w="100" w:type="dxa"/>
              <w:right w:w="100" w:type="dxa"/>
            </w:tcMar>
          </w:tcPr>
          <w:p>
            <w:pPr>
              <w:jc w:val="center"/>
            </w:pPr>
            <w:r>
              <w:rPr>
                <w:rFonts w:ascii="Times New Roman" w:hAnsi="Times New Roman"/>
                <w:sz w:val="18"/>
              </w:rPr>
              <w:t>Event 3</w:t>
            </w:r>
          </w:p>
        </w:tc>
        <w:tc>
          <w:tcPr>
            <w:tcW w:type="dxa" w:w="2340"/>
            <w:tcMar>
              <w:top w:w="60" w:type="dxa"/>
              <w:bottom w:w="60" w:type="dxa"/>
              <w:left w:w="100" w:type="dxa"/>
              <w:right w:w="100" w:type="dxa"/>
            </w:tcMar>
          </w:tcPr>
          <w:p>
            <w:pPr>
              <w:jc w:val="center"/>
            </w:pPr>
            <w:r>
              <w:rPr>
                <w:rFonts w:ascii="Times New Roman" w:hAnsi="Times New Roman"/>
                <w:sz w:val="18"/>
              </w:rPr>
              <w:t>59.90 km</w:t>
            </w:r>
          </w:p>
        </w:tc>
        <w:tc>
          <w:tcPr>
            <w:tcW w:type="dxa" w:w="2340"/>
            <w:tcMar>
              <w:top w:w="60" w:type="dxa"/>
              <w:bottom w:w="60" w:type="dxa"/>
              <w:left w:w="100" w:type="dxa"/>
              <w:right w:w="100" w:type="dxa"/>
            </w:tcMar>
          </w:tcPr>
          <w:p>
            <w:pPr>
              <w:jc w:val="left"/>
            </w:pPr>
            <w:r>
              <w:rPr>
                <w:rFonts w:ascii="Times New Roman" w:hAnsi="Times New Roman"/>
                <w:sz w:val="18"/>
              </w:rPr>
              <w:t>1.20 dB, reflectance -22 dB</w:t>
            </w:r>
          </w:p>
        </w:tc>
        <w:tc>
          <w:tcPr>
            <w:tcW w:type="dxa" w:w="2340"/>
            <w:tcMar>
              <w:top w:w="60" w:type="dxa"/>
              <w:bottom w:w="60" w:type="dxa"/>
              <w:left w:w="100" w:type="dxa"/>
              <w:right w:w="100" w:type="dxa"/>
            </w:tcMar>
          </w:tcPr>
          <w:p>
            <w:pPr>
              <w:jc w:val="left"/>
            </w:pPr>
            <w:r>
              <w:rPr>
                <w:rFonts w:ascii="Times New Roman" w:hAnsi="Times New Roman"/>
                <w:sz w:val="18"/>
              </w:rPr>
              <w:t>Defective LC/UPC connector; inspect end-face with fiberscope, clean or re-terminate with new LC/UPC connector.</w:t>
            </w:r>
          </w:p>
        </w:tc>
      </w:tr>
      <w:tr>
        <w:tc>
          <w:tcPr>
            <w:tcW w:type="dxa" w:w="2340"/>
            <w:tcMar>
              <w:top w:w="60" w:type="dxa"/>
              <w:bottom w:w="60" w:type="dxa"/>
              <w:left w:w="100" w:type="dxa"/>
              <w:right w:w="100" w:type="dxa"/>
            </w:tcMar>
          </w:tcPr>
          <w:p>
            <w:pPr>
              <w:jc w:val="center"/>
            </w:pPr>
            <w:r>
              <w:rPr>
                <w:rFonts w:ascii="Times New Roman" w:hAnsi="Times New Roman"/>
                <w:sz w:val="18"/>
              </w:rPr>
              <w:t>Event 4</w:t>
            </w:r>
          </w:p>
        </w:tc>
        <w:tc>
          <w:tcPr>
            <w:tcW w:type="dxa" w:w="2340"/>
            <w:tcMar>
              <w:top w:w="60" w:type="dxa"/>
              <w:bottom w:w="60" w:type="dxa"/>
              <w:left w:w="100" w:type="dxa"/>
              <w:right w:w="100" w:type="dxa"/>
            </w:tcMar>
          </w:tcPr>
          <w:p>
            <w:pPr>
              <w:jc w:val="center"/>
            </w:pPr>
            <w:r>
              <w:rPr>
                <w:rFonts w:ascii="Times New Roman" w:hAnsi="Times New Roman"/>
                <w:sz w:val="18"/>
              </w:rPr>
              <w:t>59.909 km</w:t>
            </w:r>
          </w:p>
        </w:tc>
        <w:tc>
          <w:tcPr>
            <w:tcW w:type="dxa" w:w="2340"/>
            <w:tcMar>
              <w:top w:w="60" w:type="dxa"/>
              <w:bottom w:w="60" w:type="dxa"/>
              <w:left w:w="100" w:type="dxa"/>
              <w:right w:w="100" w:type="dxa"/>
            </w:tcMar>
          </w:tcPr>
          <w:p>
            <w:pPr>
              <w:jc w:val="left"/>
            </w:pPr>
            <w:r>
              <w:rPr>
                <w:rFonts w:ascii="Times New Roman" w:hAnsi="Times New Roman"/>
                <w:sz w:val="18"/>
              </w:rPr>
              <w:t>Reflective (-40 dB), unresolved loss</w:t>
            </w:r>
          </w:p>
        </w:tc>
        <w:tc>
          <w:tcPr>
            <w:tcW w:type="dxa" w:w="2340"/>
            <w:tcMar>
              <w:top w:w="60" w:type="dxa"/>
              <w:bottom w:w="60" w:type="dxa"/>
              <w:left w:w="100" w:type="dxa"/>
              <w:right w:w="100" w:type="dxa"/>
            </w:tcMar>
          </w:tcPr>
          <w:p>
            <w:pPr>
              <w:jc w:val="left"/>
            </w:pPr>
            <w:r>
              <w:rPr>
                <w:rFonts w:ascii="Times New Roman" w:hAnsi="Times New Roman"/>
                <w:sz w:val="18"/>
              </w:rPr>
              <w:t>Second patch connector 9 m away; test using 10 ns pulse with receive fiber spool to verify insertion loss.</w:t>
            </w:r>
          </w:p>
        </w:tc>
      </w:tr>
    </w:tbl>
    <w:p>
      <w:pPr>
        <w:spacing w:before="80" w:after="80"/>
      </w:pPr>
    </w:p>
    <w:p>
      <w:pPr>
        <w:spacing w:after="80" w:line="276" w:lineRule="auto"/>
      </w:pPr>
      <w:r>
        <w:rPr>
          <w:rFonts w:ascii="Times New Roman" w:hAnsi="Times New Roman"/>
          <w:color w:val="000000"/>
          <w:sz w:val="22"/>
        </w:rPr>
        <w:t xml:space="preserve">Round-Trip Time-of-Flight Derivations: </w:t>
        <w:br/>
        <w:t>With fiber core group index n_g = 1.4682 and speed of light c = 2.99792 × 10^8 m/s, the round-trip propagation time is t = 2 * n_g * L / c:</w:t>
        <w:br/>
        <w:t>• Event 1 (12.00 km): t = 2 * 1.4682 * 12,000 / 2.99792×10^8 = 117.54 μs.</w:t>
        <w:br/>
        <w:t>• Event 2 (31.50 km): t = 2 * 1.4682 * 31,500 / 2.99792×10^8 = 308.54 μs.</w:t>
        <w:br/>
        <w:t>• Event 3 (59.90 km): t = 2 * 1.4682 * 59,900 / 2.99792×10^8 = 586.58 μs.</w:t>
        <w:br/>
        <w:t>• Event 4 (59.909 km): t = 2 * 1.4682 * 59,909 / 2.99792×10^8 = 586.67 μs.</w:t>
        <w:br/>
        <w:t>Group Index Calibration Uncertainty: An instrument group index calibration uncertainty of Δn = ±0.002 introduces a spatial uncertainty of |ΔL| = L * (Δn / n_g) = 59,900 * (0.002 / 1.4682) ≈ 81.6 meters. Because 81.6 m is substantially larger than the 9.0 m connector separation, technicians cannot rely solely on absolute distance readings. Known physical patch-cord topology and the 10 ns short-pulse trace must be combined to definitively isolate Event 3 from Event 4.</w:t>
      </w: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2 (OTDR Testing Strategy): Perform primary link survey using a 100 ns pulse to establish end-to-end loss and locate trunk events, followed by a localized high-resolution 10 ns test at 59.9 km to unmask the 9 m patch-cord connectors. Remediate Event 3 (clean/replace connector) and Event 2 (re-splice via fusion).</w:t>
      </w:r>
    </w:p>
    <w:p>
      <w:pPr>
        <w:keepNext/>
        <w:spacing w:before="240" w:after="80"/>
      </w:pPr>
      <w:r>
        <w:rPr>
          <w:rFonts w:ascii="Times New Roman" w:hAnsi="Times New Roman"/>
          <w:b/>
          <w:color w:val="000000"/>
          <w:sz w:val="24"/>
        </w:rPr>
        <w:t>5. Stage 4: Eye Diagram Evaluation, Jitter Analysis, and Quantum Detection Limits</w:t>
      </w:r>
    </w:p>
    <w:p>
      <w:pPr>
        <w:keepNext/>
        <w:spacing w:before="160" w:after="60"/>
      </w:pPr>
      <w:r>
        <w:rPr>
          <w:rFonts w:ascii="Times New Roman" w:hAnsi="Times New Roman"/>
          <w:b/>
          <w:i/>
          <w:color w:val="000000"/>
          <w:sz w:val="22"/>
        </w:rPr>
        <w:t>Bit Error Rate (BER) and Q-Factor Characterization:</w:t>
      </w:r>
    </w:p>
    <w:p>
      <w:pPr>
        <w:spacing w:after="80" w:line="276" w:lineRule="auto"/>
      </w:pPr>
      <w:r>
        <w:rPr>
          <w:rFonts w:ascii="Times New Roman" w:hAnsi="Times New Roman"/>
          <w:color w:val="000000"/>
          <w:sz w:val="22"/>
        </w:rPr>
        <w:t>For Gaussian noise distribution, BER is linked to the electrical quality factor (Q) by:</w:t>
        <w:br/>
        <w:t>BER = 0.5 * erfc(Q / sqrt(2)) ≈ (1 / (Q * sqrt(2*π))) * exp(-Q^2 / 2)</w:t>
        <w:br/>
        <w:t>• Healthy Channel 3 (Q = 7.6): BER ≈ 1.5 × 10^-14 (Compliant: Exceeds the BER ≤ 10^-12 / Q ≥ 7.03 requirement).</w:t>
        <w:br/>
        <w:t>• Degraded Channel 5 (Q = 4.7): BER ≈ 1.3 × 10^-6 (Non-Compliant: Six orders of magnitude worse than the 10^-12 threshold).</w:t>
      </w:r>
    </w:p>
    <w:p>
      <w:pPr>
        <w:keepNext/>
        <w:spacing w:before="160" w:after="60"/>
      </w:pPr>
      <w:r>
        <w:rPr>
          <w:rFonts w:ascii="Times New Roman" w:hAnsi="Times New Roman"/>
          <w:b/>
          <w:i/>
          <w:color w:val="000000"/>
          <w:sz w:val="22"/>
        </w:rPr>
        <w:t>Jitter Decomposition &amp; Eye Opening Analysis:</w:t>
      </w:r>
    </w:p>
    <w:p>
      <w:pPr>
        <w:spacing w:after="80" w:line="276" w:lineRule="auto"/>
      </w:pPr>
      <w:r>
        <w:rPr>
          <w:rFonts w:ascii="Times New Roman" w:hAnsi="Times New Roman"/>
          <w:color w:val="000000"/>
          <w:sz w:val="22"/>
        </w:rPr>
        <w:t>Total jitter (TJ) at a confidence level of BER = 10^-12 is governed by the dual-Dirac model: TJ = DJ + 14.07 * RJ, where DJ is deterministic peak-to-peak jitter and RJ is random RMS jitter. The normalized eye width is estimated as Eye_Width = 1.0 - TJ (in Unit Intervals, UI):</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1560"/>
        <w:gridCol w:w="1560"/>
        <w:gridCol w:w="1560"/>
        <w:gridCol w:w="1560"/>
        <w:gridCol w:w="1560"/>
        <w:gridCol w:w="1560"/>
      </w:tblGrid>
      <w:tr>
        <w:tc>
          <w:tcPr>
            <w:tcW w:type="dxa" w:w="1560"/>
            <w:tcMar>
              <w:top w:w="80" w:type="dxa"/>
              <w:bottom w:w="80" w:type="dxa"/>
              <w:left w:w="100" w:type="dxa"/>
              <w:right w:w="100" w:type="dxa"/>
            </w:tcMar>
            <w:shd w:fill="F2F2F2"/>
          </w:tcPr>
          <w:p>
            <w:pPr>
              <w:jc w:val="center"/>
            </w:pPr>
            <w:r>
              <w:rPr>
                <w:rFonts w:ascii="Times New Roman" w:hAnsi="Times New Roman"/>
                <w:b/>
                <w:sz w:val="19"/>
              </w:rPr>
              <w:t>Channel Index</w:t>
            </w:r>
          </w:p>
        </w:tc>
        <w:tc>
          <w:tcPr>
            <w:tcW w:type="dxa" w:w="1560"/>
            <w:tcMar>
              <w:top w:w="80" w:type="dxa"/>
              <w:bottom w:w="80" w:type="dxa"/>
              <w:left w:w="100" w:type="dxa"/>
              <w:right w:w="100" w:type="dxa"/>
            </w:tcMar>
            <w:shd w:fill="F2F2F2"/>
          </w:tcPr>
          <w:p>
            <w:pPr>
              <w:jc w:val="center"/>
            </w:pPr>
            <w:r>
              <w:rPr>
                <w:rFonts w:ascii="Times New Roman" w:hAnsi="Times New Roman"/>
                <w:b/>
                <w:sz w:val="19"/>
              </w:rPr>
              <w:t>DJ (UI p-p)</w:t>
            </w:r>
          </w:p>
        </w:tc>
        <w:tc>
          <w:tcPr>
            <w:tcW w:type="dxa" w:w="1560"/>
            <w:tcMar>
              <w:top w:w="80" w:type="dxa"/>
              <w:bottom w:w="80" w:type="dxa"/>
              <w:left w:w="100" w:type="dxa"/>
              <w:right w:w="100" w:type="dxa"/>
            </w:tcMar>
            <w:shd w:fill="F2F2F2"/>
          </w:tcPr>
          <w:p>
            <w:pPr>
              <w:jc w:val="center"/>
            </w:pPr>
            <w:r>
              <w:rPr>
                <w:rFonts w:ascii="Times New Roman" w:hAnsi="Times New Roman"/>
                <w:b/>
                <w:sz w:val="19"/>
              </w:rPr>
              <w:t>RJ (UI rms)</w:t>
            </w:r>
          </w:p>
        </w:tc>
        <w:tc>
          <w:tcPr>
            <w:tcW w:type="dxa" w:w="1560"/>
            <w:tcMar>
              <w:top w:w="80" w:type="dxa"/>
              <w:bottom w:w="80" w:type="dxa"/>
              <w:left w:w="100" w:type="dxa"/>
              <w:right w:w="100" w:type="dxa"/>
            </w:tcMar>
            <w:shd w:fill="F2F2F2"/>
          </w:tcPr>
          <w:p>
            <w:pPr>
              <w:jc w:val="center"/>
            </w:pPr>
            <w:r>
              <w:rPr>
                <w:rFonts w:ascii="Times New Roman" w:hAnsi="Times New Roman"/>
                <w:b/>
                <w:sz w:val="19"/>
              </w:rPr>
              <w:t>Total Jitter (TJ)</w:t>
            </w:r>
          </w:p>
        </w:tc>
        <w:tc>
          <w:tcPr>
            <w:tcW w:type="dxa" w:w="1560"/>
            <w:tcMar>
              <w:top w:w="80" w:type="dxa"/>
              <w:bottom w:w="80" w:type="dxa"/>
              <w:left w:w="100" w:type="dxa"/>
              <w:right w:w="100" w:type="dxa"/>
            </w:tcMar>
            <w:shd w:fill="F2F2F2"/>
          </w:tcPr>
          <w:p>
            <w:pPr>
              <w:jc w:val="center"/>
            </w:pPr>
            <w:r>
              <w:rPr>
                <w:rFonts w:ascii="Times New Roman" w:hAnsi="Times New Roman"/>
                <w:b/>
                <w:sz w:val="19"/>
              </w:rPr>
              <w:t>Estimated Eye Width</w:t>
            </w:r>
          </w:p>
        </w:tc>
        <w:tc>
          <w:tcPr>
            <w:tcW w:type="dxa" w:w="1560"/>
            <w:tcMar>
              <w:top w:w="80" w:type="dxa"/>
              <w:bottom w:w="80" w:type="dxa"/>
              <w:left w:w="100" w:type="dxa"/>
              <w:right w:w="100" w:type="dxa"/>
            </w:tcMar>
            <w:shd w:fill="F2F2F2"/>
          </w:tcPr>
          <w:p>
            <w:pPr>
              <w:jc w:val="center"/>
            </w:pPr>
            <w:r>
              <w:rPr>
                <w:rFonts w:ascii="Times New Roman" w:hAnsi="Times New Roman"/>
                <w:b/>
                <w:sz w:val="19"/>
              </w:rPr>
              <w:t>Compliance Status</w:t>
            </w:r>
          </w:p>
        </w:tc>
      </w:tr>
      <w:tr>
        <w:tc>
          <w:tcPr>
            <w:tcW w:type="dxa" w:w="1560"/>
            <w:tcMar>
              <w:top w:w="60" w:type="dxa"/>
              <w:bottom w:w="60" w:type="dxa"/>
              <w:left w:w="100" w:type="dxa"/>
              <w:right w:w="100" w:type="dxa"/>
            </w:tcMar>
          </w:tcPr>
          <w:p>
            <w:pPr>
              <w:jc w:val="center"/>
            </w:pPr>
            <w:r>
              <w:rPr>
                <w:rFonts w:ascii="Times New Roman" w:hAnsi="Times New Roman"/>
                <w:sz w:val="18"/>
              </w:rPr>
              <w:t>Channel 3</w:t>
            </w:r>
          </w:p>
        </w:tc>
        <w:tc>
          <w:tcPr>
            <w:tcW w:type="dxa" w:w="1560"/>
            <w:tcMar>
              <w:top w:w="60" w:type="dxa"/>
              <w:bottom w:w="60" w:type="dxa"/>
              <w:left w:w="100" w:type="dxa"/>
              <w:right w:w="100" w:type="dxa"/>
            </w:tcMar>
          </w:tcPr>
          <w:p>
            <w:pPr>
              <w:jc w:val="center"/>
            </w:pPr>
            <w:r>
              <w:rPr>
                <w:rFonts w:ascii="Times New Roman" w:hAnsi="Times New Roman"/>
                <w:sz w:val="18"/>
              </w:rPr>
              <w:t>0.18 UI</w:t>
            </w:r>
          </w:p>
        </w:tc>
        <w:tc>
          <w:tcPr>
            <w:tcW w:type="dxa" w:w="1560"/>
            <w:tcMar>
              <w:top w:w="60" w:type="dxa"/>
              <w:bottom w:w="60" w:type="dxa"/>
              <w:left w:w="100" w:type="dxa"/>
              <w:right w:w="100" w:type="dxa"/>
            </w:tcMar>
          </w:tcPr>
          <w:p>
            <w:pPr>
              <w:jc w:val="center"/>
            </w:pPr>
            <w:r>
              <w:rPr>
                <w:rFonts w:ascii="Times New Roman" w:hAnsi="Times New Roman"/>
                <w:sz w:val="18"/>
              </w:rPr>
              <w:t>0.012 UI</w:t>
            </w:r>
          </w:p>
        </w:tc>
        <w:tc>
          <w:tcPr>
            <w:tcW w:type="dxa" w:w="1560"/>
            <w:tcMar>
              <w:top w:w="60" w:type="dxa"/>
              <w:bottom w:w="60" w:type="dxa"/>
              <w:left w:w="100" w:type="dxa"/>
              <w:right w:w="100" w:type="dxa"/>
            </w:tcMar>
          </w:tcPr>
          <w:p>
            <w:pPr>
              <w:jc w:val="center"/>
            </w:pPr>
            <w:r>
              <w:rPr>
                <w:rFonts w:ascii="Times New Roman" w:hAnsi="Times New Roman"/>
                <w:sz w:val="18"/>
              </w:rPr>
              <w:t>0.18 + 14.07(0.012) = 0.349 UI</w:t>
            </w:r>
          </w:p>
        </w:tc>
        <w:tc>
          <w:tcPr>
            <w:tcW w:type="dxa" w:w="1560"/>
            <w:tcMar>
              <w:top w:w="60" w:type="dxa"/>
              <w:bottom w:w="60" w:type="dxa"/>
              <w:left w:w="100" w:type="dxa"/>
              <w:right w:w="100" w:type="dxa"/>
            </w:tcMar>
          </w:tcPr>
          <w:p>
            <w:pPr>
              <w:jc w:val="center"/>
            </w:pPr>
            <w:r>
              <w:rPr>
                <w:rFonts w:ascii="Times New Roman" w:hAnsi="Times New Roman"/>
                <w:sz w:val="18"/>
              </w:rPr>
              <w:t>0.651 UI (Wide Eye)</w:t>
            </w:r>
          </w:p>
        </w:tc>
        <w:tc>
          <w:tcPr>
            <w:tcW w:type="dxa" w:w="1560"/>
            <w:tcMar>
              <w:top w:w="60" w:type="dxa"/>
              <w:bottom w:w="60" w:type="dxa"/>
              <w:left w:w="100" w:type="dxa"/>
              <w:right w:w="100" w:type="dxa"/>
            </w:tcMar>
          </w:tcPr>
          <w:p>
            <w:pPr>
              <w:jc w:val="left"/>
            </w:pPr>
            <w:r>
              <w:rPr>
                <w:rFonts w:ascii="Times New Roman" w:hAnsi="Times New Roman"/>
                <w:b/>
                <w:sz w:val="18"/>
              </w:rPr>
              <w:t>PASS (Healthy)</w:t>
            </w:r>
          </w:p>
        </w:tc>
      </w:tr>
      <w:tr>
        <w:tc>
          <w:tcPr>
            <w:tcW w:type="dxa" w:w="1560"/>
            <w:tcMar>
              <w:top w:w="60" w:type="dxa"/>
              <w:bottom w:w="60" w:type="dxa"/>
              <w:left w:w="100" w:type="dxa"/>
              <w:right w:w="100" w:type="dxa"/>
            </w:tcMar>
          </w:tcPr>
          <w:p>
            <w:pPr>
              <w:jc w:val="center"/>
            </w:pPr>
            <w:r>
              <w:rPr>
                <w:rFonts w:ascii="Times New Roman" w:hAnsi="Times New Roman"/>
                <w:sz w:val="18"/>
              </w:rPr>
              <w:t>Channel 5</w:t>
            </w:r>
          </w:p>
        </w:tc>
        <w:tc>
          <w:tcPr>
            <w:tcW w:type="dxa" w:w="1560"/>
            <w:tcMar>
              <w:top w:w="60" w:type="dxa"/>
              <w:bottom w:w="60" w:type="dxa"/>
              <w:left w:w="100" w:type="dxa"/>
              <w:right w:w="100" w:type="dxa"/>
            </w:tcMar>
          </w:tcPr>
          <w:p>
            <w:pPr>
              <w:jc w:val="center"/>
            </w:pPr>
            <w:r>
              <w:rPr>
                <w:rFonts w:ascii="Times New Roman" w:hAnsi="Times New Roman"/>
                <w:sz w:val="18"/>
              </w:rPr>
              <w:t>0.30 UI</w:t>
            </w:r>
          </w:p>
        </w:tc>
        <w:tc>
          <w:tcPr>
            <w:tcW w:type="dxa" w:w="1560"/>
            <w:tcMar>
              <w:top w:w="60" w:type="dxa"/>
              <w:bottom w:w="60" w:type="dxa"/>
              <w:left w:w="100" w:type="dxa"/>
              <w:right w:w="100" w:type="dxa"/>
            </w:tcMar>
          </w:tcPr>
          <w:p>
            <w:pPr>
              <w:jc w:val="center"/>
            </w:pPr>
            <w:r>
              <w:rPr>
                <w:rFonts w:ascii="Times New Roman" w:hAnsi="Times New Roman"/>
                <w:sz w:val="18"/>
              </w:rPr>
              <w:t>0.022 UI</w:t>
            </w:r>
          </w:p>
        </w:tc>
        <w:tc>
          <w:tcPr>
            <w:tcW w:type="dxa" w:w="1560"/>
            <w:tcMar>
              <w:top w:w="60" w:type="dxa"/>
              <w:bottom w:w="60" w:type="dxa"/>
              <w:left w:w="100" w:type="dxa"/>
              <w:right w:w="100" w:type="dxa"/>
            </w:tcMar>
          </w:tcPr>
          <w:p>
            <w:pPr>
              <w:jc w:val="center"/>
            </w:pPr>
            <w:r>
              <w:rPr>
                <w:rFonts w:ascii="Times New Roman" w:hAnsi="Times New Roman"/>
                <w:sz w:val="18"/>
              </w:rPr>
              <w:t>0.30 + 14.07(0.022) = 0.610 UI</w:t>
            </w:r>
          </w:p>
        </w:tc>
        <w:tc>
          <w:tcPr>
            <w:tcW w:type="dxa" w:w="1560"/>
            <w:tcMar>
              <w:top w:w="60" w:type="dxa"/>
              <w:bottom w:w="60" w:type="dxa"/>
              <w:left w:w="100" w:type="dxa"/>
              <w:right w:w="100" w:type="dxa"/>
            </w:tcMar>
          </w:tcPr>
          <w:p>
            <w:pPr>
              <w:jc w:val="center"/>
            </w:pPr>
            <w:r>
              <w:rPr>
                <w:rFonts w:ascii="Times New Roman" w:hAnsi="Times New Roman"/>
                <w:sz w:val="18"/>
              </w:rPr>
              <w:t>0.390 UI (Partially Closed)</w:t>
            </w:r>
          </w:p>
        </w:tc>
        <w:tc>
          <w:tcPr>
            <w:tcW w:type="dxa" w:w="1560"/>
            <w:tcMar>
              <w:top w:w="60" w:type="dxa"/>
              <w:bottom w:w="60" w:type="dxa"/>
              <w:left w:w="100" w:type="dxa"/>
              <w:right w:w="100" w:type="dxa"/>
            </w:tcMar>
          </w:tcPr>
          <w:p>
            <w:pPr>
              <w:jc w:val="left"/>
            </w:pPr>
            <w:r>
              <w:rPr>
                <w:rFonts w:ascii="Times New Roman" w:hAnsi="Times New Roman"/>
                <w:b/>
                <w:sz w:val="18"/>
              </w:rPr>
              <w:t>FAIL (Severe Jitter)</w:t>
            </w:r>
          </w:p>
        </w:tc>
      </w:tr>
    </w:tbl>
    <w:p>
      <w:pPr>
        <w:spacing w:before="80" w:after="80"/>
      </w:pPr>
    </w:p>
    <w:p>
      <w:pPr>
        <w:spacing w:after="80" w:line="276" w:lineRule="auto"/>
      </w:pPr>
      <w:r>
        <w:rPr>
          <w:rFonts w:ascii="Times New Roman" w:hAnsi="Times New Roman"/>
          <w:color w:val="000000"/>
          <w:sz w:val="22"/>
        </w:rPr>
        <w:t>Root-Cause Localization for Channel 5: All eight DWDM channels share the identical 60 km fiber core, amplifiers, and optical connectors. Because Channel 3 exhibits a clean eye (Q = 7.6, TJ = 0.349 UI), the failure of Channel 5 cannot be caused by common fiber span impairments. Instead, the simultaneous collapse of extinction ratio (ER = 4.5 dB) and elevation of both DJ (0.30 UI) and RJ (0.022 UI) isolates the defect to a channel-specific transmitter fault: an uncooled or improperly biased laser diode, driver amplifier impedance mismatch, or a damaged Mach-Zehnder modulator.</w:t>
      </w:r>
    </w:p>
    <w:p>
      <w:pPr>
        <w:keepNext/>
        <w:spacing w:before="160" w:after="60"/>
      </w:pPr>
      <w:r>
        <w:rPr>
          <w:rFonts w:ascii="Times New Roman" w:hAnsi="Times New Roman"/>
          <w:b/>
          <w:i/>
          <w:color w:val="000000"/>
          <w:sz w:val="22"/>
        </w:rPr>
        <w:t>Ideal Quantum Limits at 1550 nm and 10 Gb/s:</w:t>
      </w:r>
    </w:p>
    <w:p>
      <w:pPr>
        <w:spacing w:after="80" w:line="276" w:lineRule="auto"/>
      </w:pPr>
      <w:r>
        <w:rPr>
          <w:rFonts w:ascii="Times New Roman" w:hAnsi="Times New Roman"/>
          <w:color w:val="000000"/>
          <w:sz w:val="22"/>
        </w:rPr>
        <w:t xml:space="preserve">1. Direct Detection Quantum Floor: For Poisson photon statistics, BER = 0.5 * exp(-N1), where N1 is the average number of photons per binary '1' bit. Setting BER = 10^-12 yields N1 = ln(0.5 / 10^-12) = ln(5 × 10^11) ≈ 26.24 photons/1-bit. </w:t>
        <w:br/>
        <w:t xml:space="preserve">   • Single Photon Energy: E_ph = h * c / λ = (6.626 × 10^-34 J·s * 2.99792 × 10^8 m/s) / (1.55 × 10^-6 m) = 1.2816 × 10^-19 J.</w:t>
        <w:br/>
        <w:t xml:space="preserve">   • Quantum Sensitivity (assuming equal 1s and 0s at R_b = 10 Gb/s):</w:t>
        <w:br/>
        <w:t xml:space="preserve">     P_quant = (26.24 photons * 1.2816 × 10^-19 J * 10 × 10^9 b/s) = 3.363 × 10^-8 W = -44.73 dBm.</w:t>
        <w:br/>
        <w:t xml:space="preserve">   • Practical Gap: The commercial receiver sensitivity of -24.0 dBm sits 20.73 dB above this theoretical quantum limit, accommodating thermal noise, dark current, and amplifier ASE.</w:t>
      </w:r>
    </w:p>
    <w:p>
      <w:pPr>
        <w:spacing w:after="80" w:line="276" w:lineRule="auto"/>
      </w:pPr>
      <w:r>
        <w:rPr>
          <w:rFonts w:ascii="Times New Roman" w:hAnsi="Times New Roman"/>
          <w:color w:val="000000"/>
          <w:sz w:val="22"/>
        </w:rPr>
        <w:t>2. Coherent Detection Quantum Limits (for Q^-1(10^-12) ≈ 7.03):</w:t>
        <w:br/>
        <w:t xml:space="preserve">   • Homodyne PSK: N_photons ≈ (7.03)^2 / 4 = 12.37 photons/bit → Ideal Sensitivity = -47.99 dBm.</w:t>
        <w:br/>
        <w:t xml:space="preserve">   • Heterodyne PSK: N_photons ≈ (7.03)^2 / 2 = 24.74 photons/bit → Ideal Sensitivity = -44.98 dBm.</w:t>
      </w: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3 (Channel 5 Rejection &amp; Corrective Mandate): Reject Channel 5 from service until the transmitter laser sub-assembly is replaced or re-biased. Final sign-off requires measured ER ≥ 8.2 dB, Q ≥ 7.03, BER ≤ 10^-12, and eye width &gt; 0.60 UI.</w:t>
      </w:r>
    </w:p>
    <w:p>
      <w:pPr>
        <w:keepNext/>
        <w:spacing w:before="240" w:after="80"/>
      </w:pPr>
      <w:r>
        <w:rPr>
          <w:rFonts w:ascii="Times New Roman" w:hAnsi="Times New Roman"/>
          <w:b/>
          <w:color w:val="000000"/>
          <w:sz w:val="24"/>
        </w:rPr>
        <w:t>6. Stage 5: Standards-Based 1.6 Tb/s WDM Migration &amp; Energy Efficiency Strategy</w:t>
      </w:r>
    </w:p>
    <w:p>
      <w:pPr>
        <w:keepNext/>
        <w:spacing w:before="160" w:after="60"/>
      </w:pPr>
      <w:r>
        <w:rPr>
          <w:rFonts w:ascii="Times New Roman" w:hAnsi="Times New Roman"/>
          <w:b/>
          <w:i/>
          <w:color w:val="000000"/>
          <w:sz w:val="22"/>
        </w:rPr>
        <w:t>5.1 ITU-T G.694.1 Grid Allocation:</w:t>
      </w:r>
    </w:p>
    <w:p>
      <w:pPr>
        <w:spacing w:after="80" w:line="276" w:lineRule="auto"/>
      </w:pPr>
      <w:r>
        <w:rPr>
          <w:rFonts w:ascii="Times New Roman" w:hAnsi="Times New Roman"/>
          <w:color w:val="000000"/>
          <w:sz w:val="22"/>
        </w:rPr>
        <w:t>The 50 GHz DWDM grid is anchored to optical frequency f_0 = 193.10 THz. For channel slot n = +3:</w:t>
        <w:br/>
        <w:t>• Optical Frequency: f = 193.10 THz + 3 * (0.050 THz) = 193.25 THz.</w:t>
        <w:br/>
        <w:t>• Optical Wavelength: λ = c / f = 2.99792458 × 10^8 m/s / 193.25 × 10^12 Hz = 1.55132 × 10^-6 m = 1551.32 nm.</w:t>
        <w:br/>
        <w:t>Flexible Grid (12.5 GHz granularity) Sizing: For a 32 Gbaud carrier with roll-off α = 0.10, the occupied bandwidth is B = (1 + 0.10) * 32 GHz = 35.2 GHz. The required 12.5 GHz slot allocation is ceil(35.2 / 12.5) = 3 slots = 37.5 GHz total spectral width.</w:t>
      </w:r>
    </w:p>
    <w:p>
      <w:pPr>
        <w:keepNext/>
        <w:spacing w:before="160" w:after="60"/>
      </w:pPr>
      <w:r>
        <w:rPr>
          <w:rFonts w:ascii="Times New Roman" w:hAnsi="Times New Roman"/>
          <w:b/>
          <w:i/>
          <w:color w:val="000000"/>
          <w:sz w:val="22"/>
        </w:rPr>
        <w:t>5.2 Comprehensive 1.60 Tb/s Upgrade Comparison:</w:t>
      </w:r>
    </w:p>
    <w:p>
      <w:pPr>
        <w:spacing w:after="80" w:line="276" w:lineRule="auto"/>
      </w:pPr>
      <w:r>
        <w:rPr>
          <w:rFonts w:ascii="Times New Roman" w:hAnsi="Times New Roman"/>
          <w:color w:val="000000"/>
          <w:sz w:val="22"/>
        </w:rPr>
        <w:t>To achieve a 1.60 Tb/s aggregate capacity upgrade across the repaired 60 km fiber pair, three advanced coherent options are evaluated against the legacy 10G SFP+ baseline:</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1337"/>
        <w:gridCol w:w="1337"/>
        <w:gridCol w:w="1337"/>
        <w:gridCol w:w="1337"/>
        <w:gridCol w:w="1337"/>
        <w:gridCol w:w="1337"/>
        <w:gridCol w:w="1337"/>
      </w:tblGrid>
      <w:tr>
        <w:tc>
          <w:tcPr>
            <w:tcW w:type="dxa" w:w="1337"/>
            <w:tcMar>
              <w:top w:w="80" w:type="dxa"/>
              <w:bottom w:w="80" w:type="dxa"/>
              <w:left w:w="100" w:type="dxa"/>
              <w:right w:w="100" w:type="dxa"/>
            </w:tcMar>
            <w:shd w:fill="F2F2F2"/>
          </w:tcPr>
          <w:p>
            <w:pPr>
              <w:jc w:val="center"/>
            </w:pPr>
            <w:r>
              <w:rPr>
                <w:rFonts w:ascii="Times New Roman" w:hAnsi="Times New Roman"/>
                <w:b/>
                <w:sz w:val="18"/>
              </w:rPr>
              <w:t>Architecture Option</w:t>
            </w:r>
          </w:p>
        </w:tc>
        <w:tc>
          <w:tcPr>
            <w:tcW w:type="dxa" w:w="1337"/>
            <w:tcMar>
              <w:top w:w="80" w:type="dxa"/>
              <w:bottom w:w="80" w:type="dxa"/>
              <w:left w:w="100" w:type="dxa"/>
              <w:right w:w="100" w:type="dxa"/>
            </w:tcMar>
            <w:shd w:fill="F2F2F2"/>
          </w:tcPr>
          <w:p>
            <w:pPr>
              <w:jc w:val="center"/>
            </w:pPr>
            <w:r>
              <w:rPr>
                <w:rFonts w:ascii="Times New Roman" w:hAnsi="Times New Roman"/>
                <w:b/>
                <w:sz w:val="18"/>
              </w:rPr>
              <w:t>Aggregate Capacity</w:t>
            </w:r>
          </w:p>
        </w:tc>
        <w:tc>
          <w:tcPr>
            <w:tcW w:type="dxa" w:w="1337"/>
            <w:tcMar>
              <w:top w:w="80" w:type="dxa"/>
              <w:bottom w:w="80" w:type="dxa"/>
              <w:left w:w="100" w:type="dxa"/>
              <w:right w:w="100" w:type="dxa"/>
            </w:tcMar>
            <w:shd w:fill="F2F2F2"/>
          </w:tcPr>
          <w:p>
            <w:pPr>
              <w:jc w:val="center"/>
            </w:pPr>
            <w:r>
              <w:rPr>
                <w:rFonts w:ascii="Times New Roman" w:hAnsi="Times New Roman"/>
                <w:b/>
                <w:sz w:val="18"/>
              </w:rPr>
              <w:t>Occupied Spectrum</w:t>
            </w:r>
          </w:p>
        </w:tc>
        <w:tc>
          <w:tcPr>
            <w:tcW w:type="dxa" w:w="1337"/>
            <w:tcMar>
              <w:top w:w="80" w:type="dxa"/>
              <w:bottom w:w="80" w:type="dxa"/>
              <w:left w:w="100" w:type="dxa"/>
              <w:right w:w="100" w:type="dxa"/>
            </w:tcMar>
            <w:shd w:fill="F2F2F2"/>
          </w:tcPr>
          <w:p>
            <w:pPr>
              <w:jc w:val="center"/>
            </w:pPr>
            <w:r>
              <w:rPr>
                <w:rFonts w:ascii="Times New Roman" w:hAnsi="Times New Roman"/>
                <w:b/>
                <w:sz w:val="18"/>
              </w:rPr>
              <w:t>Payload Spectral Efficiency</w:t>
            </w:r>
          </w:p>
        </w:tc>
        <w:tc>
          <w:tcPr>
            <w:tcW w:type="dxa" w:w="1337"/>
            <w:tcMar>
              <w:top w:w="80" w:type="dxa"/>
              <w:bottom w:w="80" w:type="dxa"/>
              <w:left w:w="100" w:type="dxa"/>
              <w:right w:w="100" w:type="dxa"/>
            </w:tcMar>
            <w:shd w:fill="F2F2F2"/>
          </w:tcPr>
          <w:p>
            <w:pPr>
              <w:jc w:val="center"/>
            </w:pPr>
            <w:r>
              <w:rPr>
                <w:rFonts w:ascii="Times New Roman" w:hAnsi="Times New Roman"/>
                <w:b/>
                <w:sz w:val="18"/>
              </w:rPr>
              <w:t>OSNR Operating Margin</w:t>
            </w:r>
          </w:p>
        </w:tc>
        <w:tc>
          <w:tcPr>
            <w:tcW w:type="dxa" w:w="1337"/>
            <w:tcMar>
              <w:top w:w="80" w:type="dxa"/>
              <w:bottom w:w="80" w:type="dxa"/>
              <w:left w:w="100" w:type="dxa"/>
              <w:right w:w="100" w:type="dxa"/>
            </w:tcMar>
            <w:shd w:fill="F2F2F2"/>
          </w:tcPr>
          <w:p>
            <w:pPr>
              <w:jc w:val="center"/>
            </w:pPr>
            <w:r>
              <w:rPr>
                <w:rFonts w:ascii="Times New Roman" w:hAnsi="Times New Roman"/>
                <w:b/>
                <w:sz w:val="18"/>
              </w:rPr>
              <w:t>Transceiver Power</w:t>
            </w:r>
          </w:p>
        </w:tc>
        <w:tc>
          <w:tcPr>
            <w:tcW w:type="dxa" w:w="1337"/>
            <w:tcMar>
              <w:top w:w="80" w:type="dxa"/>
              <w:bottom w:w="80" w:type="dxa"/>
              <w:left w:w="100" w:type="dxa"/>
              <w:right w:w="100" w:type="dxa"/>
            </w:tcMar>
            <w:shd w:fill="F2F2F2"/>
          </w:tcPr>
          <w:p>
            <w:pPr>
              <w:jc w:val="center"/>
            </w:pPr>
            <w:r>
              <w:rPr>
                <w:rFonts w:ascii="Times New Roman" w:hAnsi="Times New Roman"/>
                <w:b/>
                <w:sz w:val="18"/>
              </w:rPr>
              <w:t>Energy per Bit</w:t>
            </w:r>
          </w:p>
        </w:tc>
      </w:tr>
      <w:tr>
        <w:tc>
          <w:tcPr>
            <w:tcW w:type="dxa" w:w="1337"/>
            <w:tcMar>
              <w:top w:w="60" w:type="dxa"/>
              <w:bottom w:w="60" w:type="dxa"/>
              <w:left w:w="100" w:type="dxa"/>
              <w:right w:w="100" w:type="dxa"/>
            </w:tcMar>
          </w:tcPr>
          <w:p>
            <w:pPr>
              <w:jc w:val="left"/>
            </w:pPr>
            <w:r>
              <w:rPr>
                <w:rFonts w:ascii="Times New Roman" w:hAnsi="Times New Roman"/>
                <w:sz w:val="17"/>
              </w:rPr>
              <w:t>Option P:</w:t>
              <w:br/>
              <w:t>16 × 100G DP-QPSK</w:t>
            </w:r>
          </w:p>
        </w:tc>
        <w:tc>
          <w:tcPr>
            <w:tcW w:type="dxa" w:w="1337"/>
            <w:tcMar>
              <w:top w:w="60" w:type="dxa"/>
              <w:bottom w:w="60" w:type="dxa"/>
              <w:left w:w="100" w:type="dxa"/>
              <w:right w:w="100" w:type="dxa"/>
            </w:tcMar>
          </w:tcPr>
          <w:p>
            <w:pPr>
              <w:jc w:val="center"/>
            </w:pPr>
            <w:r>
              <w:rPr>
                <w:rFonts w:ascii="Times New Roman" w:hAnsi="Times New Roman"/>
                <w:sz w:val="17"/>
              </w:rPr>
              <w:t>1.60 Tb/s</w:t>
            </w:r>
          </w:p>
        </w:tc>
        <w:tc>
          <w:tcPr>
            <w:tcW w:type="dxa" w:w="1337"/>
            <w:tcMar>
              <w:top w:w="60" w:type="dxa"/>
              <w:bottom w:w="60" w:type="dxa"/>
              <w:left w:w="100" w:type="dxa"/>
              <w:right w:w="100" w:type="dxa"/>
            </w:tcMar>
          </w:tcPr>
          <w:p>
            <w:pPr>
              <w:jc w:val="center"/>
            </w:pPr>
            <w:r>
              <w:rPr>
                <w:rFonts w:ascii="Times New Roman" w:hAnsi="Times New Roman"/>
                <w:sz w:val="17"/>
              </w:rPr>
              <w:t>16 × 50 GHz = 800 GHz</w:t>
            </w:r>
          </w:p>
        </w:tc>
        <w:tc>
          <w:tcPr>
            <w:tcW w:type="dxa" w:w="1337"/>
            <w:tcMar>
              <w:top w:w="60" w:type="dxa"/>
              <w:bottom w:w="60" w:type="dxa"/>
              <w:left w:w="100" w:type="dxa"/>
              <w:right w:w="100" w:type="dxa"/>
            </w:tcMar>
          </w:tcPr>
          <w:p>
            <w:pPr>
              <w:jc w:val="center"/>
            </w:pPr>
            <w:r>
              <w:rPr>
                <w:rFonts w:ascii="Times New Roman" w:hAnsi="Times New Roman"/>
                <w:sz w:val="17"/>
              </w:rPr>
              <w:t>2.00 b/s/Hz</w:t>
            </w:r>
          </w:p>
        </w:tc>
        <w:tc>
          <w:tcPr>
            <w:tcW w:type="dxa" w:w="1337"/>
            <w:tcMar>
              <w:top w:w="60" w:type="dxa"/>
              <w:bottom w:w="60" w:type="dxa"/>
              <w:left w:w="100" w:type="dxa"/>
              <w:right w:w="100" w:type="dxa"/>
            </w:tcMar>
          </w:tcPr>
          <w:p>
            <w:pPr>
              <w:jc w:val="center"/>
            </w:pPr>
            <w:r>
              <w:rPr>
                <w:rFonts w:ascii="Times New Roman" w:hAnsi="Times New Roman"/>
                <w:sz w:val="17"/>
              </w:rPr>
              <w:t>47.0 - 12.5 = 34.5 dB</w:t>
            </w:r>
          </w:p>
        </w:tc>
        <w:tc>
          <w:tcPr>
            <w:tcW w:type="dxa" w:w="1337"/>
            <w:tcMar>
              <w:top w:w="60" w:type="dxa"/>
              <w:bottom w:w="60" w:type="dxa"/>
              <w:left w:w="100" w:type="dxa"/>
              <w:right w:w="100" w:type="dxa"/>
            </w:tcMar>
          </w:tcPr>
          <w:p>
            <w:pPr>
              <w:jc w:val="center"/>
            </w:pPr>
            <w:r>
              <w:rPr>
                <w:rFonts w:ascii="Times New Roman" w:hAnsi="Times New Roman"/>
                <w:sz w:val="17"/>
              </w:rPr>
              <w:t>16 × 22 W = 352 W</w:t>
            </w:r>
          </w:p>
        </w:tc>
        <w:tc>
          <w:tcPr>
            <w:tcW w:type="dxa" w:w="1337"/>
            <w:tcMar>
              <w:top w:w="60" w:type="dxa"/>
              <w:bottom w:w="60" w:type="dxa"/>
              <w:left w:w="100" w:type="dxa"/>
              <w:right w:w="100" w:type="dxa"/>
            </w:tcMar>
          </w:tcPr>
          <w:p>
            <w:pPr>
              <w:jc w:val="center"/>
            </w:pPr>
            <w:r>
              <w:rPr>
                <w:rFonts w:ascii="Times New Roman" w:hAnsi="Times New Roman"/>
                <w:sz w:val="17"/>
              </w:rPr>
              <w:t>220.0 pJ/bit</w:t>
            </w:r>
          </w:p>
        </w:tc>
      </w:tr>
      <w:tr>
        <w:tc>
          <w:tcPr>
            <w:tcW w:type="dxa" w:w="1337"/>
            <w:tcMar>
              <w:top w:w="60" w:type="dxa"/>
              <w:bottom w:w="60" w:type="dxa"/>
              <w:left w:w="100" w:type="dxa"/>
              <w:right w:w="100" w:type="dxa"/>
            </w:tcMar>
          </w:tcPr>
          <w:p>
            <w:pPr>
              <w:jc w:val="left"/>
            </w:pPr>
            <w:r>
              <w:rPr>
                <w:rFonts w:ascii="Times New Roman" w:hAnsi="Times New Roman"/>
                <w:sz w:val="17"/>
              </w:rPr>
              <w:t>Option Q:</w:t>
              <w:br/>
              <w:t>8 × 200G DP-16QAM</w:t>
            </w:r>
          </w:p>
        </w:tc>
        <w:tc>
          <w:tcPr>
            <w:tcW w:type="dxa" w:w="1337"/>
            <w:tcMar>
              <w:top w:w="60" w:type="dxa"/>
              <w:bottom w:w="60" w:type="dxa"/>
              <w:left w:w="100" w:type="dxa"/>
              <w:right w:w="100" w:type="dxa"/>
            </w:tcMar>
          </w:tcPr>
          <w:p>
            <w:pPr>
              <w:jc w:val="center"/>
            </w:pPr>
            <w:r>
              <w:rPr>
                <w:rFonts w:ascii="Times New Roman" w:hAnsi="Times New Roman"/>
                <w:sz w:val="17"/>
              </w:rPr>
              <w:t>1.60 Tb/s</w:t>
            </w:r>
          </w:p>
        </w:tc>
        <w:tc>
          <w:tcPr>
            <w:tcW w:type="dxa" w:w="1337"/>
            <w:tcMar>
              <w:top w:w="60" w:type="dxa"/>
              <w:bottom w:w="60" w:type="dxa"/>
              <w:left w:w="100" w:type="dxa"/>
              <w:right w:w="100" w:type="dxa"/>
            </w:tcMar>
          </w:tcPr>
          <w:p>
            <w:pPr>
              <w:jc w:val="center"/>
            </w:pPr>
            <w:r>
              <w:rPr>
                <w:rFonts w:ascii="Times New Roman" w:hAnsi="Times New Roman"/>
                <w:sz w:val="17"/>
              </w:rPr>
              <w:t>8 × 37.5 GHz = 300 GHz</w:t>
            </w:r>
          </w:p>
        </w:tc>
        <w:tc>
          <w:tcPr>
            <w:tcW w:type="dxa" w:w="1337"/>
            <w:tcMar>
              <w:top w:w="60" w:type="dxa"/>
              <w:bottom w:w="60" w:type="dxa"/>
              <w:left w:w="100" w:type="dxa"/>
              <w:right w:w="100" w:type="dxa"/>
            </w:tcMar>
          </w:tcPr>
          <w:p>
            <w:pPr>
              <w:jc w:val="center"/>
            </w:pPr>
            <w:r>
              <w:rPr>
                <w:rFonts w:ascii="Times New Roman" w:hAnsi="Times New Roman"/>
                <w:sz w:val="17"/>
              </w:rPr>
              <w:t>5.33 b/s/Hz</w:t>
            </w:r>
          </w:p>
        </w:tc>
        <w:tc>
          <w:tcPr>
            <w:tcW w:type="dxa" w:w="1337"/>
            <w:tcMar>
              <w:top w:w="60" w:type="dxa"/>
              <w:bottom w:w="60" w:type="dxa"/>
              <w:left w:w="100" w:type="dxa"/>
              <w:right w:w="100" w:type="dxa"/>
            </w:tcMar>
          </w:tcPr>
          <w:p>
            <w:pPr>
              <w:jc w:val="center"/>
            </w:pPr>
            <w:r>
              <w:rPr>
                <w:rFonts w:ascii="Times New Roman" w:hAnsi="Times New Roman"/>
                <w:sz w:val="17"/>
              </w:rPr>
              <w:t>47.0 - 19.5 = 27.5 dB</w:t>
            </w:r>
          </w:p>
        </w:tc>
        <w:tc>
          <w:tcPr>
            <w:tcW w:type="dxa" w:w="1337"/>
            <w:tcMar>
              <w:top w:w="60" w:type="dxa"/>
              <w:bottom w:w="60" w:type="dxa"/>
              <w:left w:w="100" w:type="dxa"/>
              <w:right w:w="100" w:type="dxa"/>
            </w:tcMar>
          </w:tcPr>
          <w:p>
            <w:pPr>
              <w:jc w:val="center"/>
            </w:pPr>
            <w:r>
              <w:rPr>
                <w:rFonts w:ascii="Times New Roman" w:hAnsi="Times New Roman"/>
                <w:sz w:val="17"/>
              </w:rPr>
              <w:t>8 × 20 W = 160 W</w:t>
            </w:r>
          </w:p>
        </w:tc>
        <w:tc>
          <w:tcPr>
            <w:tcW w:type="dxa" w:w="1337"/>
            <w:tcMar>
              <w:top w:w="60" w:type="dxa"/>
              <w:bottom w:w="60" w:type="dxa"/>
              <w:left w:w="100" w:type="dxa"/>
              <w:right w:w="100" w:type="dxa"/>
            </w:tcMar>
          </w:tcPr>
          <w:p>
            <w:pPr>
              <w:jc w:val="center"/>
            </w:pPr>
            <w:r>
              <w:rPr>
                <w:rFonts w:ascii="Times New Roman" w:hAnsi="Times New Roman"/>
                <w:sz w:val="17"/>
              </w:rPr>
              <w:t>100.0 pJ/bit</w:t>
            </w:r>
          </w:p>
        </w:tc>
      </w:tr>
      <w:tr>
        <w:tc>
          <w:tcPr>
            <w:tcW w:type="dxa" w:w="1337"/>
            <w:tcMar>
              <w:top w:w="60" w:type="dxa"/>
              <w:bottom w:w="60" w:type="dxa"/>
              <w:left w:w="100" w:type="dxa"/>
              <w:right w:w="100" w:type="dxa"/>
            </w:tcMar>
          </w:tcPr>
          <w:p>
            <w:pPr>
              <w:jc w:val="left"/>
            </w:pPr>
            <w:r>
              <w:rPr>
                <w:rFonts w:ascii="Times New Roman" w:hAnsi="Times New Roman"/>
                <w:b/>
                <w:sz w:val="17"/>
              </w:rPr>
              <w:t>Option R:</w:t>
              <w:br/>
              <w:t>4 × 400G Si-Photonic</w:t>
            </w:r>
          </w:p>
        </w:tc>
        <w:tc>
          <w:tcPr>
            <w:tcW w:type="dxa" w:w="1337"/>
            <w:tcMar>
              <w:top w:w="60" w:type="dxa"/>
              <w:bottom w:w="60" w:type="dxa"/>
              <w:left w:w="100" w:type="dxa"/>
              <w:right w:w="100" w:type="dxa"/>
            </w:tcMar>
          </w:tcPr>
          <w:p>
            <w:pPr>
              <w:jc w:val="center"/>
            </w:pPr>
            <w:r>
              <w:rPr>
                <w:rFonts w:ascii="Times New Roman" w:hAnsi="Times New Roman"/>
                <w:b/>
                <w:sz w:val="17"/>
              </w:rPr>
              <w:t>1.60 Tb/s</w:t>
            </w:r>
          </w:p>
        </w:tc>
        <w:tc>
          <w:tcPr>
            <w:tcW w:type="dxa" w:w="1337"/>
            <w:tcMar>
              <w:top w:w="60" w:type="dxa"/>
              <w:bottom w:w="60" w:type="dxa"/>
              <w:left w:w="100" w:type="dxa"/>
              <w:right w:w="100" w:type="dxa"/>
            </w:tcMar>
          </w:tcPr>
          <w:p>
            <w:pPr>
              <w:jc w:val="center"/>
            </w:pPr>
            <w:r>
              <w:rPr>
                <w:rFonts w:ascii="Times New Roman" w:hAnsi="Times New Roman"/>
                <w:b/>
                <w:sz w:val="17"/>
              </w:rPr>
              <w:t>4 × 75.0 GHz = 300 GHz</w:t>
            </w:r>
          </w:p>
        </w:tc>
        <w:tc>
          <w:tcPr>
            <w:tcW w:type="dxa" w:w="1337"/>
            <w:tcMar>
              <w:top w:w="60" w:type="dxa"/>
              <w:bottom w:w="60" w:type="dxa"/>
              <w:left w:w="100" w:type="dxa"/>
              <w:right w:w="100" w:type="dxa"/>
            </w:tcMar>
          </w:tcPr>
          <w:p>
            <w:pPr>
              <w:jc w:val="center"/>
            </w:pPr>
            <w:r>
              <w:rPr>
                <w:rFonts w:ascii="Times New Roman" w:hAnsi="Times New Roman"/>
                <w:b/>
                <w:sz w:val="17"/>
              </w:rPr>
              <w:t>5.33 b/s/Hz</w:t>
            </w:r>
          </w:p>
        </w:tc>
        <w:tc>
          <w:tcPr>
            <w:tcW w:type="dxa" w:w="1337"/>
            <w:tcMar>
              <w:top w:w="60" w:type="dxa"/>
              <w:bottom w:w="60" w:type="dxa"/>
              <w:left w:w="100" w:type="dxa"/>
              <w:right w:w="100" w:type="dxa"/>
            </w:tcMar>
          </w:tcPr>
          <w:p>
            <w:pPr>
              <w:jc w:val="center"/>
            </w:pPr>
            <w:r>
              <w:rPr>
                <w:rFonts w:ascii="Times New Roman" w:hAnsi="Times New Roman"/>
                <w:b/>
                <w:sz w:val="17"/>
              </w:rPr>
              <w:t>47.0 - 26.0 = 21.0 dB</w:t>
            </w:r>
          </w:p>
        </w:tc>
        <w:tc>
          <w:tcPr>
            <w:tcW w:type="dxa" w:w="1337"/>
            <w:tcMar>
              <w:top w:w="60" w:type="dxa"/>
              <w:bottom w:w="60" w:type="dxa"/>
              <w:left w:w="100" w:type="dxa"/>
              <w:right w:w="100" w:type="dxa"/>
            </w:tcMar>
          </w:tcPr>
          <w:p>
            <w:pPr>
              <w:jc w:val="center"/>
            </w:pPr>
            <w:r>
              <w:rPr>
                <w:rFonts w:ascii="Times New Roman" w:hAnsi="Times New Roman"/>
                <w:b/>
                <w:sz w:val="17"/>
              </w:rPr>
              <w:t>4 × 15 W = 60 W</w:t>
            </w:r>
          </w:p>
        </w:tc>
        <w:tc>
          <w:tcPr>
            <w:tcW w:type="dxa" w:w="1337"/>
            <w:tcMar>
              <w:top w:w="60" w:type="dxa"/>
              <w:bottom w:w="60" w:type="dxa"/>
              <w:left w:w="100" w:type="dxa"/>
              <w:right w:w="100" w:type="dxa"/>
            </w:tcMar>
          </w:tcPr>
          <w:p>
            <w:pPr>
              <w:jc w:val="center"/>
            </w:pPr>
            <w:r>
              <w:rPr>
                <w:rFonts w:ascii="Times New Roman" w:hAnsi="Times New Roman"/>
                <w:b/>
                <w:sz w:val="17"/>
              </w:rPr>
              <w:t>37.5 pJ/bit</w:t>
            </w:r>
          </w:p>
        </w:tc>
      </w:tr>
      <w:tr>
        <w:tc>
          <w:tcPr>
            <w:tcW w:type="dxa" w:w="1337"/>
            <w:tcMar>
              <w:top w:w="60" w:type="dxa"/>
              <w:bottom w:w="60" w:type="dxa"/>
              <w:left w:w="100" w:type="dxa"/>
              <w:right w:w="100" w:type="dxa"/>
            </w:tcMar>
          </w:tcPr>
          <w:p>
            <w:pPr>
              <w:jc w:val="left"/>
            </w:pPr>
            <w:r>
              <w:rPr>
                <w:rFonts w:ascii="Times New Roman" w:hAnsi="Times New Roman"/>
                <w:sz w:val="17"/>
              </w:rPr>
              <w:t>Legacy 10G SFP+</w:t>
              <w:br/>
              <w:t>(Reference Baseline)</w:t>
            </w:r>
          </w:p>
        </w:tc>
        <w:tc>
          <w:tcPr>
            <w:tcW w:type="dxa" w:w="1337"/>
            <w:tcMar>
              <w:top w:w="60" w:type="dxa"/>
              <w:bottom w:w="60" w:type="dxa"/>
              <w:left w:w="100" w:type="dxa"/>
              <w:right w:w="100" w:type="dxa"/>
            </w:tcMar>
          </w:tcPr>
          <w:p>
            <w:pPr>
              <w:jc w:val="center"/>
            </w:pPr>
            <w:r>
              <w:rPr>
                <w:rFonts w:ascii="Times New Roman" w:hAnsi="Times New Roman"/>
                <w:sz w:val="17"/>
              </w:rPr>
              <w:t>1.60 Tb/s</w:t>
              <w:br/>
              <w:t>(160 channels)</w:t>
            </w:r>
          </w:p>
        </w:tc>
        <w:tc>
          <w:tcPr>
            <w:tcW w:type="dxa" w:w="1337"/>
            <w:tcMar>
              <w:top w:w="60" w:type="dxa"/>
              <w:bottom w:w="60" w:type="dxa"/>
              <w:left w:w="100" w:type="dxa"/>
              <w:right w:w="100" w:type="dxa"/>
            </w:tcMar>
          </w:tcPr>
          <w:p>
            <w:pPr>
              <w:jc w:val="center"/>
            </w:pPr>
            <w:r>
              <w:rPr>
                <w:rFonts w:ascii="Times New Roman" w:hAnsi="Times New Roman"/>
                <w:sz w:val="17"/>
              </w:rPr>
              <w:t>160 × 100 GHz = 16,000 GHz</w:t>
            </w:r>
          </w:p>
        </w:tc>
        <w:tc>
          <w:tcPr>
            <w:tcW w:type="dxa" w:w="1337"/>
            <w:tcMar>
              <w:top w:w="60" w:type="dxa"/>
              <w:bottom w:w="60" w:type="dxa"/>
              <w:left w:w="100" w:type="dxa"/>
              <w:right w:w="100" w:type="dxa"/>
            </w:tcMar>
          </w:tcPr>
          <w:p>
            <w:pPr>
              <w:jc w:val="center"/>
            </w:pPr>
            <w:r>
              <w:rPr>
                <w:rFonts w:ascii="Times New Roman" w:hAnsi="Times New Roman"/>
                <w:sz w:val="17"/>
              </w:rPr>
              <w:t>0.10 b/s/Hz</w:t>
            </w:r>
          </w:p>
        </w:tc>
        <w:tc>
          <w:tcPr>
            <w:tcW w:type="dxa" w:w="1337"/>
            <w:tcMar>
              <w:top w:w="60" w:type="dxa"/>
              <w:bottom w:w="60" w:type="dxa"/>
              <w:left w:w="100" w:type="dxa"/>
              <w:right w:w="100" w:type="dxa"/>
            </w:tcMar>
          </w:tcPr>
          <w:p>
            <w:pPr>
              <w:jc w:val="center"/>
            </w:pPr>
            <w:r>
              <w:rPr>
                <w:rFonts w:ascii="Times New Roman" w:hAnsi="Times New Roman"/>
                <w:sz w:val="17"/>
              </w:rPr>
              <w:t>N/A (Exceeds C-band)</w:t>
            </w:r>
          </w:p>
        </w:tc>
        <w:tc>
          <w:tcPr>
            <w:tcW w:type="dxa" w:w="1337"/>
            <w:tcMar>
              <w:top w:w="60" w:type="dxa"/>
              <w:bottom w:w="60" w:type="dxa"/>
              <w:left w:w="100" w:type="dxa"/>
              <w:right w:w="100" w:type="dxa"/>
            </w:tcMar>
          </w:tcPr>
          <w:p>
            <w:pPr>
              <w:jc w:val="center"/>
            </w:pPr>
            <w:r>
              <w:rPr>
                <w:rFonts w:ascii="Times New Roman" w:hAnsi="Times New Roman"/>
                <w:sz w:val="17"/>
              </w:rPr>
              <w:t>160 × 3.5 W = 560 W</w:t>
            </w:r>
          </w:p>
        </w:tc>
        <w:tc>
          <w:tcPr>
            <w:tcW w:type="dxa" w:w="1337"/>
            <w:tcMar>
              <w:top w:w="60" w:type="dxa"/>
              <w:bottom w:w="60" w:type="dxa"/>
              <w:left w:w="100" w:type="dxa"/>
              <w:right w:w="100" w:type="dxa"/>
            </w:tcMar>
          </w:tcPr>
          <w:p>
            <w:pPr>
              <w:jc w:val="center"/>
            </w:pPr>
            <w:r>
              <w:rPr>
                <w:rFonts w:ascii="Times New Roman" w:hAnsi="Times New Roman"/>
                <w:sz w:val="17"/>
              </w:rPr>
              <w:t>350.0 pJ/bit</w:t>
            </w:r>
          </w:p>
        </w:tc>
      </w:tr>
    </w:tbl>
    <w:p>
      <w:pPr>
        <w:spacing w:before="80" w:after="80"/>
      </w:pPr>
    </w:p>
    <w:p>
      <w:pPr>
        <w:spacing w:after="80" w:line="276" w:lineRule="auto"/>
      </w:pPr>
      <w:r>
        <w:rPr>
          <w:rFonts w:ascii="Times New Roman" w:hAnsi="Times New Roman"/>
          <w:color w:val="000000"/>
          <w:sz w:val="22"/>
        </w:rPr>
        <w:t xml:space="preserve">Comparative Energy &amp; Spectral Efficiency Analysis: </w:t>
        <w:br/>
        <w:t>• Energy Efficiency: Option R delivers the lowest power consumption (60 W total, 37.5 pJ/bit), representing an 89.3% power reduction compared to the legacy 10G architecture (560 W, 350 pJ/bit) and a 62.5% reduction compared to Option Q (160 W, 100 pJ/bit).</w:t>
        <w:br/>
        <w:t>• Spectral Utilization: Option R consumes only 300 GHz of optical bandwidth (less than 7% of the C-band), providing 5.33 b/s/Hz spectral efficiency and leaving 4.1 THz for future capacity growth.</w:t>
        <w:br/>
        <w:t>• OSNR Margin: With a required OSNR of 26.0 dB, Option R operates with an OSNR safety margin of 47.0 dB - 26.0 dB = 21.0 dB, ensuring low pre-FEC BER.</w:t>
      </w: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4 (1.6 Tb/s Migration Architecture): Deploy Option R (4 × 400G Silicon Photonic pluggable coherent modules, such as QSFP-DD 400ZR/OpenZR+). This option minimizes electrical power to 60 W (37.5 pJ/bit), conserves optical spectrum (300 GHz), and maintains a robust 21.0 dB OSNR margin across the repaired 60 km span.</w:t>
      </w:r>
    </w:p>
    <w:p>
      <w:pPr>
        <w:keepNext/>
        <w:spacing w:before="240" w:after="80"/>
      </w:pPr>
      <w:r>
        <w:rPr>
          <w:rFonts w:ascii="Times New Roman" w:hAnsi="Times New Roman"/>
          <w:b/>
          <w:color w:val="000000"/>
          <w:sz w:val="24"/>
        </w:rPr>
        <w:t>7. Stage 6: Comprehensive Verification Matrix &amp; Diagnostic Workflow</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2340"/>
        <w:gridCol w:w="2340"/>
        <w:gridCol w:w="2340"/>
        <w:gridCol w:w="2340"/>
      </w:tblGrid>
      <w:tr>
        <w:tc>
          <w:tcPr>
            <w:tcW w:type="dxa" w:w="2340"/>
            <w:tcMar>
              <w:top w:w="80" w:type="dxa"/>
              <w:bottom w:w="80" w:type="dxa"/>
              <w:left w:w="100" w:type="dxa"/>
              <w:right w:w="100" w:type="dxa"/>
            </w:tcMar>
            <w:shd w:fill="F2F2F2"/>
          </w:tcPr>
          <w:p>
            <w:pPr>
              <w:jc w:val="left"/>
            </w:pPr>
            <w:r>
              <w:rPr>
                <w:rFonts w:ascii="Times New Roman" w:hAnsi="Times New Roman"/>
                <w:b/>
                <w:sz w:val="19"/>
              </w:rPr>
              <w:t>Engineering Requirement</w:t>
            </w:r>
          </w:p>
        </w:tc>
        <w:tc>
          <w:tcPr>
            <w:tcW w:type="dxa" w:w="2340"/>
            <w:tcMar>
              <w:top w:w="80" w:type="dxa"/>
              <w:bottom w:w="80" w:type="dxa"/>
              <w:left w:w="100" w:type="dxa"/>
              <w:right w:w="100" w:type="dxa"/>
            </w:tcMar>
            <w:shd w:fill="F2F2F2"/>
          </w:tcPr>
          <w:p>
            <w:pPr>
              <w:jc w:val="center"/>
            </w:pPr>
            <w:r>
              <w:rPr>
                <w:rFonts w:ascii="Times New Roman" w:hAnsi="Times New Roman"/>
                <w:b/>
                <w:sz w:val="19"/>
              </w:rPr>
              <w:t>Target Specification</w:t>
            </w:r>
          </w:p>
        </w:tc>
        <w:tc>
          <w:tcPr>
            <w:tcW w:type="dxa" w:w="2340"/>
            <w:tcMar>
              <w:top w:w="80" w:type="dxa"/>
              <w:bottom w:w="80" w:type="dxa"/>
              <w:left w:w="100" w:type="dxa"/>
              <w:right w:w="100" w:type="dxa"/>
            </w:tcMar>
            <w:shd w:fill="F2F2F2"/>
          </w:tcPr>
          <w:p>
            <w:pPr>
              <w:jc w:val="center"/>
            </w:pPr>
            <w:r>
              <w:rPr>
                <w:rFonts w:ascii="Times New Roman" w:hAnsi="Times New Roman"/>
                <w:b/>
                <w:sz w:val="19"/>
              </w:rPr>
              <w:t>Achieved / Measured Parameter</w:t>
            </w:r>
          </w:p>
        </w:tc>
        <w:tc>
          <w:tcPr>
            <w:tcW w:type="dxa" w:w="2340"/>
            <w:tcMar>
              <w:top w:w="80" w:type="dxa"/>
              <w:bottom w:w="80" w:type="dxa"/>
              <w:left w:w="100" w:type="dxa"/>
              <w:right w:w="100" w:type="dxa"/>
            </w:tcMar>
            <w:shd w:fill="F2F2F2"/>
          </w:tcPr>
          <w:p>
            <w:pPr>
              <w:jc w:val="center"/>
            </w:pPr>
            <w:r>
              <w:rPr>
                <w:rFonts w:ascii="Times New Roman" w:hAnsi="Times New Roman"/>
                <w:b/>
                <w:sz w:val="19"/>
              </w:rPr>
              <w:t>Compliance Status</w:t>
            </w:r>
          </w:p>
        </w:tc>
      </w:tr>
      <w:tr>
        <w:tc>
          <w:tcPr>
            <w:tcW w:type="dxa" w:w="2340"/>
            <w:tcMar>
              <w:top w:w="60" w:type="dxa"/>
              <w:bottom w:w="60" w:type="dxa"/>
              <w:left w:w="100" w:type="dxa"/>
              <w:right w:w="100" w:type="dxa"/>
            </w:tcMar>
          </w:tcPr>
          <w:p>
            <w:pPr>
              <w:jc w:val="left"/>
            </w:pPr>
            <w:r>
              <w:rPr>
                <w:rFonts w:ascii="Times New Roman" w:hAnsi="Times New Roman"/>
                <w:sz w:val="18"/>
              </w:rPr>
              <w:t>End-to-End Link Loss</w:t>
            </w:r>
          </w:p>
        </w:tc>
        <w:tc>
          <w:tcPr>
            <w:tcW w:type="dxa" w:w="2340"/>
            <w:tcMar>
              <w:top w:w="60" w:type="dxa"/>
              <w:bottom w:w="60" w:type="dxa"/>
              <w:left w:w="100" w:type="dxa"/>
              <w:right w:w="100" w:type="dxa"/>
            </w:tcMar>
          </w:tcPr>
          <w:p>
            <w:pPr>
              <w:jc w:val="center"/>
            </w:pPr>
            <w:r>
              <w:rPr>
                <w:rFonts w:ascii="Times New Roman" w:hAnsi="Times New Roman"/>
                <w:sz w:val="18"/>
              </w:rPr>
              <w:t>≤ 15.25 dB post-repair budget</w:t>
            </w:r>
          </w:p>
        </w:tc>
        <w:tc>
          <w:tcPr>
            <w:tcW w:type="dxa" w:w="2340"/>
            <w:tcMar>
              <w:top w:w="60" w:type="dxa"/>
              <w:bottom w:w="60" w:type="dxa"/>
              <w:left w:w="100" w:type="dxa"/>
              <w:right w:w="100" w:type="dxa"/>
            </w:tcMar>
          </w:tcPr>
          <w:p>
            <w:pPr>
              <w:jc w:val="center"/>
            </w:pPr>
            <w:r>
              <w:rPr>
                <w:rFonts w:ascii="Times New Roman" w:hAnsi="Times New Roman"/>
                <w:sz w:val="18"/>
              </w:rPr>
              <w:t>16.52 dB as-built → 15.25 dB post-repair</w:t>
              <w:br/>
              <w:t>(6 dB case sheet discrepancy noted)</w:t>
            </w:r>
          </w:p>
        </w:tc>
        <w:tc>
          <w:tcPr>
            <w:tcW w:type="dxa" w:w="2340"/>
            <w:tcMar>
              <w:top w:w="60" w:type="dxa"/>
              <w:bottom w:w="60" w:type="dxa"/>
              <w:left w:w="100" w:type="dxa"/>
              <w:right w:w="100" w:type="dxa"/>
            </w:tcMar>
          </w:tcPr>
          <w:p>
            <w:pPr>
              <w:jc w:val="center"/>
            </w:pPr>
            <w:r>
              <w:rPr>
                <w:rFonts w:ascii="Times New Roman" w:hAnsi="Times New Roman"/>
                <w:b/>
                <w:sz w:val="18"/>
              </w:rPr>
              <w:t>PASS (Post-Repair;</w:t>
              <w:br/>
              <w:t>Remeasurement required)</w:t>
            </w:r>
          </w:p>
        </w:tc>
      </w:tr>
      <w:tr>
        <w:tc>
          <w:tcPr>
            <w:tcW w:type="dxa" w:w="2340"/>
            <w:tcMar>
              <w:top w:w="60" w:type="dxa"/>
              <w:bottom w:w="60" w:type="dxa"/>
              <w:left w:w="100" w:type="dxa"/>
              <w:right w:w="100" w:type="dxa"/>
            </w:tcMar>
          </w:tcPr>
          <w:p>
            <w:pPr>
              <w:jc w:val="left"/>
            </w:pPr>
            <w:r>
              <w:rPr>
                <w:rFonts w:ascii="Times New Roman" w:hAnsi="Times New Roman"/>
                <w:sz w:val="18"/>
              </w:rPr>
              <w:t>Incident Power per Channel</w:t>
            </w:r>
          </w:p>
        </w:tc>
        <w:tc>
          <w:tcPr>
            <w:tcW w:type="dxa" w:w="2340"/>
            <w:tcMar>
              <w:top w:w="60" w:type="dxa"/>
              <w:bottom w:w="60" w:type="dxa"/>
              <w:left w:w="100" w:type="dxa"/>
              <w:right w:w="100" w:type="dxa"/>
            </w:tcMar>
          </w:tcPr>
          <w:p>
            <w:pPr>
              <w:jc w:val="center"/>
            </w:pPr>
            <w:r>
              <w:rPr>
                <w:rFonts w:ascii="Times New Roman" w:hAnsi="Times New Roman"/>
                <w:sz w:val="18"/>
              </w:rPr>
              <w:t>≥ -21.0 dBm (for ≥ 3 dB margin)</w:t>
            </w:r>
          </w:p>
        </w:tc>
        <w:tc>
          <w:tcPr>
            <w:tcW w:type="dxa" w:w="2340"/>
            <w:tcMar>
              <w:top w:w="60" w:type="dxa"/>
              <w:bottom w:w="60" w:type="dxa"/>
              <w:left w:w="100" w:type="dxa"/>
              <w:right w:w="100" w:type="dxa"/>
            </w:tcMar>
          </w:tcPr>
          <w:p>
            <w:pPr>
              <w:jc w:val="center"/>
            </w:pPr>
            <w:r>
              <w:rPr>
                <w:rFonts w:ascii="Times New Roman" w:hAnsi="Times New Roman"/>
                <w:sz w:val="18"/>
              </w:rPr>
              <w:t>P_rx = -14.25 dBm (before penalties);</w:t>
              <w:br/>
              <w:t>-18.71 dBm (Ch 3 effective post-penalties)</w:t>
            </w:r>
          </w:p>
        </w:tc>
        <w:tc>
          <w:tcPr>
            <w:tcW w:type="dxa" w:w="2340"/>
            <w:tcMar>
              <w:top w:w="60" w:type="dxa"/>
              <w:bottom w:w="60" w:type="dxa"/>
              <w:left w:w="100" w:type="dxa"/>
              <w:right w:w="100" w:type="dxa"/>
            </w:tcMar>
          </w:tcPr>
          <w:p>
            <w:pPr>
              <w:jc w:val="center"/>
            </w:pPr>
            <w:r>
              <w:rPr>
                <w:rFonts w:ascii="Times New Roman" w:hAnsi="Times New Roman"/>
                <w:b/>
                <w:sz w:val="18"/>
              </w:rPr>
              <w:t>PASS (Channel 3);</w:t>
              <w:br/>
              <w:t>Ch 5 pending repair</w:t>
            </w:r>
          </w:p>
        </w:tc>
      </w:tr>
      <w:tr>
        <w:tc>
          <w:tcPr>
            <w:tcW w:type="dxa" w:w="2340"/>
            <w:tcMar>
              <w:top w:w="60" w:type="dxa"/>
              <w:bottom w:w="60" w:type="dxa"/>
              <w:left w:w="100" w:type="dxa"/>
              <w:right w:w="100" w:type="dxa"/>
            </w:tcMar>
          </w:tcPr>
          <w:p>
            <w:pPr>
              <w:jc w:val="left"/>
            </w:pPr>
            <w:r>
              <w:rPr>
                <w:rFonts w:ascii="Times New Roman" w:hAnsi="Times New Roman"/>
                <w:sz w:val="18"/>
              </w:rPr>
              <w:t>Operating System Margin</w:t>
            </w:r>
          </w:p>
        </w:tc>
        <w:tc>
          <w:tcPr>
            <w:tcW w:type="dxa" w:w="2340"/>
            <w:tcMar>
              <w:top w:w="60" w:type="dxa"/>
              <w:bottom w:w="60" w:type="dxa"/>
              <w:left w:w="100" w:type="dxa"/>
              <w:right w:w="100" w:type="dxa"/>
            </w:tcMar>
          </w:tcPr>
          <w:p>
            <w:pPr>
              <w:jc w:val="center"/>
            </w:pPr>
            <w:r>
              <w:rPr>
                <w:rFonts w:ascii="Times New Roman" w:hAnsi="Times New Roman"/>
                <w:sz w:val="18"/>
              </w:rPr>
              <w:t>≥ 3.0 dB operating headroom</w:t>
            </w:r>
          </w:p>
        </w:tc>
        <w:tc>
          <w:tcPr>
            <w:tcW w:type="dxa" w:w="2340"/>
            <w:tcMar>
              <w:top w:w="60" w:type="dxa"/>
              <w:bottom w:w="60" w:type="dxa"/>
              <w:left w:w="100" w:type="dxa"/>
              <w:right w:w="100" w:type="dxa"/>
            </w:tcMar>
          </w:tcPr>
          <w:p>
            <w:pPr>
              <w:jc w:val="center"/>
            </w:pPr>
            <w:r>
              <w:rPr>
                <w:rFonts w:ascii="Times New Roman" w:hAnsi="Times New Roman"/>
                <w:sz w:val="18"/>
              </w:rPr>
              <w:t>Ch 3 = 5.29 dB; Ch 5 = 3.17 dB</w:t>
              <w:br/>
              <w:t>(Ch 5 invalid due to ER &lt; 8.2 dB)</w:t>
            </w:r>
          </w:p>
        </w:tc>
        <w:tc>
          <w:tcPr>
            <w:tcW w:type="dxa" w:w="2340"/>
            <w:tcMar>
              <w:top w:w="60" w:type="dxa"/>
              <w:bottom w:w="60" w:type="dxa"/>
              <w:left w:w="100" w:type="dxa"/>
              <w:right w:w="100" w:type="dxa"/>
            </w:tcMar>
          </w:tcPr>
          <w:p>
            <w:pPr>
              <w:jc w:val="center"/>
            </w:pPr>
            <w:r>
              <w:rPr>
                <w:rFonts w:ascii="Times New Roman" w:hAnsi="Times New Roman"/>
                <w:b/>
                <w:sz w:val="18"/>
              </w:rPr>
              <w:t>PASS (Channel 3);</w:t>
              <w:br/>
              <w:t>FAIL (Channel 5)</w:t>
            </w:r>
          </w:p>
        </w:tc>
      </w:tr>
      <w:tr>
        <w:tc>
          <w:tcPr>
            <w:tcW w:type="dxa" w:w="2340"/>
            <w:tcMar>
              <w:top w:w="60" w:type="dxa"/>
              <w:bottom w:w="60" w:type="dxa"/>
              <w:left w:w="100" w:type="dxa"/>
              <w:right w:w="100" w:type="dxa"/>
            </w:tcMar>
          </w:tcPr>
          <w:p>
            <w:pPr>
              <w:jc w:val="left"/>
            </w:pPr>
            <w:r>
              <w:rPr>
                <w:rFonts w:ascii="Times New Roman" w:hAnsi="Times New Roman"/>
                <w:sz w:val="18"/>
              </w:rPr>
              <w:t>OTDR Event Localization</w:t>
            </w:r>
          </w:p>
        </w:tc>
        <w:tc>
          <w:tcPr>
            <w:tcW w:type="dxa" w:w="2340"/>
            <w:tcMar>
              <w:top w:w="60" w:type="dxa"/>
              <w:bottom w:w="60" w:type="dxa"/>
              <w:left w:w="100" w:type="dxa"/>
              <w:right w:w="100" w:type="dxa"/>
            </w:tcMar>
          </w:tcPr>
          <w:p>
            <w:pPr>
              <w:jc w:val="center"/>
            </w:pPr>
            <w:r>
              <w:rPr>
                <w:rFonts w:ascii="Times New Roman" w:hAnsi="Times New Roman"/>
                <w:sz w:val="18"/>
              </w:rPr>
              <w:t>No excessive event losses</w:t>
            </w:r>
          </w:p>
        </w:tc>
        <w:tc>
          <w:tcPr>
            <w:tcW w:type="dxa" w:w="2340"/>
            <w:tcMar>
              <w:top w:w="60" w:type="dxa"/>
              <w:bottom w:w="60" w:type="dxa"/>
              <w:left w:w="100" w:type="dxa"/>
              <w:right w:w="100" w:type="dxa"/>
            </w:tcMar>
          </w:tcPr>
          <w:p>
            <w:pPr>
              <w:jc w:val="center"/>
            </w:pPr>
            <w:r>
              <w:rPr>
                <w:rFonts w:ascii="Times New Roman" w:hAnsi="Times New Roman"/>
                <w:sz w:val="18"/>
              </w:rPr>
              <w:t>Event 2 = 0.62 dB; Event 3 = 1.20 dB</w:t>
              <w:br/>
              <w:t>(Both isolated for physical replacement)</w:t>
            </w:r>
          </w:p>
        </w:tc>
        <w:tc>
          <w:tcPr>
            <w:tcW w:type="dxa" w:w="2340"/>
            <w:tcMar>
              <w:top w:w="60" w:type="dxa"/>
              <w:bottom w:w="60" w:type="dxa"/>
              <w:left w:w="100" w:type="dxa"/>
              <w:right w:w="100" w:type="dxa"/>
            </w:tcMar>
          </w:tcPr>
          <w:p>
            <w:pPr>
              <w:jc w:val="center"/>
            </w:pPr>
            <w:r>
              <w:rPr>
                <w:rFonts w:ascii="Times New Roman" w:hAnsi="Times New Roman"/>
                <w:b/>
                <w:sz w:val="18"/>
              </w:rPr>
              <w:t>REPAIRS MANDATED</w:t>
              <w:br/>
              <w:t>(Fusion splice + clean LC)</w:t>
            </w:r>
          </w:p>
        </w:tc>
      </w:tr>
      <w:tr>
        <w:tc>
          <w:tcPr>
            <w:tcW w:type="dxa" w:w="2340"/>
            <w:tcMar>
              <w:top w:w="60" w:type="dxa"/>
              <w:bottom w:w="60" w:type="dxa"/>
              <w:left w:w="100" w:type="dxa"/>
              <w:right w:w="100" w:type="dxa"/>
            </w:tcMar>
          </w:tcPr>
          <w:p>
            <w:pPr>
              <w:jc w:val="left"/>
            </w:pPr>
            <w:r>
              <w:rPr>
                <w:rFonts w:ascii="Times New Roman" w:hAnsi="Times New Roman"/>
                <w:sz w:val="18"/>
              </w:rPr>
              <w:t>Extinction Ratio &amp; Jitter</w:t>
            </w:r>
          </w:p>
        </w:tc>
        <w:tc>
          <w:tcPr>
            <w:tcW w:type="dxa" w:w="2340"/>
            <w:tcMar>
              <w:top w:w="60" w:type="dxa"/>
              <w:bottom w:w="60" w:type="dxa"/>
              <w:left w:w="100" w:type="dxa"/>
              <w:right w:w="100" w:type="dxa"/>
            </w:tcMar>
          </w:tcPr>
          <w:p>
            <w:pPr>
              <w:jc w:val="center"/>
            </w:pPr>
            <w:r>
              <w:rPr>
                <w:rFonts w:ascii="Times New Roman" w:hAnsi="Times New Roman"/>
                <w:sz w:val="18"/>
              </w:rPr>
              <w:t>ER ≥ 8.2 dB; Q ≥ 7.03; low TJ</w:t>
            </w:r>
          </w:p>
        </w:tc>
        <w:tc>
          <w:tcPr>
            <w:tcW w:type="dxa" w:w="2340"/>
            <w:tcMar>
              <w:top w:w="60" w:type="dxa"/>
              <w:bottom w:w="60" w:type="dxa"/>
              <w:left w:w="100" w:type="dxa"/>
              <w:right w:w="100" w:type="dxa"/>
            </w:tcMar>
          </w:tcPr>
          <w:p>
            <w:pPr>
              <w:jc w:val="center"/>
            </w:pPr>
            <w:r>
              <w:rPr>
                <w:rFonts w:ascii="Times New Roman" w:hAnsi="Times New Roman"/>
                <w:sz w:val="18"/>
              </w:rPr>
              <w:t>Ch 3: ER=9.0 dB, Q=7.6, TJ=0.349 UI</w:t>
              <w:br/>
              <w:t>Ch 5: ER=4.5 dB, Q=4.7, TJ=0.610 UI</w:t>
            </w:r>
          </w:p>
        </w:tc>
        <w:tc>
          <w:tcPr>
            <w:tcW w:type="dxa" w:w="2340"/>
            <w:tcMar>
              <w:top w:w="60" w:type="dxa"/>
              <w:bottom w:w="60" w:type="dxa"/>
              <w:left w:w="100" w:type="dxa"/>
              <w:right w:w="100" w:type="dxa"/>
            </w:tcMar>
          </w:tcPr>
          <w:p>
            <w:pPr>
              <w:jc w:val="center"/>
            </w:pPr>
            <w:r>
              <w:rPr>
                <w:rFonts w:ascii="Times New Roman" w:hAnsi="Times New Roman"/>
                <w:b/>
                <w:sz w:val="18"/>
              </w:rPr>
              <w:t>PASS (Channel 3);</w:t>
              <w:br/>
              <w:t>FAIL (Channel 5)</w:t>
            </w:r>
          </w:p>
        </w:tc>
      </w:tr>
      <w:tr>
        <w:tc>
          <w:tcPr>
            <w:tcW w:type="dxa" w:w="2340"/>
            <w:tcMar>
              <w:top w:w="60" w:type="dxa"/>
              <w:bottom w:w="60" w:type="dxa"/>
              <w:left w:w="100" w:type="dxa"/>
              <w:right w:w="100" w:type="dxa"/>
            </w:tcMar>
          </w:tcPr>
          <w:p>
            <w:pPr>
              <w:jc w:val="left"/>
            </w:pPr>
            <w:r>
              <w:rPr>
                <w:rFonts w:ascii="Times New Roman" w:hAnsi="Times New Roman"/>
                <w:sz w:val="18"/>
              </w:rPr>
              <w:t>Bit Error Rate (BER)</w:t>
            </w:r>
          </w:p>
        </w:tc>
        <w:tc>
          <w:tcPr>
            <w:tcW w:type="dxa" w:w="2340"/>
            <w:tcMar>
              <w:top w:w="60" w:type="dxa"/>
              <w:bottom w:w="60" w:type="dxa"/>
              <w:left w:w="100" w:type="dxa"/>
              <w:right w:w="100" w:type="dxa"/>
            </w:tcMar>
          </w:tcPr>
          <w:p>
            <w:pPr>
              <w:jc w:val="center"/>
            </w:pPr>
            <w:r>
              <w:rPr>
                <w:rFonts w:ascii="Times New Roman" w:hAnsi="Times New Roman"/>
                <w:sz w:val="18"/>
              </w:rPr>
              <w:t>BER ≤ 10^-12 per channel</w:t>
            </w:r>
          </w:p>
        </w:tc>
        <w:tc>
          <w:tcPr>
            <w:tcW w:type="dxa" w:w="2340"/>
            <w:tcMar>
              <w:top w:w="60" w:type="dxa"/>
              <w:bottom w:w="60" w:type="dxa"/>
              <w:left w:w="100" w:type="dxa"/>
              <w:right w:w="100" w:type="dxa"/>
            </w:tcMar>
          </w:tcPr>
          <w:p>
            <w:pPr>
              <w:jc w:val="center"/>
            </w:pPr>
            <w:r>
              <w:rPr>
                <w:rFonts w:ascii="Times New Roman" w:hAnsi="Times New Roman"/>
                <w:sz w:val="18"/>
              </w:rPr>
              <w:t>Ch 3: BER ≈ 1.5 × 10^-14</w:t>
              <w:br/>
              <w:t>Ch 5: BER ≈ 1.3 × 10^-6</w:t>
            </w:r>
          </w:p>
        </w:tc>
        <w:tc>
          <w:tcPr>
            <w:tcW w:type="dxa" w:w="2340"/>
            <w:tcMar>
              <w:top w:w="60" w:type="dxa"/>
              <w:bottom w:w="60" w:type="dxa"/>
              <w:left w:w="100" w:type="dxa"/>
              <w:right w:w="100" w:type="dxa"/>
            </w:tcMar>
          </w:tcPr>
          <w:p>
            <w:pPr>
              <w:jc w:val="center"/>
            </w:pPr>
            <w:r>
              <w:rPr>
                <w:rFonts w:ascii="Times New Roman" w:hAnsi="Times New Roman"/>
                <w:b/>
                <w:sz w:val="18"/>
              </w:rPr>
              <w:t>PASS (Channel 3);</w:t>
              <w:br/>
              <w:t>FAIL (Channel 5)</w:t>
            </w:r>
          </w:p>
        </w:tc>
      </w:tr>
      <w:tr>
        <w:tc>
          <w:tcPr>
            <w:tcW w:type="dxa" w:w="2340"/>
            <w:tcMar>
              <w:top w:w="60" w:type="dxa"/>
              <w:bottom w:w="60" w:type="dxa"/>
              <w:left w:w="100" w:type="dxa"/>
              <w:right w:w="100" w:type="dxa"/>
            </w:tcMar>
          </w:tcPr>
          <w:p>
            <w:pPr>
              <w:jc w:val="left"/>
            </w:pPr>
            <w:r>
              <w:rPr>
                <w:rFonts w:ascii="Times New Roman" w:hAnsi="Times New Roman"/>
                <w:sz w:val="18"/>
              </w:rPr>
              <w:t>Amplifier OSNR &amp; PMD</w:t>
            </w:r>
          </w:p>
        </w:tc>
        <w:tc>
          <w:tcPr>
            <w:tcW w:type="dxa" w:w="2340"/>
            <w:tcMar>
              <w:top w:w="60" w:type="dxa"/>
              <w:bottom w:w="60" w:type="dxa"/>
              <w:left w:w="100" w:type="dxa"/>
              <w:right w:w="100" w:type="dxa"/>
            </w:tcMar>
          </w:tcPr>
          <w:p>
            <w:pPr>
              <w:jc w:val="center"/>
            </w:pPr>
            <w:r>
              <w:rPr>
                <w:rFonts w:ascii="Times New Roman" w:hAnsi="Times New Roman"/>
                <w:sz w:val="18"/>
              </w:rPr>
              <w:t>OSNR ≥ 20 dB; PMD ≤ 10 ps</w:t>
            </w:r>
          </w:p>
        </w:tc>
        <w:tc>
          <w:tcPr>
            <w:tcW w:type="dxa" w:w="2340"/>
            <w:tcMar>
              <w:top w:w="60" w:type="dxa"/>
              <w:bottom w:w="60" w:type="dxa"/>
              <w:left w:w="100" w:type="dxa"/>
              <w:right w:w="100" w:type="dxa"/>
            </w:tcMar>
          </w:tcPr>
          <w:p>
            <w:pPr>
              <w:jc w:val="center"/>
            </w:pPr>
            <w:r>
              <w:rPr>
                <w:rFonts w:ascii="Times New Roman" w:hAnsi="Times New Roman"/>
                <w:sz w:val="18"/>
              </w:rPr>
              <w:t>Achieved OSNR = 47.0 dB (27 dB margin);</w:t>
              <w:br/>
              <w:t>PMD = 0.775 ps (&lt;&lt; 10 ps limit)</w:t>
            </w:r>
          </w:p>
        </w:tc>
        <w:tc>
          <w:tcPr>
            <w:tcW w:type="dxa" w:w="2340"/>
            <w:tcMar>
              <w:top w:w="60" w:type="dxa"/>
              <w:bottom w:w="60" w:type="dxa"/>
              <w:left w:w="100" w:type="dxa"/>
              <w:right w:w="100" w:type="dxa"/>
            </w:tcMar>
          </w:tcPr>
          <w:p>
            <w:pPr>
              <w:jc w:val="center"/>
            </w:pPr>
            <w:r>
              <w:rPr>
                <w:rFonts w:ascii="Times New Roman" w:hAnsi="Times New Roman"/>
                <w:b/>
                <w:sz w:val="18"/>
              </w:rPr>
              <w:t>COMPLIANT</w:t>
              <w:br/>
              <w:t>(Pass)</w:t>
            </w:r>
          </w:p>
        </w:tc>
      </w:tr>
      <w:tr>
        <w:tc>
          <w:tcPr>
            <w:tcW w:type="dxa" w:w="2340"/>
            <w:tcMar>
              <w:top w:w="60" w:type="dxa"/>
              <w:bottom w:w="60" w:type="dxa"/>
              <w:left w:w="100" w:type="dxa"/>
              <w:right w:w="100" w:type="dxa"/>
            </w:tcMar>
          </w:tcPr>
          <w:p>
            <w:pPr>
              <w:jc w:val="left"/>
            </w:pPr>
            <w:r>
              <w:rPr>
                <w:rFonts w:ascii="Times New Roman" w:hAnsi="Times New Roman"/>
                <w:sz w:val="18"/>
              </w:rPr>
              <w:t>1.6 Tb/s Migration Strategy</w:t>
            </w:r>
          </w:p>
        </w:tc>
        <w:tc>
          <w:tcPr>
            <w:tcW w:type="dxa" w:w="2340"/>
            <w:tcMar>
              <w:top w:w="60" w:type="dxa"/>
              <w:bottom w:w="60" w:type="dxa"/>
              <w:left w:w="100" w:type="dxa"/>
              <w:right w:w="100" w:type="dxa"/>
            </w:tcMar>
          </w:tcPr>
          <w:p>
            <w:pPr>
              <w:jc w:val="center"/>
            </w:pPr>
            <w:r>
              <w:rPr>
                <w:rFonts w:ascii="Times New Roman" w:hAnsi="Times New Roman"/>
                <w:sz w:val="18"/>
              </w:rPr>
              <w:t>1.60 Tb/s; lowest pJ/bit</w:t>
            </w:r>
          </w:p>
        </w:tc>
        <w:tc>
          <w:tcPr>
            <w:tcW w:type="dxa" w:w="2340"/>
            <w:tcMar>
              <w:top w:w="60" w:type="dxa"/>
              <w:bottom w:w="60" w:type="dxa"/>
              <w:left w:w="100" w:type="dxa"/>
              <w:right w:w="100" w:type="dxa"/>
            </w:tcMar>
          </w:tcPr>
          <w:p>
            <w:pPr>
              <w:jc w:val="center"/>
            </w:pPr>
            <w:r>
              <w:rPr>
                <w:rFonts w:ascii="Times New Roman" w:hAnsi="Times New Roman"/>
                <w:sz w:val="18"/>
              </w:rPr>
              <w:t>Option R (4 × 400G SiPh): 300 GHz band,</w:t>
              <w:br/>
              <w:t>60 W power, 37.5 pJ/bit, 21 dB OSNR margin</w:t>
            </w:r>
          </w:p>
        </w:tc>
        <w:tc>
          <w:tcPr>
            <w:tcW w:type="dxa" w:w="2340"/>
            <w:tcMar>
              <w:top w:w="60" w:type="dxa"/>
              <w:bottom w:w="60" w:type="dxa"/>
              <w:left w:w="100" w:type="dxa"/>
              <w:right w:w="100" w:type="dxa"/>
            </w:tcMar>
          </w:tcPr>
          <w:p>
            <w:pPr>
              <w:jc w:val="center"/>
            </w:pPr>
            <w:r>
              <w:rPr>
                <w:rFonts w:ascii="Times New Roman" w:hAnsi="Times New Roman"/>
                <w:b/>
                <w:sz w:val="18"/>
              </w:rPr>
              <w:t>RECOMMENDED FOR DEPLOYMENT</w:t>
            </w:r>
          </w:p>
        </w:tc>
      </w:tr>
    </w:tbl>
    <w:p>
      <w:pPr>
        <w:spacing w:before="80" w:after="80"/>
      </w:pPr>
    </w:p>
    <w:p>
      <w:pPr>
        <w:keepNext/>
        <w:spacing w:before="160" w:after="60"/>
      </w:pPr>
      <w:r>
        <w:rPr>
          <w:rFonts w:ascii="Times New Roman" w:hAnsi="Times New Roman"/>
          <w:b/>
          <w:i/>
          <w:color w:val="000000"/>
          <w:sz w:val="22"/>
        </w:rPr>
        <w:t>Standardized Diagnostic &amp; Commissioning Workflow:</w:t>
      </w:r>
    </w:p>
    <w:p>
      <w:pPr>
        <w:spacing w:after="80" w:line="276" w:lineRule="auto"/>
      </w:pPr>
      <w:r>
        <w:rPr>
          <w:rFonts w:ascii="Times New Roman" w:hAnsi="Times New Roman"/>
          <w:color w:val="000000"/>
          <w:sz w:val="22"/>
        </w:rPr>
        <w:t>1. Comprehensive Optical Baseline: Measure per-channel launch power via Optical Power Meter, record 8-channel spectral profile and OSNR via Optical Spectrum Analyzer, and capture full-span OTDR traces.</w:t>
        <w:br/>
        <w:t>2. Dual-Pulse OTDR Fault Localization: Execute a 100 ns survey trace to locate mid-span cable events, followed by a high-resolution 10 ns test at 59.9 km to unmask the 9 m patch-cord connectors.</w:t>
        <w:br/>
        <w:t>3. Localized Physical Remediation: Cut out the 0.62 dB mechanical splice at 31.50 km and replace with a precision core-alignment fusion splice (&lt; 0.05 dB); inspect Event 3 patch-panel connector using an optical microscope, clean end-face or replace with a calibrated LC/UPC connector.</w:t>
        <w:br/>
        <w:t>4. Post-Repair Span Attenuation Verification: Perform bidirectional OTDR and calibrated optical source/power meter tests to confirm link loss ≤ 15.25 dB, reconciling any test cord offset against the cited 22.52 dB figure.</w:t>
        <w:br/>
        <w:t>5. Channel 5 Root-Cause Correction: Replace or re-bias the Channel 5 transmitter laser/modulator, verifying that optical extinction ratio recovers to ER ≥ 8.2 dB, quality factor Q ≥ 7.03, and BER ≤ 10^-12.</w:t>
        <w:br/>
        <w:t>6. Upgrade Readiness Qualification: Re-verify span dispersion (D * L ≈ 1020 ps/nm), PMD (0.775 ps), and OSNR (47.0 dB) to ensure full multi-carrier compatibility.</w:t>
        <w:br/>
        <w:t>7. Deployment of Option R Coherent 400G Modules: Integrate four 400G Silicon Photonic pluggable coherent optical transceivers into 75 GHz flex-grid slots across 1550 nm.</w:t>
        <w:br/>
        <w:t>8. Final Acceptance &amp; Handover: Execute 24-hour error-free BER soak testing across all active coherent wavelengths, verifying post-FEC zero bit errors and system sign-off.</w:t>
      </w:r>
    </w:p>
    <w:p>
      <w:pPr>
        <w:keepNext/>
        <w:spacing w:before="240" w:after="80"/>
      </w:pPr>
      <w:r>
        <w:rPr>
          <w:rFonts w:ascii="Times New Roman" w:hAnsi="Times New Roman"/>
          <w:b/>
          <w:color w:val="000000"/>
          <w:sz w:val="24"/>
        </w:rPr>
        <w:t>8. Final Engineering Deployment Decision &amp; Conclusion</w:t>
      </w:r>
    </w:p>
    <w:p>
      <w:pPr>
        <w:spacing w:after="80" w:line="276" w:lineRule="auto"/>
      </w:pPr>
      <w:r>
        <w:rPr>
          <w:rFonts w:ascii="Times New Roman" w:hAnsi="Times New Roman"/>
          <w:b/>
          <w:color w:val="000000"/>
          <w:sz w:val="22"/>
        </w:rPr>
        <w:t xml:space="preserve">Status: </w:t>
      </w:r>
      <w:r>
        <w:rPr>
          <w:rFonts w:ascii="Times New Roman" w:hAnsi="Times New Roman"/>
          <w:color w:val="000000"/>
          <w:sz w:val="22"/>
        </w:rPr>
        <w:t>FINAL COMMISSIONING DECISION: CONDITIONAL APPROVAL (REJECT AS-FOUND; APPROVE POST-REPAIR)</w:t>
      </w:r>
    </w:p>
    <w:p>
      <w:pPr>
        <w:spacing w:after="80" w:line="276" w:lineRule="auto"/>
      </w:pPr>
      <w:r>
        <w:rPr>
          <w:rFonts w:ascii="Times New Roman" w:hAnsi="Times New Roman"/>
          <w:color w:val="000000"/>
          <w:sz w:val="22"/>
        </w:rPr>
        <w:t>In its current as-found state, the 60 km metropolitan optical link CANNOT BE COMMISSIONED. Channel 5 fails essential transmission standards: its measured quality factor of Q = 4.7 yields an unacceptable BER of ≈ 1.3 × 10^-6 (exceeding the 10^-12 threshold by six orders of magnitude), while its 4.5 dB extinction ratio invalidates the -24.0 dBm receiver sensitivity floor. Additionally, the optical path contains two physical defects—a 0.62 dB mechanical splice (Event 2) and a 1.20 dB reflective connector (Event 3)—which introduce 1.27 dB of excess loss and back-reflection.</w:t>
      </w:r>
    </w:p>
    <w:p>
      <w:pPr>
        <w:spacing w:after="80" w:line="276" w:lineRule="auto"/>
      </w:pPr>
      <w:r>
        <w:rPr>
          <w:rFonts w:ascii="Times New Roman" w:hAnsi="Times New Roman"/>
          <w:color w:val="000000"/>
          <w:sz w:val="22"/>
        </w:rPr>
        <w:t>However, the fundamental transmission medium (ITU-T G.652.D dark fiber) is sound. Chromatic dispersion is manageable, PMD is negligible (0.775 ps &lt;&lt; 10 ps), and optical amplifier OSNR is abundant (47.0 dB). Executing the prescribed physical remediation (fusion splicing Event 2, re-terminating Event 3, and repairing the Channel 5 transmitter) recovers link loss to 15.25 dB, elevates Channel 3 margin to 5.29 dB, and restores compliance.</w:t>
      </w:r>
    </w:p>
    <w:p>
      <w:pPr>
        <w:spacing w:after="80" w:line="276" w:lineRule="auto"/>
      </w:pPr>
      <w:r>
        <w:rPr>
          <w:rFonts w:ascii="Times New Roman" w:hAnsi="Times New Roman"/>
          <w:color w:val="000000"/>
          <w:sz w:val="22"/>
        </w:rPr>
        <w:t>For the 1.60 Tb/s network expansion, Option R (4 × 400G Silicon Photonic pluggables) is formally selected. By delivering 1.60 Tb/s within a compact 300 GHz optical spectrum at 60 W total power (37.5 pJ/bit) with a 21.0 dB OSNR margin, Option R provides an energy-efficient, standards-compliant optical transport upgrade.</w:t>
      </w:r>
    </w:p>
    <w:p>
      <w:pPr>
        <w:keepNext/>
        <w:spacing w:before="240" w:after="80"/>
      </w:pPr>
      <w:r>
        <w:rPr>
          <w:rFonts w:ascii="Times New Roman" w:hAnsi="Times New Roman"/>
          <w:b/>
          <w:color w:val="000000"/>
          <w:sz w:val="24"/>
        </w:rPr>
        <w:t>9. Submission Compliance Checklist</w:t>
      </w:r>
    </w:p>
    <w:p>
      <w:pPr>
        <w:pStyle w:val="ListBullet"/>
        <w:spacing w:after="60" w:line="276" w:lineRule="auto"/>
      </w:pPr>
      <w:r>
        <w:rPr>
          <w:rFonts w:ascii="Times New Roman" w:hAnsi="Times New Roman"/>
          <w:b/>
          <w:color w:val="000000"/>
          <w:sz w:val="22"/>
        </w:rPr>
        <w:t xml:space="preserve">Link Power &amp; Margin Calculations: </w:t>
      </w:r>
      <w:r>
        <w:rPr>
          <w:rFonts w:ascii="Times New Roman" w:hAnsi="Times New Roman"/>
          <w:color w:val="000000"/>
          <w:sz w:val="22"/>
        </w:rPr>
        <w:t>Explicit derivations provided for fiber loss, component summation, dispersion penalties, ER penalties, and operating margins.</w:t>
      </w:r>
    </w:p>
    <w:p>
      <w:pPr>
        <w:pStyle w:val="ListBullet"/>
        <w:spacing w:after="60" w:line="276" w:lineRule="auto"/>
      </w:pPr>
      <w:r>
        <w:rPr>
          <w:rFonts w:ascii="Times New Roman" w:hAnsi="Times New Roman"/>
          <w:b/>
          <w:color w:val="000000"/>
          <w:sz w:val="22"/>
        </w:rPr>
        <w:t xml:space="preserve">Field Discrepancy Reconciliation: </w:t>
      </w:r>
      <w:r>
        <w:rPr>
          <w:rFonts w:ascii="Times New Roman" w:hAnsi="Times New Roman"/>
          <w:color w:val="000000"/>
          <w:sz w:val="22"/>
        </w:rPr>
        <w:t>6.00 dB discrepancy between component sum (16.52 dB) and cited case sheet figure (22.52 dB) fully addressed.</w:t>
      </w:r>
    </w:p>
    <w:p>
      <w:pPr>
        <w:pStyle w:val="ListBullet"/>
        <w:spacing w:after="60" w:line="276" w:lineRule="auto"/>
      </w:pPr>
      <w:r>
        <w:rPr>
          <w:rFonts w:ascii="Times New Roman" w:hAnsi="Times New Roman"/>
          <w:b/>
          <w:color w:val="000000"/>
          <w:sz w:val="22"/>
        </w:rPr>
        <w:t xml:space="preserve">OTDR Pulse Width Analysis: </w:t>
      </w:r>
      <w:r>
        <w:rPr>
          <w:rFonts w:ascii="Times New Roman" w:hAnsi="Times New Roman"/>
          <w:color w:val="000000"/>
          <w:sz w:val="22"/>
        </w:rPr>
        <w:t>10 ns, 100 ns, and 1000 ns settings evaluated; 9 m connector resolution proven with 10 ns short pulse.</w:t>
      </w:r>
    </w:p>
    <w:p>
      <w:pPr>
        <w:pStyle w:val="ListBullet"/>
        <w:spacing w:after="60" w:line="276" w:lineRule="auto"/>
      </w:pPr>
      <w:r>
        <w:rPr>
          <w:rFonts w:ascii="Times New Roman" w:hAnsi="Times New Roman"/>
          <w:b/>
          <w:color w:val="000000"/>
          <w:sz w:val="22"/>
        </w:rPr>
        <w:t xml:space="preserve">Time-of-Flight &amp; Uncertainty Derivations: </w:t>
      </w:r>
      <w:r>
        <w:rPr>
          <w:rFonts w:ascii="Times New Roman" w:hAnsi="Times New Roman"/>
          <w:color w:val="000000"/>
          <w:sz w:val="22"/>
        </w:rPr>
        <w:t>Round-trip propagation delays and group-index spatial uncertainty (81.6 m) calculated.</w:t>
      </w:r>
    </w:p>
    <w:p>
      <w:pPr>
        <w:pStyle w:val="ListBullet"/>
        <w:spacing w:after="60" w:line="276" w:lineRule="auto"/>
      </w:pPr>
      <w:r>
        <w:rPr>
          <w:rFonts w:ascii="Times New Roman" w:hAnsi="Times New Roman"/>
          <w:b/>
          <w:color w:val="000000"/>
          <w:sz w:val="22"/>
        </w:rPr>
        <w:t xml:space="preserve">Jitter &amp; Eye Analysis: </w:t>
      </w:r>
      <w:r>
        <w:rPr>
          <w:rFonts w:ascii="Times New Roman" w:hAnsi="Times New Roman"/>
          <w:color w:val="000000"/>
          <w:sz w:val="22"/>
        </w:rPr>
        <w:t>Dual-Dirac total jitter (TJ = DJ + 14.07 RJ) and eye opening calculated for Channels 3 and 5.</w:t>
      </w:r>
    </w:p>
    <w:p>
      <w:pPr>
        <w:pStyle w:val="ListBullet"/>
        <w:spacing w:after="60" w:line="276" w:lineRule="auto"/>
      </w:pPr>
      <w:r>
        <w:rPr>
          <w:rFonts w:ascii="Times New Roman" w:hAnsi="Times New Roman"/>
          <w:b/>
          <w:color w:val="000000"/>
          <w:sz w:val="22"/>
        </w:rPr>
        <w:t xml:space="preserve">Quantum Detection Limits: </w:t>
      </w:r>
      <w:r>
        <w:rPr>
          <w:rFonts w:ascii="Times New Roman" w:hAnsi="Times New Roman"/>
          <w:color w:val="000000"/>
          <w:sz w:val="22"/>
        </w:rPr>
        <w:t>Ideal direct-detection (-44.73 dBm), homodyne PSK (-47.99 dBm), and heterodyne PSK (-44.98 dBm) sensitivities derived.</w:t>
      </w:r>
    </w:p>
    <w:p>
      <w:pPr>
        <w:pStyle w:val="ListBullet"/>
        <w:spacing w:after="60" w:line="276" w:lineRule="auto"/>
      </w:pPr>
      <w:r>
        <w:rPr>
          <w:rFonts w:ascii="Times New Roman" w:hAnsi="Times New Roman"/>
          <w:b/>
          <w:color w:val="000000"/>
          <w:sz w:val="22"/>
        </w:rPr>
        <w:t xml:space="preserve">WDM Migration Benchmarking: </w:t>
      </w:r>
      <w:r>
        <w:rPr>
          <w:rFonts w:ascii="Times New Roman" w:hAnsi="Times New Roman"/>
          <w:color w:val="000000"/>
          <w:sz w:val="22"/>
        </w:rPr>
        <w:t>Options P, Q, and R compared across capacity, spectrum, OSNR margin, power, and energy per bit.</w:t>
      </w:r>
    </w:p>
    <w:p>
      <w:pPr>
        <w:pStyle w:val="ListBullet"/>
        <w:spacing w:after="60" w:line="276" w:lineRule="auto"/>
      </w:pPr>
      <w:r>
        <w:rPr>
          <w:rFonts w:ascii="Times New Roman" w:hAnsi="Times New Roman"/>
          <w:b/>
          <w:color w:val="000000"/>
          <w:sz w:val="22"/>
        </w:rPr>
        <w:t xml:space="preserve">Formatting Compliance: </w:t>
      </w:r>
      <w:r>
        <w:rPr>
          <w:rFonts w:ascii="Times New Roman" w:hAnsi="Times New Roman"/>
          <w:color w:val="000000"/>
          <w:sz w:val="22"/>
        </w:rPr>
        <w:t>Clean academic layout strictly adhering to institutional anti-AI formatting standards (no colored headings or callout boxes).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