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3E66E" w14:textId="48C9A083" w:rsidR="0056182F" w:rsidRPr="00A200DB" w:rsidRDefault="00A200DB" w:rsidP="00A200DB">
      <w:pPr>
        <w:jc w:val="center"/>
        <w:rPr>
          <w:sz w:val="28"/>
          <w:szCs w:val="28"/>
        </w:rPr>
      </w:pPr>
      <w:r w:rsidRPr="00A200DB">
        <w:rPr>
          <w:sz w:val="28"/>
          <w:szCs w:val="28"/>
        </w:rPr>
        <w:t>Como funciona la numeración de los comprobantes</w:t>
      </w:r>
    </w:p>
    <w:p w14:paraId="3A37E904" w14:textId="77777777" w:rsidR="00A200DB" w:rsidRPr="00A200DB" w:rsidRDefault="00A200DB"/>
    <w:p w14:paraId="2F9B9D95" w14:textId="523380BE" w:rsidR="00A200DB" w:rsidRDefault="00A200DB" w:rsidP="00A200DB">
      <w:pPr>
        <w:jc w:val="both"/>
      </w:pPr>
      <w:r>
        <w:t>Hay dos grandes grupos de numeración</w:t>
      </w:r>
      <w:r w:rsidRPr="00A200DB">
        <w:t>,</w:t>
      </w:r>
      <w:r>
        <w:t xml:space="preserve"> podemos decir que existen comprobantes electrónicos, (son los comprobantes fiscales y que deben quedar registrados en ARCA y validados por ellos, así que ellos no</w:t>
      </w:r>
      <w:r w:rsidR="00715DB6">
        <w:t>s</w:t>
      </w:r>
      <w:r>
        <w:t xml:space="preserve"> estregan la numeración), por otro lado, tenemos los comprobantes manuales, son todos aquello que tienen una numeración que es llevada por el sistema y no se registran en ARCA.</w:t>
      </w:r>
    </w:p>
    <w:p w14:paraId="6791CE1B" w14:textId="630D8953" w:rsidR="00A200DB" w:rsidRDefault="00A200DB" w:rsidP="00A200DB">
      <w:pPr>
        <w:jc w:val="both"/>
      </w:pPr>
      <w:r w:rsidRPr="00885537">
        <w:rPr>
          <w:u w:val="single"/>
        </w:rPr>
        <w:t>Para el primer grupo</w:t>
      </w:r>
      <w:r>
        <w:t xml:space="preserve"> (comprobantes electrónicos) se envía al </w:t>
      </w:r>
      <w:proofErr w:type="spellStart"/>
      <w:r>
        <w:t>webservice</w:t>
      </w:r>
      <w:proofErr w:type="spellEnd"/>
      <w:r>
        <w:t xml:space="preserve"> de ARCA el tipo de comprobante y el punto de venta. El </w:t>
      </w:r>
      <w:proofErr w:type="spellStart"/>
      <w:r>
        <w:t>WebService</w:t>
      </w:r>
      <w:proofErr w:type="spellEnd"/>
      <w:r>
        <w:t xml:space="preserve"> responde con el nuevo numero asignado para ese punto de venta y ese tipo de comprobante. Ese número tomamos como número del comprobante y lo registramos así</w:t>
      </w:r>
    </w:p>
    <w:p w14:paraId="345BFA21" w14:textId="1DB4B293" w:rsidR="00A200DB" w:rsidRDefault="00A200DB" w:rsidP="00A200DB">
      <w:pPr>
        <w:jc w:val="both"/>
      </w:pPr>
      <w:r>
        <w:t>El tipo de comprobante definidos por la Empresa para trabajar pueden ser varios, Facturas, Notas de Crédito, Notas de Débito</w:t>
      </w:r>
      <w:r w:rsidR="00715DB6">
        <w:t>, Recibos</w:t>
      </w:r>
      <w:r>
        <w:t xml:space="preserve">, etc. </w:t>
      </w:r>
      <w:r w:rsidR="00715DB6">
        <w:t>Todos los comprobantes tienen un código fijo asignado por ARCA que además varía según la condición del cliente.</w:t>
      </w:r>
    </w:p>
    <w:p w14:paraId="2B2FA9AE" w14:textId="21D98E03" w:rsidR="00715DB6" w:rsidRDefault="00715DB6" w:rsidP="00A200DB">
      <w:pPr>
        <w:jc w:val="both"/>
      </w:pPr>
      <w:r>
        <w:t>Según la condición del cliente el comprobante tiene una Letra, que puede ser -A- o -B-, si el cliente es inscripto y lleva el IVA discriminado el comprobante siempre es -A- por lo contrario si el cliente tiene otra inscripción que no discrimina el IVA, el comprobante es -B-</w:t>
      </w:r>
    </w:p>
    <w:p w14:paraId="2ADD9671" w14:textId="4EF86564" w:rsidR="00715DB6" w:rsidRDefault="00715DB6" w:rsidP="00A200DB">
      <w:pPr>
        <w:jc w:val="both"/>
      </w:pPr>
      <w:r>
        <w:t xml:space="preserve">Por consiguiente, si el comprobante a realizar es una Factura, nos fijamos si el clientes es Inscripto o no, de esta manera sabemos si es comprobante A o B. Entonces en la tabla de comprobante tenemos 2 columnas </w:t>
      </w:r>
      <w:r w:rsidR="00885537">
        <w:t xml:space="preserve">o </w:t>
      </w:r>
      <w:r>
        <w:t xml:space="preserve">campos de AFIP con su código </w:t>
      </w:r>
      <w:proofErr w:type="spellStart"/>
      <w:r>
        <w:t>CodigoAFIPA</w:t>
      </w:r>
      <w:proofErr w:type="spellEnd"/>
      <w:r>
        <w:t xml:space="preserve"> y </w:t>
      </w:r>
      <w:proofErr w:type="spellStart"/>
      <w:r>
        <w:t>CodigoAFIPB</w:t>
      </w:r>
      <w:proofErr w:type="spellEnd"/>
      <w:r>
        <w:t xml:space="preserve">. Como </w:t>
      </w:r>
      <w:r w:rsidR="00885537">
        <w:t>ejemplo</w:t>
      </w:r>
      <w:r>
        <w:t xml:space="preserve"> una Factura puede ser A o B y el código de ARCA es 001 para A y 006 para B. Todo esto se define en el encabezado</w:t>
      </w:r>
    </w:p>
    <w:p w14:paraId="524C6B4A" w14:textId="77777777" w:rsidR="00715DB6" w:rsidRDefault="00715DB6" w:rsidP="00A200DB">
      <w:pPr>
        <w:jc w:val="both"/>
      </w:pPr>
    </w:p>
    <w:p w14:paraId="2B3ED9F9" w14:textId="6EC43987" w:rsidR="00A200DB" w:rsidRDefault="00885537" w:rsidP="006B3805">
      <w:pPr>
        <w:jc w:val="center"/>
      </w:pPr>
      <w:r>
        <w:rPr>
          <w:noProof/>
        </w:rPr>
        <w:drawing>
          <wp:inline distT="0" distB="0" distL="0" distR="0" wp14:anchorId="78DFE72D" wp14:editId="40B4A25B">
            <wp:extent cx="4067175" cy="1838325"/>
            <wp:effectExtent l="0" t="0" r="9525" b="9525"/>
            <wp:docPr id="178579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9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7D03" w14:textId="77777777" w:rsidR="00A200DB" w:rsidRDefault="00A200DB" w:rsidP="00A200DB">
      <w:pPr>
        <w:jc w:val="both"/>
      </w:pPr>
    </w:p>
    <w:p w14:paraId="5C34328E" w14:textId="25B88B07" w:rsidR="00885537" w:rsidRDefault="00885537" w:rsidP="00A200DB">
      <w:pPr>
        <w:jc w:val="both"/>
      </w:pPr>
      <w:r>
        <w:t>Cada sucursal tiene su punto de venta y su numeración individual por comprobante, y hoy no se da así, pero en una misma sucursal se puede tener más de un punto de venta diferente</w:t>
      </w:r>
    </w:p>
    <w:p w14:paraId="48279238" w14:textId="3B085117" w:rsidR="00885537" w:rsidRDefault="006B3805" w:rsidP="00A200DB">
      <w:pPr>
        <w:jc w:val="both"/>
      </w:pPr>
      <w:r>
        <w:t>En le nuevo proyecto se decidió cambiar la forma de almacenar la numeración y tener una tabla de numero donde guardar el ultimo numero</w:t>
      </w:r>
    </w:p>
    <w:p w14:paraId="45B0FAF3" w14:textId="23A8B58C" w:rsidR="006B3805" w:rsidRDefault="006B3805" w:rsidP="00A200DB">
      <w:pPr>
        <w:jc w:val="both"/>
      </w:pPr>
      <w:r>
        <w:t>En esta tabla se deben llevar la sucursal, el puno de venta y el tipo de comprobantes, eso es suficiente para mantener la numeración y correlatividad de los comprobantes</w:t>
      </w:r>
    </w:p>
    <w:p w14:paraId="4EB828F6" w14:textId="77777777" w:rsidR="003A0E8C" w:rsidRDefault="006B3805" w:rsidP="00A200DB">
      <w:pPr>
        <w:jc w:val="both"/>
      </w:pPr>
      <w:r>
        <w:lastRenderedPageBreak/>
        <w:t xml:space="preserve">Quiero decir que primero debo tener el tipo de comprobante a realizar, después el cliente así puedo saber si el comprobante es A o B y bueno ya se la sucursal donde estoy trabajando por el usuario. </w:t>
      </w:r>
    </w:p>
    <w:p w14:paraId="138256E5" w14:textId="7FC92BA4" w:rsidR="006B3805" w:rsidRDefault="006B3805" w:rsidP="00A200DB">
      <w:pPr>
        <w:jc w:val="both"/>
      </w:pPr>
      <w:r>
        <w:t xml:space="preserve">Con </w:t>
      </w:r>
      <w:r w:rsidR="003A0E8C">
        <w:t>esos</w:t>
      </w:r>
      <w:r>
        <w:t xml:space="preserve"> datos puedo buscar en la tabla </w:t>
      </w:r>
      <w:r w:rsidR="003A0E8C">
        <w:t>número</w:t>
      </w:r>
      <w:r>
        <w:t xml:space="preserve"> </w:t>
      </w:r>
      <w:proofErr w:type="spellStart"/>
      <w:r>
        <w:t>IdScurusal</w:t>
      </w:r>
      <w:r w:rsidR="003A0E8C">
        <w:t>+idPuntoVenta</w:t>
      </w:r>
      <w:r>
        <w:t>+IdComprobante</w:t>
      </w:r>
      <w:proofErr w:type="spellEnd"/>
      <w:r w:rsidR="003A0E8C">
        <w:t xml:space="preserve"> </w:t>
      </w:r>
      <w:proofErr w:type="spellStart"/>
      <w:r w:rsidR="003A0E8C">
        <w:t>asi</w:t>
      </w:r>
      <w:proofErr w:type="spellEnd"/>
      <w:r w:rsidR="003A0E8C">
        <w:t xml:space="preserve"> traigo el último número emitido</w:t>
      </w:r>
    </w:p>
    <w:p w14:paraId="23D509B8" w14:textId="5F6FDC55" w:rsidR="003A0E8C" w:rsidRDefault="003A0E8C" w:rsidP="00A200DB">
      <w:pPr>
        <w:jc w:val="both"/>
      </w:pPr>
      <w:r w:rsidRPr="003A0E8C">
        <w:rPr>
          <w:u w:val="single"/>
        </w:rPr>
        <w:t>El segundo grupo de numeración</w:t>
      </w:r>
      <w:r>
        <w:t xml:space="preserve"> cuando es comprobantes no Fiscales, como Remitos, Recibos, Documentos Internos. Trabaja de igual forma, así tengo unificado la lógica.</w:t>
      </w:r>
    </w:p>
    <w:p w14:paraId="6864D999" w14:textId="5E66A745" w:rsidR="003A0E8C" w:rsidRDefault="003A0E8C" w:rsidP="00A200DB">
      <w:pPr>
        <w:jc w:val="both"/>
      </w:pPr>
      <w:r>
        <w:t>Algunos de estos comprobantes son obligatorios que venga pre impreso como lo Remitos, y en el sistema se lleva la misma numeración. La lógica es la misma, solo el operador tiene precaución de al ingresar un nuevo lote de comprobantes que comience de forma correlativa a la que termino</w:t>
      </w:r>
    </w:p>
    <w:p w14:paraId="2ECF006A" w14:textId="197C944C" w:rsidR="00E6654B" w:rsidRDefault="00E6654B" w:rsidP="00A200DB">
      <w:pPr>
        <w:jc w:val="both"/>
      </w:pPr>
      <w:r>
        <w:t xml:space="preserve">Los recibos de cobranza y formularios internos de movimiento de mercadería se lleva la numeración interna pero siempre usamos la misma lógica, la diferencia es que aquí nosotros incrementamos en 1 cada comprobante y se guarda a diferencia del </w:t>
      </w:r>
      <w:proofErr w:type="spellStart"/>
      <w:r>
        <w:t>Webservice</w:t>
      </w:r>
      <w:proofErr w:type="spellEnd"/>
      <w:r>
        <w:t xml:space="preserve"> que usamos el número devuelto por ARCA</w:t>
      </w:r>
    </w:p>
    <w:p w14:paraId="536505B9" w14:textId="00B208D5" w:rsidR="00E6654B" w:rsidRDefault="00E6654B" w:rsidP="00A200DB">
      <w:pPr>
        <w:jc w:val="both"/>
      </w:pPr>
      <w:r>
        <w:t xml:space="preserve">Cuando se hace un comprobante manual se permite que el usuario pueda ingresar el numero de comprobante y se valida en la tabla de facturación que ese comprobante ya no exista para no duplicarlo </w:t>
      </w:r>
    </w:p>
    <w:p w14:paraId="78102703" w14:textId="77777777" w:rsidR="00E6654B" w:rsidRDefault="00E6654B" w:rsidP="00A200DB">
      <w:pPr>
        <w:jc w:val="both"/>
      </w:pPr>
    </w:p>
    <w:p w14:paraId="39A02852" w14:textId="77777777" w:rsidR="00E6654B" w:rsidRDefault="00E6654B" w:rsidP="00A200DB">
      <w:pPr>
        <w:jc w:val="both"/>
      </w:pPr>
    </w:p>
    <w:sectPr w:rsidR="00E66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51"/>
    <w:rsid w:val="000A5751"/>
    <w:rsid w:val="003A0E8C"/>
    <w:rsid w:val="004743D7"/>
    <w:rsid w:val="0056182F"/>
    <w:rsid w:val="006B3805"/>
    <w:rsid w:val="00715DB6"/>
    <w:rsid w:val="00885537"/>
    <w:rsid w:val="00A200DB"/>
    <w:rsid w:val="00A6124C"/>
    <w:rsid w:val="00D71241"/>
    <w:rsid w:val="00E6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C6573"/>
  <w15:chartTrackingRefBased/>
  <w15:docId w15:val="{73B6DE93-9ADF-408C-9640-D8CEC8BA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5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5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5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5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5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5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5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5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5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57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5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57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575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575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57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57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57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57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5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5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5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5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5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57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57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575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5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575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57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Andrés Ageno</dc:creator>
  <cp:keywords/>
  <dc:description/>
  <cp:lastModifiedBy>Mario Andrés Ageno</cp:lastModifiedBy>
  <cp:revision>3</cp:revision>
  <dcterms:created xsi:type="dcterms:W3CDTF">2025-03-04T18:51:00Z</dcterms:created>
  <dcterms:modified xsi:type="dcterms:W3CDTF">2025-03-04T19:50:00Z</dcterms:modified>
</cp:coreProperties>
</file>