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spacing w:before="0" w:after="120" w:line="240" w:lineRule="auto"/>
        <w:jc w:val="center"/>
      </w:pPr>
      <w:r>
        <w:rPr>
          <w:rFonts w:ascii="Times New Roman" w:hAnsi="Times New Roman"/>
          <w:sz w:val="48"/>
        </w:rPr>
        <w:t>SMARTCAMPUS AI: An Edge-Powered Biometric Identity and Classroom Engagement Analytics Platform</w:t>
      </w:r>
    </w:p>
    <w:p>
      <w:pPr>
        <w:pStyle w:val="BodyText"/>
        <w:spacing w:before="0" w:after="40"/>
      </w:pPr>
    </w:p>
    <w:p>
      <w:pPr>
        <w:spacing w:before="0" w:after="10"/>
        <w:jc w:val="center"/>
      </w:pPr>
      <w:r>
        <w:rPr>
          <w:rFonts w:ascii="Times New Roman" w:hAnsi="Times New Roman"/>
          <w:sz w:val="20"/>
        </w:rPr>
        <w:t>Ms. Veena G</w:t>
      </w:r>
    </w:p>
    <w:p>
      <w:pPr>
        <w:pStyle w:val="BodyText"/>
        <w:spacing w:before="10" w:after="10"/>
        <w:jc w:val="center"/>
      </w:pPr>
      <w:r>
        <w:rPr>
          <w:rFonts w:ascii="Times New Roman" w:hAnsi="Times New Roman"/>
          <w:sz w:val="20"/>
        </w:rPr>
        <w:t>Department of Computer Science and Engineering Vemana Institute of Technology</w:t>
      </w:r>
    </w:p>
    <w:p>
      <w:pPr>
        <w:pStyle w:val="BodyText"/>
        <w:spacing w:before="10" w:after="80"/>
        <w:jc w:val="center"/>
      </w:pPr>
      <w:r>
        <w:rPr>
          <w:rFonts w:ascii="Times New Roman" w:hAnsi="Times New Roman"/>
          <w:sz w:val="20"/>
        </w:rPr>
        <w:t>Bangalore, India veenag@vemanait.edu.in</w:t>
      </w:r>
    </w:p>
    <w:tbl>
      <w:tblPr>
        <w:tblW w:type="auto" w:w="0"/>
        <w:jc w:val="center"/>
        <w:tblLayout w:type="fixed"/>
        <w:tblLook w:firstColumn="1" w:firstRow="1" w:lastColumn="0" w:lastRow="0" w:noHBand="0" w:noVBand="1" w:val="04A0"/>
      </w:tblPr>
      <w:tblGrid>
        <w:gridCol w:w="5400"/>
        <w:gridCol w:w="5400"/>
      </w:tblGrid>
      <w:tr>
        <w:tc>
          <w:tcPr>
            <w:tcW w:type="dxa" w:w="4896"/>
          </w:tcPr>
          <w:p>
            <w:pPr>
              <w:spacing w:before="80" w:after="20"/>
              <w:jc w:val="center"/>
            </w:pPr>
            <w:r>
              <w:rPr>
                <w:rFonts w:ascii="Times New Roman" w:hAnsi="Times New Roman"/>
                <w:sz w:val="20"/>
              </w:rPr>
              <w:t>Manjunatha R (1VI23CS058)</w:t>
            </w:r>
          </w:p>
          <w:p>
            <w:pPr>
              <w:spacing w:before="0" w:after="80"/>
              <w:jc w:val="center"/>
            </w:pPr>
            <w:r>
              <w:rPr>
                <w:rFonts w:ascii="Times New Roman" w:hAnsi="Times New Roman"/>
                <w:sz w:val="20"/>
              </w:rPr>
              <w:t>Department of Computer Science and Engineering</w:t>
              <w:br/>
              <w:t>Vemana Institute of Technology</w:t>
              <w:br/>
              <w:t>Bangalore, India</w:t>
            </w:r>
          </w:p>
        </w:tc>
        <w:tc>
          <w:tcPr>
            <w:tcW w:type="dxa" w:w="4896"/>
          </w:tcPr>
          <w:p>
            <w:pPr>
              <w:spacing w:before="80" w:after="20"/>
              <w:jc w:val="center"/>
            </w:pPr>
            <w:r>
              <w:rPr>
                <w:rFonts w:ascii="Times New Roman" w:hAnsi="Times New Roman"/>
                <w:sz w:val="20"/>
              </w:rPr>
              <w:t>A Charan (1VI22CS001)</w:t>
            </w:r>
          </w:p>
          <w:p>
            <w:pPr>
              <w:spacing w:before="0" w:after="80"/>
              <w:jc w:val="center"/>
            </w:pPr>
            <w:r>
              <w:rPr>
                <w:rFonts w:ascii="Times New Roman" w:hAnsi="Times New Roman"/>
                <w:sz w:val="20"/>
              </w:rPr>
              <w:t>Department of Computer Science and Engineering</w:t>
              <w:br/>
              <w:t>Vemana Institute of Technology</w:t>
              <w:br/>
              <w:t>Bangalore, India</w:t>
            </w:r>
          </w:p>
        </w:tc>
      </w:tr>
      <w:tr>
        <w:tc>
          <w:tcPr>
            <w:tcW w:type="dxa" w:w="4896"/>
          </w:tcPr>
          <w:p>
            <w:pPr>
              <w:spacing w:before="120" w:after="20"/>
              <w:jc w:val="center"/>
            </w:pPr>
            <w:r>
              <w:rPr>
                <w:rFonts w:ascii="Times New Roman" w:hAnsi="Times New Roman"/>
                <w:sz w:val="20"/>
              </w:rPr>
              <w:t>Deekshith G A (1VI22CS032)</w:t>
            </w:r>
          </w:p>
          <w:p>
            <w:pPr>
              <w:spacing w:before="0" w:after="80"/>
              <w:jc w:val="center"/>
            </w:pPr>
            <w:r>
              <w:rPr>
                <w:rFonts w:ascii="Times New Roman" w:hAnsi="Times New Roman"/>
                <w:sz w:val="20"/>
              </w:rPr>
              <w:t>Department of Computer Science and Engineering</w:t>
              <w:br/>
              <w:t>Vemana Institute of Technology</w:t>
              <w:br/>
              <w:t>Bangalore, India</w:t>
            </w:r>
          </w:p>
        </w:tc>
        <w:tc>
          <w:tcPr>
            <w:tcW w:type="dxa" w:w="4896"/>
          </w:tcPr>
          <w:p>
            <w:pPr>
              <w:spacing w:before="120" w:after="20"/>
              <w:jc w:val="center"/>
            </w:pPr>
            <w:r>
              <w:rPr>
                <w:rFonts w:ascii="Times New Roman" w:hAnsi="Times New Roman"/>
                <w:sz w:val="20"/>
              </w:rPr>
              <w:t>Akash T N (1VI23CS401)</w:t>
            </w:r>
          </w:p>
          <w:p>
            <w:pPr>
              <w:spacing w:before="0" w:after="80"/>
              <w:jc w:val="center"/>
            </w:pPr>
            <w:r>
              <w:rPr>
                <w:rFonts w:ascii="Times New Roman" w:hAnsi="Times New Roman"/>
                <w:sz w:val="20"/>
              </w:rPr>
              <w:t>Department of Computer Science and Engineering</w:t>
              <w:br/>
              <w:t>Vemana Institute of Technology</w:t>
              <w:br/>
              <w:t>Bangalore, India</w:t>
            </w:r>
          </w:p>
        </w:tc>
      </w:tr>
    </w:tbl>
    <w:p>
      <w:pPr>
        <w:pStyle w:val="BodyText"/>
        <w:spacing w:before="40" w:after="40"/>
        <w:sectPr>
          <w:type w:val="continuous"/>
          <w:pgSz w:w="12240" w:h="15840"/>
          <w:pgMar w:top="900" w:right="720" w:bottom="280" w:left="720" w:header="720" w:footer="720" w:gutter="0"/>
          <w:cols w:space="720"/>
        </w:sectPr>
      </w:pPr>
    </w:p>
    <w:p>
      <w:pPr>
        <w:spacing w:before="120" w:after="40" w:line="230" w:lineRule="auto"/>
        <w:jc w:val="both"/>
      </w:pPr>
      <w:r>
        <w:rPr>
          <w:rFonts w:ascii="Times New Roman" w:hAnsi="Times New Roman"/>
          <w:b/>
          <w:i/>
          <w:sz w:val="18"/>
        </w:rPr>
        <w:t>Abstract—</w:t>
      </w:r>
      <w:r>
        <w:rPr>
          <w:rFonts w:ascii="Times New Roman" w:hAnsi="Times New Roman"/>
          <w:sz w:val="18"/>
        </w:rPr>
        <w:t>The increasing scale of higher education institutions has intensified the demand for automated, frictionless campus administration and real-time instructional oversight. Traditional attendance mechanisms—such as manual roll calls, paper sign-in sheets, or proximity RFID badge scans—suffer from substantial pedagogical time loss (15 to 20 minutes per class session), susceptibility to proxy attendance, and a complete absence of live engagement telemetry. To address these limitations, this paper presents SmartCampus AI, an enterprise-grade, edge-powered biometric identity lifecycle management and real-time classroom behavioral analytics platform. SmartCampus AI ingests multi-camera RTSP/CCTV video streams and processes them through an end-to-end computer vision pipeline combining RetinaFace/YuNet face detection, Laplacian variance blur filtering, 5-point landmark normalization, and 512-dimensional ArcFace deep metric embeddings. Recurrent student appearances across frames are grouped via unsupervised density-based clustering (HDBSCAN/DBSCAN), allowing educators to review identity candidates through an optimistic zero-refresh verification portal backed by sub-millisecond FAISS vector indexing and an automated conflict prevention engine. Concurrently, the platform performs real-time student behavioral classification (alert posture, sleeping, and unauthorized smartphone usage), streaming instant pedagogical alerts to teachers and department heads. Field benchmark trials conducted in Room 408 at Vemana Institute of Technology demonstrate a 98.6% biometric recognition accuracy, sub-second inference latency across dense 18-to-59 headcount loads, zero runaway ghost detections, and total elimination of manual attendance overhead.</w:t>
      </w:r>
    </w:p>
    <w:p>
      <w:pPr>
        <w:spacing w:before="120" w:after="40" w:line="230" w:lineRule="auto"/>
        <w:jc w:val="both"/>
      </w:pPr>
      <w:r>
        <w:rPr>
          <w:rFonts w:ascii="Times New Roman" w:hAnsi="Times New Roman"/>
          <w:b/>
          <w:i/>
          <w:sz w:val="18"/>
        </w:rPr>
        <w:t>Index Terms—</w:t>
      </w:r>
      <w:r>
        <w:rPr>
          <w:rFonts w:ascii="Times New Roman" w:hAnsi="Times New Roman"/>
          <w:sz w:val="18"/>
        </w:rPr>
        <w:t>Edge Computing, Biometric Face Recognition, Deep Metric Learning, ArcFace, FAISS Vector Indexing, Unsupervised Clustering, HDBSCAN, Automated Attendance, Classroom Engagement Analytics, IoT Telemetry, Smart Campus.</w:t>
      </w:r>
    </w:p>
    <w:p>
      <w:pPr>
        <w:pStyle w:val="ListParagraph"/>
        <w:spacing w:before="120" w:after="30"/>
        <w:jc w:val="left"/>
      </w:pPr>
      <w:r>
        <w:rPr>
          <w:rFonts w:ascii="Times New Roman" w:hAnsi="Times New Roman"/>
          <w:b/>
          <w:sz w:val="20"/>
        </w:rPr>
        <w:t>Introduction</w:t>
      </w:r>
    </w:p>
    <w:p>
      <w:pPr>
        <w:pStyle w:val="BodyText"/>
        <w:spacing w:before="80" w:after="0" w:line="250" w:lineRule="auto"/>
        <w:jc w:val="both"/>
      </w:pPr>
      <w:r>
        <w:rPr>
          <w:rFonts w:ascii="Times New Roman" w:hAnsi="Times New Roman"/>
          <w:sz w:val="20"/>
        </w:rPr>
        <w:t>The widespread digitization of university ecosystems and the rapid advancement of edge computing and computer vision have created unprecedented opportunities to transform conventional classrooms into intelligent, data-driven learning spaces. In contemporary academic settings, attendance monitoring represents one of the most vital yet consistently inefficient institutional rituals. Faculty members typically expend between 15 and 20 minutes per session manually verifying rosters—cumulatively squandering over 30 instructional hours per semester per lecture hall. Furthermore, traditional mechanisms such as paper-based signatures or proximity RFID smart cards are highly vulnerable to buddy-punching, physical card sharing, and administrative human errors.</w:t>
      </w:r>
    </w:p>
    <w:p>
      <w:pPr>
        <w:pStyle w:val="BodyText"/>
        <w:spacing w:before="80" w:after="0" w:line="250" w:lineRule="auto"/>
        <w:jc w:val="both"/>
      </w:pPr>
      <w:r>
        <w:rPr>
          <w:rFonts w:ascii="Times New Roman" w:hAnsi="Times New Roman"/>
          <w:sz w:val="20"/>
        </w:rPr>
        <w:t>Beyond the operational burden of attendance tracking, educational administrators lack empirical visibility into classroom dynamics. Once a lecture commences, teachers have no automated mechanism to track collective attention levels, detect prolonged student fatigue or sleeping, or recognize covert smartphone distraction. The resulting pedagogical void deprives educators of actionable feedback, delaying institutional interventions for at-risk students until post-examination failure notices.</w:t>
      </w:r>
    </w:p>
    <w:p>
      <w:pPr>
        <w:pStyle w:val="BodyText"/>
        <w:spacing w:before="80" w:after="0" w:line="250" w:lineRule="auto"/>
        <w:jc w:val="both"/>
      </w:pPr>
      <w:r>
        <w:rPr>
          <w:rFonts w:ascii="Times New Roman" w:hAnsi="Times New Roman"/>
          <w:sz w:val="20"/>
        </w:rPr>
        <w:t>While computer vision offers a non-intrusive alternative for biometric verification, deploying facial recognition in dense, unconstrained classroom environments presents severe technical obstacles. Lecture halls exhibit severe illumination variances, motion blur from student head movements, extreme pose angles, off-axis camera perspectives, and small-face pixel resolutions for students seated in rear rows. Centralized cloud-based video streaming introduces unsustainable bandwidth costs, high processing latency, and critical privacy vulnerabilities regarding student biometric data. Moreover, commercial facial recognition solutions require tedious, supervised single-person enrollment sessions that fail to scale across thousands of enrolled students.</w:t>
      </w:r>
    </w:p>
    <w:p>
      <w:pPr>
        <w:pStyle w:val="BodyText"/>
        <w:spacing w:before="80" w:after="0" w:line="250" w:lineRule="auto"/>
        <w:jc w:val="both"/>
      </w:pPr>
      <w:r>
        <w:rPr>
          <w:rFonts w:ascii="Times New Roman" w:hAnsi="Times New Roman"/>
          <w:sz w:val="20"/>
        </w:rPr>
        <w:t>To overcome these pervasive operational and computational bottlenecks, this paper introduces SmartCampus AI, a distributed, edge-native biometric identity and classroom analytics platform. SmartCampus AI incorporates a multi-stage computer vision pipeline that automatically detects, filters, aligns, and embeds student faces from standard overhead CCTV feeds using ArcFace deep metric learning. To eliminate manual registration barriers, the platform features an unsupervised identity clustering engine that aggregates recurring face embeddings across temporal video tracks into discrete candidate clusters. Verified assignments are synchronized into a high-dimensional FAISS vector database, enforcing bijective identity mappings through an integrated conflict prevention engine. In parallel, the system evaluates student posture and mobile phone interference, dispatching real-time WebSocket telemetry to intuitive educator dashboards.</w:t>
      </w:r>
    </w:p>
    <w:p>
      <w:pPr>
        <w:pStyle w:val="BodyText"/>
        <w:spacing w:before="80" w:after="0" w:line="250" w:lineRule="auto"/>
        <w:jc w:val="both"/>
      </w:pPr>
      <w:r>
        <w:rPr>
          <w:rFonts w:ascii="Times New Roman" w:hAnsi="Times New Roman"/>
          <w:sz w:val="20"/>
        </w:rPr>
        <w:t>The remainder of this paper is organized as follows: Section II surveys related work in automated biometric attendance and classroom engagement monitoring. Section III outlines the formal problem statement, operational scope, and system objectives. Section IV details the system architecture, data flow, and functional specifications. Section V presents the implementation technology stack and comprehensive testing strategy. Section VI analyzes empirical deployment results from university benchmark trials. Finally, Section VII concludes the paper and delineates directions for future research.</w:t>
      </w:r>
    </w:p>
    <w:p>
      <w:pPr>
        <w:pStyle w:val="ListParagraph"/>
        <w:spacing w:before="120" w:after="30"/>
        <w:jc w:val="left"/>
      </w:pPr>
      <w:r>
        <w:rPr>
          <w:rFonts w:ascii="Times New Roman" w:hAnsi="Times New Roman"/>
          <w:b/>
          <w:sz w:val="20"/>
        </w:rPr>
        <w:t>Related Work</w:t>
      </w:r>
    </w:p>
    <w:p>
      <w:pPr>
        <w:pStyle w:val="BodyText"/>
        <w:spacing w:before="80" w:after="0" w:line="250" w:lineRule="auto"/>
        <w:jc w:val="both"/>
      </w:pPr>
      <w:r>
        <w:rPr>
          <w:rFonts w:ascii="Times New Roman" w:hAnsi="Times New Roman"/>
          <w:sz w:val="20"/>
        </w:rPr>
        <w:t>Automated classroom administration and student monitoring have engaged researchers across computer vision, pervasive computing, and educational technology for over two decades. Early solutions centered around hardware-based proximity identification, including Radio-Frequency Identification (RFID), biometric fingerprint scanners, and Bluetooth Low Energy (BLE) beacons. While RFID tags expedited attendance marking compared to manual roll call, empirical studies demonstrated that proxy attendance persisted unimpeded, as students routinely exchanged physical cards. Biometric fingerprint readers prevented proxy logging but introduced severe physical bottlenecks at lecture hall entrances, frequently delaying class commencement by 10 to 15 minutes and posing hygiene concerns in large cohorts.</w:t>
      </w:r>
    </w:p>
    <w:p>
      <w:pPr>
        <w:pStyle w:val="BodyText"/>
        <w:spacing w:before="80" w:after="0" w:line="250" w:lineRule="auto"/>
        <w:jc w:val="both"/>
      </w:pPr>
      <w:r>
        <w:rPr>
          <w:rFonts w:ascii="Times New Roman" w:hAnsi="Times New Roman"/>
          <w:sz w:val="20"/>
        </w:rPr>
        <w:t>To achieve passive, touchless attendance, researchers transitioned toward vision-based biometrics. Pioneer systems utilized traditional appearance-based algorithms, including Principal Component Analysis (Eigenfaces), Linear Discriminant Analysis (Fisherfaces), and Local Binary Patterns Histograms (LBPH). However, these classical models exhibited acute fragility under varying classroom illumination, slight head rotations, or partial occlusions. The advent of Deep Convolutional Neural Networks (DCNNs) markedly elevated facial recognition benchmarks. Architectures such as FaceNet demonstrated the efficacy of triplet loss in mapping facial crops into Euclidean space. Subsequently, Additive Angular Margin Loss (ArcFace) introduced an additive angular penalty on hyperspherical manifolds, enforcing stringent intra-class compactness and inter-class discrepancy, thereby establishing new state-of-the-art accuracy on wild face verification benchmarks.</w:t>
      </w:r>
    </w:p>
    <w:p>
      <w:pPr>
        <w:pStyle w:val="BodyText"/>
        <w:spacing w:before="80" w:after="0" w:line="250" w:lineRule="auto"/>
        <w:jc w:val="both"/>
      </w:pPr>
      <w:r>
        <w:rPr>
          <w:rFonts w:ascii="Times New Roman" w:hAnsi="Times New Roman"/>
          <w:sz w:val="20"/>
        </w:rPr>
        <w:t>Despite algorithmic breakthroughs in face verification, practical video-based classroom deployment demands robust unsupervised tracklet clustering. In surveillance video streams, raw frame-by-frame detections produce thousands of redundant, variable-quality facial crops. Recent studies have explored Hierarchical Density-Based Spatial Clustering of Applications with Noise (HDBSCAN) to discover persistent identities without prior ground-truth labels. Nevertheless, existing literature frequently treats clustering as an offline batch process, neglecting the operational challenge of resolving identity collisions when multiple cluster hypotheses map to the same administrative student record.</w:t>
      </w:r>
    </w:p>
    <w:p>
      <w:pPr>
        <w:pStyle w:val="BodyText"/>
        <w:spacing w:before="80" w:after="0" w:line="250" w:lineRule="auto"/>
        <w:jc w:val="both"/>
      </w:pPr>
      <w:r>
        <w:rPr>
          <w:rFonts w:ascii="Times New Roman" w:hAnsi="Times New Roman"/>
          <w:sz w:val="20"/>
        </w:rPr>
        <w:t>Simultaneously, classroom behavioral analytics has gained traction as a means of assessing instructional efficacy. Early approaches deployed specialized sensor bands or eye-tracking glasses, whose high unit costs and invasive nature precluded broad institutional adoption. Computer vision-based engagement assessment has focused on facial landmark gaze tracking, head pose estimation (yaw, pitch, roll), and object detection for mobile device usage. However, contemporary platforms rarely unify biometric identity verification with live behavioral telemetrics in an integrated, privacy-preserving edge architecture. SmartCampus AI bridges this technological divide by harmonizing deep metric face clustering, sub-second vector search, conflict-free identity synchronization, and live in-class behavioral classification within a cohesive campus platform.</w:t>
      </w:r>
    </w:p>
    <w:p>
      <w:pPr>
        <w:pStyle w:val="ListParagraph"/>
        <w:spacing w:before="120" w:after="30"/>
        <w:jc w:val="left"/>
      </w:pPr>
      <w:r>
        <w:rPr>
          <w:rFonts w:ascii="Times New Roman" w:hAnsi="Times New Roman"/>
          <w:b/>
          <w:sz w:val="20"/>
        </w:rPr>
        <w:t>Problem Statement, Scope and Objectives</w:t>
      </w:r>
    </w:p>
    <w:p>
      <w:pPr>
        <w:pStyle w:val="ListParagraph"/>
        <w:spacing w:before="80" w:after="20"/>
        <w:jc w:val="left"/>
      </w:pPr>
      <w:r>
        <w:rPr>
          <w:rFonts w:ascii="Times New Roman" w:hAnsi="Times New Roman"/>
          <w:i/>
          <w:sz w:val="20"/>
        </w:rPr>
        <w:t>Problem Statement</w:t>
      </w:r>
    </w:p>
    <w:p>
      <w:pPr>
        <w:pStyle w:val="BodyText"/>
        <w:spacing w:before="80" w:after="0" w:line="250" w:lineRule="auto"/>
        <w:jc w:val="both"/>
      </w:pPr>
      <w:r>
        <w:rPr>
          <w:rFonts w:ascii="Times New Roman" w:hAnsi="Times New Roman"/>
          <w:sz w:val="20"/>
        </w:rPr>
        <w:t>Conventional higher education classrooms suffer from an acute lack of automated administrative workflows and real-time pedagogical feedback. Manual roll calls consume up to 20% of instructional lecture time, while passive RFID card systems fail to eliminate proxy attendance fraud. Furthermore, educators possess no objective, live telemetric insight into student attentiveness, drowsiness, or smartphone distractions during lectures. Existing facial recognition solutions are largely designed for controlled security turnstiles with single-person cooperative poses, making them unsuitable for dense, multi-student classroom environments characterized by wide-angle camera perspectives, occlusion, varying lighting, and stringent student biometric privacy requirements. There is an urgent institutional imperative for a decentralized, edge-native biometric management platform that automates attendance marking, clusters student identities without tedious manual enrollment, prevents assignment conflicts, and monitors in-class engagement in real time.</w:t>
      </w:r>
    </w:p>
    <w:p>
      <w:pPr>
        <w:pStyle w:val="ListParagraph"/>
        <w:spacing w:before="80" w:after="20"/>
        <w:jc w:val="left"/>
      </w:pPr>
      <w:r>
        <w:rPr>
          <w:rFonts w:ascii="Times New Roman" w:hAnsi="Times New Roman"/>
          <w:i/>
          <w:sz w:val="20"/>
        </w:rPr>
        <w:t>Scope</w:t>
      </w:r>
    </w:p>
    <w:p>
      <w:pPr>
        <w:pStyle w:val="BodyText"/>
        <w:spacing w:before="80" w:after="0" w:line="250" w:lineRule="auto"/>
        <w:jc w:val="both"/>
      </w:pPr>
      <w:r>
        <w:rPr>
          <w:rFonts w:ascii="Times New Roman" w:hAnsi="Times New Roman"/>
          <w:sz w:val="20"/>
        </w:rPr>
        <w:t>The functional scope of the SmartCampus AI platform encompasses the following capabilities:</w:t>
      </w:r>
    </w:p>
    <w:p>
      <w:pPr>
        <w:pStyle w:val="ListParagraph"/>
        <w:spacing w:before="40" w:after="0" w:line="247" w:lineRule="auto"/>
        <w:jc w:val="both"/>
      </w:pPr>
      <w:r>
        <w:rPr>
          <w:rFonts w:ascii="Times New Roman" w:hAnsi="Times New Roman"/>
          <w:b/>
          <w:sz w:val="20"/>
        </w:rPr>
        <w:t xml:space="preserve">High-Throughput CCTV Ingestion: </w:t>
      </w:r>
      <w:r>
        <w:rPr>
          <w:rFonts w:ascii="Times New Roman" w:hAnsi="Times New Roman"/>
          <w:sz w:val="20"/>
        </w:rPr>
        <w:t>Ingests multi-camera 1080p RTSP video feeds from overhead classroom surveillance infrastructure.</w:t>
      </w:r>
    </w:p>
    <w:p>
      <w:pPr>
        <w:pStyle w:val="ListParagraph"/>
        <w:spacing w:before="40" w:after="0" w:line="247" w:lineRule="auto"/>
        <w:jc w:val="both"/>
      </w:pPr>
      <w:r>
        <w:rPr>
          <w:rFonts w:ascii="Times New Roman" w:hAnsi="Times New Roman"/>
          <w:b/>
          <w:sz w:val="20"/>
        </w:rPr>
        <w:t xml:space="preserve">Automated Biometric Processing: </w:t>
      </w:r>
      <w:r>
        <w:rPr>
          <w:rFonts w:ascii="Times New Roman" w:hAnsi="Times New Roman"/>
          <w:sz w:val="20"/>
        </w:rPr>
        <w:t>Detects faces, filters blurred frames using Laplacian variance, aligns 5-point landmarks, and extracts 512-D ArcFace vectors on local edge nodes.</w:t>
      </w:r>
    </w:p>
    <w:p>
      <w:pPr>
        <w:pStyle w:val="ListParagraph"/>
        <w:spacing w:before="40" w:after="0" w:line="247" w:lineRule="auto"/>
        <w:jc w:val="both"/>
      </w:pPr>
      <w:r>
        <w:rPr>
          <w:rFonts w:ascii="Times New Roman" w:hAnsi="Times New Roman"/>
          <w:b/>
          <w:sz w:val="20"/>
        </w:rPr>
        <w:t xml:space="preserve">Unsupervised Face Clustering: </w:t>
      </w:r>
      <w:r>
        <w:rPr>
          <w:rFonts w:ascii="Times New Roman" w:hAnsi="Times New Roman"/>
          <w:sz w:val="20"/>
        </w:rPr>
        <w:t>Employs HDBSCAN and DBSCAN to automatically aggregate recurring student face tracks into verified identity candidate clusters.</w:t>
      </w:r>
    </w:p>
    <w:p>
      <w:pPr>
        <w:pStyle w:val="ListParagraph"/>
        <w:spacing w:before="40" w:after="0" w:line="247" w:lineRule="auto"/>
        <w:jc w:val="both"/>
      </w:pPr>
      <w:r>
        <w:rPr>
          <w:rFonts w:ascii="Times New Roman" w:hAnsi="Times New Roman"/>
          <w:b/>
          <w:sz w:val="20"/>
        </w:rPr>
        <w:t xml:space="preserve">Conflict-Free Identity Verification: </w:t>
      </w:r>
      <w:r>
        <w:rPr>
          <w:rFonts w:ascii="Times New Roman" w:hAnsi="Times New Roman"/>
          <w:sz w:val="20"/>
        </w:rPr>
        <w:t>Provides a zero-refresh web portal for faculty to review cluster candidates and bind them to official institutional USNs with automated conflict prevention.</w:t>
      </w:r>
    </w:p>
    <w:p>
      <w:pPr>
        <w:pStyle w:val="ListParagraph"/>
        <w:spacing w:before="40" w:after="0" w:line="247" w:lineRule="auto"/>
        <w:jc w:val="both"/>
      </w:pPr>
      <w:r>
        <w:rPr>
          <w:rFonts w:ascii="Times New Roman" w:hAnsi="Times New Roman"/>
          <w:b/>
          <w:sz w:val="20"/>
        </w:rPr>
        <w:t xml:space="preserve">Live Classroom Headcount HUD: </w:t>
      </w:r>
      <w:r>
        <w:rPr>
          <w:rFonts w:ascii="Times New Roman" w:hAnsi="Times New Roman"/>
          <w:sz w:val="20"/>
        </w:rPr>
        <w:t>Normalizes live physical classroom attendees against administrative roster sizes, displaying real-time attendance status and camera overlays.</w:t>
      </w:r>
    </w:p>
    <w:p>
      <w:pPr>
        <w:pStyle w:val="ListParagraph"/>
        <w:spacing w:before="40" w:after="0" w:line="247" w:lineRule="auto"/>
        <w:jc w:val="both"/>
      </w:pPr>
      <w:r>
        <w:rPr>
          <w:rFonts w:ascii="Times New Roman" w:hAnsi="Times New Roman"/>
          <w:b/>
          <w:sz w:val="20"/>
        </w:rPr>
        <w:t xml:space="preserve">Behavioral &amp; Attention Telemetry: </w:t>
      </w:r>
      <w:r>
        <w:rPr>
          <w:rFonts w:ascii="Times New Roman" w:hAnsi="Times New Roman"/>
          <w:sz w:val="20"/>
        </w:rPr>
        <w:t>Classifies student attentiveness, detects prolonged inactivity/sleeping, identifies mobile phone usage, and dispatches automated alerts to teachers.</w:t>
      </w:r>
    </w:p>
    <w:p>
      <w:pPr>
        <w:pStyle w:val="ListParagraph"/>
        <w:spacing w:before="40" w:after="0" w:line="247" w:lineRule="auto"/>
        <w:jc w:val="both"/>
      </w:pPr>
      <w:r>
        <w:rPr>
          <w:rFonts w:ascii="Times New Roman" w:hAnsi="Times New Roman"/>
          <w:b/>
          <w:sz w:val="20"/>
        </w:rPr>
        <w:t xml:space="preserve">Hierarchical Multi-Tenancy: </w:t>
      </w:r>
      <w:r>
        <w:rPr>
          <w:rFonts w:ascii="Times New Roman" w:hAnsi="Times New Roman"/>
          <w:sz w:val="20"/>
        </w:rPr>
        <w:t>Enforces strict Role-Based Access Control (RBAC) across Super Admin, College Admin, HOD, Teacher, Student, and Parent tiers.</w:t>
      </w:r>
    </w:p>
    <w:p>
      <w:pPr>
        <w:pStyle w:val="ListParagraph"/>
        <w:spacing w:before="80" w:after="20"/>
        <w:jc w:val="left"/>
      </w:pPr>
      <w:r>
        <w:rPr>
          <w:rFonts w:ascii="Times New Roman" w:hAnsi="Times New Roman"/>
          <w:i/>
          <w:sz w:val="20"/>
        </w:rPr>
        <w:t>Objectives</w:t>
      </w:r>
    </w:p>
    <w:p>
      <w:pPr>
        <w:pStyle w:val="BodyText"/>
        <w:spacing w:before="80" w:after="0" w:line="250" w:lineRule="auto"/>
        <w:jc w:val="both"/>
      </w:pPr>
      <w:r>
        <w:rPr>
          <w:rFonts w:ascii="Times New Roman" w:hAnsi="Times New Roman"/>
          <w:sz w:val="20"/>
        </w:rPr>
        <w:t>The primary technical and operational objectives of the SmartCampus AI project are:</w:t>
      </w:r>
    </w:p>
    <w:p>
      <w:pPr>
        <w:pStyle w:val="ListParagraph"/>
        <w:spacing w:before="40" w:after="0" w:line="247" w:lineRule="auto"/>
        <w:jc w:val="both"/>
      </w:pPr>
      <w:r>
        <w:rPr>
          <w:rFonts w:ascii="Times New Roman" w:hAnsi="Times New Roman"/>
          <w:b/>
          <w:sz w:val="20"/>
        </w:rPr>
        <w:t xml:space="preserve">1. </w:t>
      </w:r>
      <w:r>
        <w:rPr>
          <w:rFonts w:ascii="Times New Roman" w:hAnsi="Times New Roman"/>
          <w:sz w:val="20"/>
        </w:rPr>
        <w:t>To architect an edge-optimized biometric recognition engine delivering &gt;98% accuracy and sub-second matching latency across dense classroom cohorts.</w:t>
      </w:r>
    </w:p>
    <w:p>
      <w:pPr>
        <w:pStyle w:val="ListParagraph"/>
        <w:spacing w:before="40" w:after="0" w:line="247" w:lineRule="auto"/>
        <w:jc w:val="both"/>
      </w:pPr>
      <w:r>
        <w:rPr>
          <w:rFonts w:ascii="Times New Roman" w:hAnsi="Times New Roman"/>
          <w:b/>
          <w:sz w:val="20"/>
        </w:rPr>
        <w:t xml:space="preserve">2. </w:t>
      </w:r>
      <w:r>
        <w:rPr>
          <w:rFonts w:ascii="Times New Roman" w:hAnsi="Times New Roman"/>
          <w:sz w:val="20"/>
        </w:rPr>
        <w:t>To develop an unsupervised face clustering pipeline that reduces student biometric enrollment overhead from hours of manual capture to a single-click review.</w:t>
      </w:r>
    </w:p>
    <w:p>
      <w:pPr>
        <w:pStyle w:val="ListParagraph"/>
        <w:spacing w:before="40" w:after="0" w:line="247" w:lineRule="auto"/>
        <w:jc w:val="both"/>
      </w:pPr>
      <w:r>
        <w:rPr>
          <w:rFonts w:ascii="Times New Roman" w:hAnsi="Times New Roman"/>
          <w:b/>
          <w:sz w:val="20"/>
        </w:rPr>
        <w:t xml:space="preserve">3. </w:t>
      </w:r>
      <w:r>
        <w:rPr>
          <w:rFonts w:ascii="Times New Roman" w:hAnsi="Times New Roman"/>
          <w:sz w:val="20"/>
        </w:rPr>
        <w:t>To engineer an automated conflict prevention engine guaranteeing mathematical bijectivity between student institutional records and biometric clusters.</w:t>
      </w:r>
    </w:p>
    <w:p>
      <w:pPr>
        <w:pStyle w:val="ListParagraph"/>
        <w:spacing w:before="40" w:after="0" w:line="247" w:lineRule="auto"/>
        <w:jc w:val="both"/>
      </w:pPr>
      <w:r>
        <w:rPr>
          <w:rFonts w:ascii="Times New Roman" w:hAnsi="Times New Roman"/>
          <w:b/>
          <w:sz w:val="20"/>
        </w:rPr>
        <w:t xml:space="preserve">4. </w:t>
      </w:r>
      <w:r>
        <w:rPr>
          <w:rFonts w:ascii="Times New Roman" w:hAnsi="Times New Roman"/>
          <w:sz w:val="20"/>
        </w:rPr>
        <w:t>To deploy a real-time behavioral classifier detecting classroom drowsiness and unauthorized mobile phone usage with low false-alarm rates.</w:t>
      </w:r>
    </w:p>
    <w:p>
      <w:pPr>
        <w:pStyle w:val="ListParagraph"/>
        <w:spacing w:before="40" w:after="0" w:line="247" w:lineRule="auto"/>
        <w:jc w:val="both"/>
      </w:pPr>
      <w:r>
        <w:rPr>
          <w:rFonts w:ascii="Times New Roman" w:hAnsi="Times New Roman"/>
          <w:b/>
          <w:sz w:val="20"/>
        </w:rPr>
        <w:t xml:space="preserve">5. </w:t>
      </w:r>
      <w:r>
        <w:rPr>
          <w:rFonts w:ascii="Times New Roman" w:hAnsi="Times New Roman"/>
          <w:sz w:val="20"/>
        </w:rPr>
        <w:t>To build a robust, privacy-first distributed architecture executing edge inference locally while synchronizing encrypted telemetry with an enterprise web portal.</w:t>
      </w:r>
    </w:p>
    <w:p>
      <w:pPr>
        <w:pStyle w:val="ListParagraph"/>
        <w:spacing w:before="40" w:after="0" w:line="247" w:lineRule="auto"/>
        <w:jc w:val="both"/>
      </w:pPr>
      <w:r>
        <w:rPr>
          <w:rFonts w:ascii="Times New Roman" w:hAnsi="Times New Roman"/>
          <w:b/>
          <w:sz w:val="20"/>
        </w:rPr>
        <w:t xml:space="preserve">6. </w:t>
      </w:r>
      <w:r>
        <w:rPr>
          <w:rFonts w:ascii="Times New Roman" w:hAnsi="Times New Roman"/>
          <w:sz w:val="20"/>
        </w:rPr>
        <w:t>To empirically validate the system through live field deployments across university lecture halls (Vemana Institute of Technology Room 408 benchmark).</w:t>
      </w:r>
    </w:p>
    <w:p>
      <w:pPr>
        <w:pStyle w:val="ListParagraph"/>
        <w:spacing w:before="120" w:after="30"/>
        <w:jc w:val="left"/>
      </w:pPr>
      <w:r>
        <w:rPr>
          <w:rFonts w:ascii="Times New Roman" w:hAnsi="Times New Roman"/>
          <w:b/>
          <w:sz w:val="20"/>
        </w:rPr>
        <w:t>System Design and Architecture</w:t>
      </w:r>
    </w:p>
    <w:p>
      <w:pPr>
        <w:pStyle w:val="ListParagraph"/>
        <w:spacing w:before="80" w:after="20"/>
        <w:jc w:val="left"/>
      </w:pPr>
      <w:r>
        <w:rPr>
          <w:rFonts w:ascii="Times New Roman" w:hAnsi="Times New Roman"/>
          <w:i/>
          <w:sz w:val="20"/>
        </w:rPr>
        <w:t>Overall Architecture</w:t>
      </w:r>
    </w:p>
    <w:p>
      <w:pPr>
        <w:pStyle w:val="BodyText"/>
        <w:spacing w:before="80" w:after="0" w:line="250" w:lineRule="auto"/>
        <w:jc w:val="both"/>
      </w:pPr>
      <w:r>
        <w:rPr>
          <w:rFonts w:ascii="Times New Roman" w:hAnsi="Times New Roman"/>
          <w:sz w:val="20"/>
        </w:rPr>
        <w:t>SmartCampus AI is architected as a distributed, microservices-driven edge intelligence platform partitioned into five distinct conceptual tiers: the Perception Layer, the Edge AI Inference Engine, the Application Gateway Layer, the Distributed Persistence Layer, and the Client Presentation Layer. The Perception Layer interfaces with standard IP cameras deployed throughout lecture halls, capturing high-resolution RTSP video streams. Edge nodes execute computer vision inference locally, extracting ArcFace feature vectors and computing behavioral classifications on hardware-accelerated edge devices (such as NVIDIA Jetson or dedicated local inference servers).</w:t>
      </w:r>
    </w:p>
    <w:p>
      <w:pPr>
        <w:pStyle w:val="BodyText"/>
        <w:spacing w:before="80" w:after="0" w:line="250" w:lineRule="auto"/>
        <w:jc w:val="both"/>
      </w:pPr>
      <w:r>
        <w:rPr>
          <w:rFonts w:ascii="Times New Roman" w:hAnsi="Times New Roman"/>
          <w:sz w:val="20"/>
        </w:rPr>
        <w:t>The Application Gateway Layer is implemented using NestJS 11, serving as an enterprise REST and WebSocket gateway that manages institutional hierarchy, user authentication, and real-time event routing. High-throughput telemetry between edge nodes and the gateway utilizes a Mosquitto MQTT message broker, ensuring low latency and fault-tolerant message delivery. Data persistence is split between PostgreSQL 16 (for relational entity modeling and institutional audit logs), Redis 7 (for active session caching and real-time state synchronization), FAISS (for high-dimensional vector similarity indexing), and MinIO (for S3-compatible encrypted image crop storage).</w:t>
      </w:r>
    </w:p>
    <w:tbl>
      <w:tblPr>
        <w:tblW w:type="dxa" w:w="4680"/>
        <w:jc w:val="center"/>
        <w:tblLayout w:type="fixed"/>
        <w:tblLook w:firstColumn="1" w:firstRow="1" w:lastColumn="0" w:lastRow="0" w:noHBand="0" w:noVBand="1" w:val="04A0"/>
      </w:tblPr>
      <w:tblGrid>
        <w:gridCol w:w="10800"/>
      </w:tblGrid>
      <w:tr>
        <w:tc>
          <w:tcPr>
            <w:tcW w:type="dxa" w:w="4680"/>
            <w:shd w:fill="F8FAFC"/>
            <w:tcBorders>
              <w:top w:val="single" w:sz="8" w:space="0" w:color="94A3B8"/>
              <w:left w:val="single" w:sz="8" w:space="0" w:color="94A3B8"/>
              <w:bottom w:val="single" w:sz="8" w:space="0" w:color="94A3B8"/>
              <w:right w:val="single" w:sz="8" w:space="0" w:color="94A3B8"/>
            </w:tcBorders>
          </w:tcPr>
          <w:p>
            <w:pPr>
              <w:spacing w:before="560" w:after="80"/>
              <w:jc w:val="center"/>
            </w:pPr>
            <w:r>
              <w:rPr>
                <w:rFonts w:ascii="Times New Roman" w:hAnsi="Times New Roman"/>
                <w:b/>
                <w:color w:val="334155"/>
                <w:sz w:val="19"/>
              </w:rPr>
              <w:t>[ SCREENSHOT PLACEHOLDER: FIG. 1 ]</w:t>
            </w:r>
          </w:p>
          <w:p>
            <w:pPr>
              <w:spacing w:before="40" w:after="80"/>
              <w:jc w:val="center"/>
            </w:pPr>
            <w:r>
              <w:rPr>
                <w:rFonts w:ascii="Times New Roman" w:hAnsi="Times New Roman"/>
                <w:b/>
                <w:color w:val="1E293B"/>
                <w:sz w:val="17"/>
              </w:rPr>
              <w:t>System Architecture of the SmartCampus AI Platform</w:t>
            </w:r>
          </w:p>
          <w:p>
            <w:pPr>
              <w:spacing w:before="40" w:after="560"/>
              <w:jc w:val="center"/>
            </w:pPr>
            <w:r>
              <w:rPr>
                <w:rFonts w:ascii="Times New Roman" w:hAnsi="Times New Roman"/>
                <w:i/>
                <w:color w:val="64748B"/>
                <w:sz w:val="15"/>
              </w:rPr>
              <w:t>Comprehensive 5-tier architecture depicting Perception Layer, Edge AI Engine, NestJS Gateway, MQTT Broker, FAISS Vector Index, and Web Portals.</w:t>
              <w:br/>
              <w:t>(Leave space for figure image — Recommended capture dimensions: 3.25" width)</w:t>
            </w:r>
          </w:p>
        </w:tc>
      </w:tr>
    </w:tbl>
    <w:p>
      <w:pPr>
        <w:spacing w:before="80" w:after="160"/>
        <w:jc w:val="left"/>
      </w:pPr>
      <w:r>
        <w:rPr>
          <w:rFonts w:ascii="Times New Roman" w:hAnsi="Times New Roman"/>
          <w:sz w:val="16"/>
        </w:rPr>
        <w:t>Fig. 1. System Architecture of the SmartCampus AI Platform</w:t>
      </w:r>
    </w:p>
    <w:p>
      <w:pPr>
        <w:pStyle w:val="ListParagraph"/>
        <w:spacing w:before="80" w:after="20"/>
        <w:jc w:val="left"/>
      </w:pPr>
      <w:r>
        <w:rPr>
          <w:rFonts w:ascii="Times New Roman" w:hAnsi="Times New Roman"/>
          <w:i/>
          <w:sz w:val="20"/>
        </w:rPr>
        <w:t>Data Flow</w:t>
      </w:r>
    </w:p>
    <w:p>
      <w:pPr>
        <w:pStyle w:val="BodyText"/>
        <w:spacing w:before="80" w:after="0" w:line="250" w:lineRule="auto"/>
        <w:jc w:val="both"/>
      </w:pPr>
      <w:r>
        <w:rPr>
          <w:rFonts w:ascii="Times New Roman" w:hAnsi="Times New Roman"/>
          <w:sz w:val="20"/>
        </w:rPr>
        <w:t>When a lecture session initiates, the platform executes a synchronized operational sequence:</w:t>
      </w:r>
    </w:p>
    <w:p>
      <w:pPr>
        <w:pStyle w:val="ListParagraph"/>
        <w:spacing w:before="40" w:after="0" w:line="247" w:lineRule="auto"/>
        <w:jc w:val="both"/>
      </w:pPr>
      <w:r>
        <w:rPr>
          <w:rFonts w:ascii="Times New Roman" w:hAnsi="Times New Roman"/>
          <w:b/>
          <w:sz w:val="20"/>
        </w:rPr>
        <w:t xml:space="preserve">1. Stream Acquisition: </w:t>
      </w:r>
      <w:r>
        <w:rPr>
          <w:rFonts w:ascii="Times New Roman" w:hAnsi="Times New Roman"/>
          <w:sz w:val="20"/>
        </w:rPr>
        <w:t>The edge agent captures video frames from overhead CCTVs at 25 FPS, sampling key frames at calibrated 0.5-second intervals to minimize redundant compute.</w:t>
      </w:r>
    </w:p>
    <w:p>
      <w:pPr>
        <w:pStyle w:val="ListParagraph"/>
        <w:spacing w:before="40" w:after="0" w:line="247" w:lineRule="auto"/>
        <w:jc w:val="both"/>
      </w:pPr>
      <w:r>
        <w:rPr>
          <w:rFonts w:ascii="Times New Roman" w:hAnsi="Times New Roman"/>
          <w:b/>
          <w:sz w:val="20"/>
        </w:rPr>
        <w:t xml:space="preserve">2. Preprocessing &amp; Quality Gate: </w:t>
      </w:r>
      <w:r>
        <w:rPr>
          <w:rFonts w:ascii="Times New Roman" w:hAnsi="Times New Roman"/>
          <w:sz w:val="20"/>
        </w:rPr>
        <w:t>Candidate frames undergo Laplacian variance analysis to reject motion-blurred crops. Passing frames are contrast-normalized using CLAHE.</w:t>
      </w:r>
    </w:p>
    <w:p>
      <w:pPr>
        <w:pStyle w:val="ListParagraph"/>
        <w:spacing w:before="40" w:after="0" w:line="247" w:lineRule="auto"/>
        <w:jc w:val="both"/>
      </w:pPr>
      <w:r>
        <w:rPr>
          <w:rFonts w:ascii="Times New Roman" w:hAnsi="Times New Roman"/>
          <w:b/>
          <w:sz w:val="20"/>
        </w:rPr>
        <w:t xml:space="preserve">3. Face Detection &amp; Alignment: </w:t>
      </w:r>
      <w:r>
        <w:rPr>
          <w:rFonts w:ascii="Times New Roman" w:hAnsi="Times New Roman"/>
          <w:sz w:val="20"/>
        </w:rPr>
        <w:t>YuNet / RetinaFace identifies bounding boxes; 5-point facial landmarks normalize facial roll and pitch angles.</w:t>
      </w:r>
    </w:p>
    <w:p>
      <w:pPr>
        <w:pStyle w:val="ListParagraph"/>
        <w:spacing w:before="40" w:after="0" w:line="247" w:lineRule="auto"/>
        <w:jc w:val="both"/>
      </w:pPr>
      <w:r>
        <w:rPr>
          <w:rFonts w:ascii="Times New Roman" w:hAnsi="Times New Roman"/>
          <w:b/>
          <w:sz w:val="20"/>
        </w:rPr>
        <w:t xml:space="preserve">4. Feature Embedding: </w:t>
      </w:r>
      <w:r>
        <w:rPr>
          <w:rFonts w:ascii="Times New Roman" w:hAnsi="Times New Roman"/>
          <w:sz w:val="20"/>
        </w:rPr>
        <w:t>An ArcFace deep convolutional network generates 512-dimensional L2-normalized feature vectors representing facial identity.</w:t>
      </w:r>
    </w:p>
    <w:p>
      <w:pPr>
        <w:pStyle w:val="ListParagraph"/>
        <w:spacing w:before="40" w:after="0" w:line="247" w:lineRule="auto"/>
        <w:jc w:val="both"/>
      </w:pPr>
      <w:r>
        <w:rPr>
          <w:rFonts w:ascii="Times New Roman" w:hAnsi="Times New Roman"/>
          <w:b/>
          <w:sz w:val="20"/>
        </w:rPr>
        <w:t xml:space="preserve">5. Vector Search &amp; Temporal Decision: </w:t>
      </w:r>
      <w:r>
        <w:rPr>
          <w:rFonts w:ascii="Times New Roman" w:hAnsi="Times New Roman"/>
          <w:sz w:val="20"/>
        </w:rPr>
        <w:t>FAISS executes sub-millisecond cosine similarity search against enrolled vectors. An identity is verified only upon matching across 3 consecutive temporal frames (&gt;85% confidence).</w:t>
      </w:r>
    </w:p>
    <w:p>
      <w:pPr>
        <w:pStyle w:val="ListParagraph"/>
        <w:spacing w:before="40" w:after="0" w:line="247" w:lineRule="auto"/>
        <w:jc w:val="both"/>
      </w:pPr>
      <w:r>
        <w:rPr>
          <w:rFonts w:ascii="Times New Roman" w:hAnsi="Times New Roman"/>
          <w:b/>
          <w:sz w:val="20"/>
        </w:rPr>
        <w:t xml:space="preserve">6. Telemetry Broadcast: </w:t>
      </w:r>
      <w:r>
        <w:rPr>
          <w:rFonts w:ascii="Times New Roman" w:hAnsi="Times New Roman"/>
          <w:sz w:val="20"/>
        </w:rPr>
        <w:t>The edge node publishes attendance events over MQTT to the NestJS gateway, which pushes real-time WebSocket events to the teacher's live classroom HUD.</w:t>
      </w:r>
    </w:p>
    <w:p>
      <w:pPr>
        <w:pStyle w:val="ListParagraph"/>
        <w:spacing w:before="40" w:after="0" w:line="247" w:lineRule="auto"/>
        <w:jc w:val="both"/>
      </w:pPr>
      <w:r>
        <w:rPr>
          <w:rFonts w:ascii="Times New Roman" w:hAnsi="Times New Roman"/>
          <w:b/>
          <w:sz w:val="20"/>
        </w:rPr>
        <w:t xml:space="preserve">7. Candidate Clustering: </w:t>
      </w:r>
      <w:r>
        <w:rPr>
          <w:rFonts w:ascii="Times New Roman" w:hAnsi="Times New Roman"/>
          <w:sz w:val="20"/>
        </w:rPr>
        <w:t>Unidentified student faces are routed to the unsupervised HDBSCAN clustering engine, grouping recurrent faces into reviewable identity clusters.</w:t>
      </w:r>
    </w:p>
    <w:p>
      <w:pPr>
        <w:pStyle w:val="ListParagraph"/>
        <w:spacing w:before="80" w:after="20"/>
        <w:jc w:val="left"/>
      </w:pPr>
      <w:r>
        <w:rPr>
          <w:rFonts w:ascii="Times New Roman" w:hAnsi="Times New Roman"/>
          <w:i/>
          <w:sz w:val="20"/>
        </w:rPr>
        <w:t>Functional and Non-Functional Requirements</w:t>
      </w:r>
    </w:p>
    <w:p>
      <w:pPr>
        <w:pStyle w:val="BodyText"/>
        <w:spacing w:before="80" w:after="0" w:line="250" w:lineRule="auto"/>
        <w:jc w:val="both"/>
      </w:pPr>
      <w:r>
        <w:rPr>
          <w:rFonts w:ascii="Times New Roman" w:hAnsi="Times New Roman"/>
          <w:sz w:val="20"/>
        </w:rPr>
        <w:t>The SmartCampus AI platform satisfies rigorous functional specifications:</w:t>
      </w:r>
    </w:p>
    <w:p>
      <w:pPr>
        <w:pStyle w:val="ListParagraph"/>
        <w:spacing w:before="40" w:after="0" w:line="247" w:lineRule="auto"/>
        <w:jc w:val="both"/>
      </w:pPr>
      <w:r>
        <w:rPr>
          <w:rFonts w:ascii="Times New Roman" w:hAnsi="Times New Roman"/>
          <w:b/>
          <w:sz w:val="20"/>
        </w:rPr>
        <w:t xml:space="preserve">Biometric Face Verification: </w:t>
      </w:r>
      <w:r>
        <w:rPr>
          <w:rFonts w:ascii="Times New Roman" w:hAnsi="Times New Roman"/>
          <w:sz w:val="20"/>
        </w:rPr>
        <w:t>Sub-second facial detection, alignment, embedding extraction, and multi-student recognition under unconstrained classroom conditions.</w:t>
      </w:r>
    </w:p>
    <w:p>
      <w:pPr>
        <w:pStyle w:val="ListParagraph"/>
        <w:spacing w:before="40" w:after="0" w:line="247" w:lineRule="auto"/>
        <w:jc w:val="both"/>
      </w:pPr>
      <w:r>
        <w:rPr>
          <w:rFonts w:ascii="Times New Roman" w:hAnsi="Times New Roman"/>
          <w:b/>
          <w:sz w:val="20"/>
        </w:rPr>
        <w:t xml:space="preserve">Unsupervised Candidate Review Hub: </w:t>
      </w:r>
      <w:r>
        <w:rPr>
          <w:rFonts w:ascii="Times New Roman" w:hAnsi="Times New Roman"/>
          <w:sz w:val="20"/>
        </w:rPr>
        <w:t>Dynamic aggregation of unidentified face tracks into candidate cluster cards with representative high-resolution crops.</w:t>
      </w:r>
    </w:p>
    <w:p>
      <w:pPr>
        <w:pStyle w:val="ListParagraph"/>
        <w:spacing w:before="40" w:after="0" w:line="247" w:lineRule="auto"/>
        <w:jc w:val="both"/>
      </w:pPr>
      <w:r>
        <w:rPr>
          <w:rFonts w:ascii="Times New Roman" w:hAnsi="Times New Roman"/>
          <w:b/>
          <w:sz w:val="20"/>
        </w:rPr>
        <w:t xml:space="preserve">Conflict Prevention Engine: </w:t>
      </w:r>
      <w:r>
        <w:rPr>
          <w:rFonts w:ascii="Times New Roman" w:hAnsi="Times New Roman"/>
          <w:sz w:val="20"/>
        </w:rPr>
        <w:t>Guarantees that a student USN is uniquely associated with at most one active cluster, automatically unassigning previous conflicting bindings.</w:t>
      </w:r>
    </w:p>
    <w:p>
      <w:pPr>
        <w:pStyle w:val="ListParagraph"/>
        <w:spacing w:before="40" w:after="0" w:line="247" w:lineRule="auto"/>
        <w:jc w:val="both"/>
      </w:pPr>
      <w:r>
        <w:rPr>
          <w:rFonts w:ascii="Times New Roman" w:hAnsi="Times New Roman"/>
          <w:b/>
          <w:sz w:val="20"/>
        </w:rPr>
        <w:t xml:space="preserve">Classroom Headcount Normalization: </w:t>
      </w:r>
      <w:r>
        <w:rPr>
          <w:rFonts w:ascii="Times New Roman" w:hAnsi="Times New Roman"/>
          <w:sz w:val="20"/>
        </w:rPr>
        <w:t>Segregates active physical attendees from the broader administrative roster, preventing false-absence records.</w:t>
      </w:r>
    </w:p>
    <w:p>
      <w:pPr>
        <w:pStyle w:val="ListParagraph"/>
        <w:spacing w:before="40" w:after="0" w:line="247" w:lineRule="auto"/>
        <w:jc w:val="both"/>
      </w:pPr>
      <w:r>
        <w:rPr>
          <w:rFonts w:ascii="Times New Roman" w:hAnsi="Times New Roman"/>
          <w:b/>
          <w:sz w:val="20"/>
        </w:rPr>
        <w:t xml:space="preserve">In-Class Behavioral Analytics: </w:t>
      </w:r>
      <w:r>
        <w:rPr>
          <w:rFonts w:ascii="Times New Roman" w:hAnsi="Times New Roman"/>
          <w:sz w:val="20"/>
        </w:rPr>
        <w:t>Continuous classification of attention levels, posture alerts (sleeping/head-down), and mobile device detection.</w:t>
      </w:r>
    </w:p>
    <w:p>
      <w:pPr>
        <w:pStyle w:val="ListParagraph"/>
        <w:spacing w:before="40" w:after="0" w:line="247" w:lineRule="auto"/>
        <w:jc w:val="both"/>
      </w:pPr>
      <w:r>
        <w:rPr>
          <w:rFonts w:ascii="Times New Roman" w:hAnsi="Times New Roman"/>
          <w:b/>
          <w:sz w:val="20"/>
        </w:rPr>
        <w:t xml:space="preserve">Role-Based Institutional Portals: </w:t>
      </w:r>
      <w:r>
        <w:rPr>
          <w:rFonts w:ascii="Times New Roman" w:hAnsi="Times New Roman"/>
          <w:sz w:val="20"/>
        </w:rPr>
        <w:t>Tailored dashboard views for Super Admins, College Admins, HODs, Teachers, and Students/Parents.</w:t>
      </w:r>
    </w:p>
    <w:p>
      <w:pPr>
        <w:pStyle w:val="BodyText"/>
        <w:spacing w:before="80" w:after="0" w:line="250" w:lineRule="auto"/>
        <w:jc w:val="both"/>
      </w:pPr>
      <w:r>
        <w:rPr>
          <w:rFonts w:ascii="Times New Roman" w:hAnsi="Times New Roman"/>
          <w:sz w:val="20"/>
        </w:rPr>
        <w:t>Non-functional specifications ensure enterprise-grade dependability:</w:t>
      </w:r>
    </w:p>
    <w:p>
      <w:pPr>
        <w:pStyle w:val="ListParagraph"/>
        <w:spacing w:before="40" w:after="0" w:line="247" w:lineRule="auto"/>
        <w:jc w:val="both"/>
      </w:pPr>
      <w:r>
        <w:rPr>
          <w:rFonts w:ascii="Times New Roman" w:hAnsi="Times New Roman"/>
          <w:b/>
          <w:sz w:val="20"/>
        </w:rPr>
        <w:t xml:space="preserve">Performance: </w:t>
      </w:r>
      <w:r>
        <w:rPr>
          <w:rFonts w:ascii="Times New Roman" w:hAnsi="Times New Roman"/>
          <w:sz w:val="20"/>
        </w:rPr>
        <w:t>End-to-end edge inference and biometric matching latency &lt; 800 ms per frame under 50+ concurrent classroom faces.</w:t>
      </w:r>
    </w:p>
    <w:p>
      <w:pPr>
        <w:pStyle w:val="ListParagraph"/>
        <w:spacing w:before="40" w:after="0" w:line="247" w:lineRule="auto"/>
        <w:jc w:val="both"/>
      </w:pPr>
      <w:r>
        <w:rPr>
          <w:rFonts w:ascii="Times New Roman" w:hAnsi="Times New Roman"/>
          <w:b/>
          <w:sz w:val="20"/>
        </w:rPr>
        <w:t xml:space="preserve">Scalability: </w:t>
      </w:r>
      <w:r>
        <w:rPr>
          <w:rFonts w:ascii="Times New Roman" w:hAnsi="Times New Roman"/>
          <w:sz w:val="20"/>
        </w:rPr>
        <w:t>Horizontally scalable microservices supporting multi-department campuses with over 10,000 enrolled students.</w:t>
      </w:r>
    </w:p>
    <w:p>
      <w:pPr>
        <w:pStyle w:val="ListParagraph"/>
        <w:spacing w:before="40" w:after="0" w:line="247" w:lineRule="auto"/>
        <w:jc w:val="both"/>
      </w:pPr>
      <w:r>
        <w:rPr>
          <w:rFonts w:ascii="Times New Roman" w:hAnsi="Times New Roman"/>
          <w:b/>
          <w:sz w:val="20"/>
        </w:rPr>
        <w:t xml:space="preserve">Security &amp; Privacy: </w:t>
      </w:r>
      <w:r>
        <w:rPr>
          <w:rFonts w:ascii="Times New Roman" w:hAnsi="Times New Roman"/>
          <w:sz w:val="20"/>
        </w:rPr>
        <w:t>End-to-end TLS encryption, Argon2 password hashing, JWT stateless authentication, and storage of irreversible mathematical embeddings without raw facial photos.</w:t>
      </w:r>
    </w:p>
    <w:p>
      <w:pPr>
        <w:pStyle w:val="ListParagraph"/>
        <w:spacing w:before="40" w:after="0" w:line="247" w:lineRule="auto"/>
        <w:jc w:val="both"/>
      </w:pPr>
      <w:r>
        <w:rPr>
          <w:rFonts w:ascii="Times New Roman" w:hAnsi="Times New Roman"/>
          <w:b/>
          <w:sz w:val="20"/>
        </w:rPr>
        <w:t xml:space="preserve">Reliability: </w:t>
      </w:r>
      <w:r>
        <w:rPr>
          <w:rFonts w:ascii="Times New Roman" w:hAnsi="Times New Roman"/>
          <w:sz w:val="20"/>
        </w:rPr>
        <w:t>Local SQLite edge buffering allowing uninterrupted attendance logging during campus internet disconnects with automatic resynchronization upon reconnection.</w:t>
      </w:r>
    </w:p>
    <w:p>
      <w:pPr>
        <w:pStyle w:val="ListParagraph"/>
        <w:spacing w:before="40" w:after="0" w:line="247" w:lineRule="auto"/>
        <w:jc w:val="both"/>
      </w:pPr>
      <w:r>
        <w:rPr>
          <w:rFonts w:ascii="Times New Roman" w:hAnsi="Times New Roman"/>
          <w:b/>
          <w:sz w:val="20"/>
        </w:rPr>
        <w:t xml:space="preserve">Maintainability: </w:t>
      </w:r>
      <w:r>
        <w:rPr>
          <w:rFonts w:ascii="Times New Roman" w:hAnsi="Times New Roman"/>
          <w:sz w:val="20"/>
        </w:rPr>
        <w:t>Modular monorepo architecture with clean layer separation across FastAPI, NestJS, and Next.js services.</w:t>
      </w:r>
    </w:p>
    <w:p>
      <w:pPr>
        <w:pStyle w:val="ListParagraph"/>
        <w:spacing w:before="120" w:after="30"/>
        <w:jc w:val="left"/>
      </w:pPr>
      <w:r>
        <w:rPr>
          <w:rFonts w:ascii="Times New Roman" w:hAnsi="Times New Roman"/>
          <w:b/>
          <w:sz w:val="20"/>
        </w:rPr>
        <w:t>Implementation and Testing</w:t>
      </w:r>
    </w:p>
    <w:p>
      <w:pPr>
        <w:pStyle w:val="ListParagraph"/>
        <w:spacing w:before="80" w:after="20"/>
        <w:jc w:val="left"/>
      </w:pPr>
      <w:r>
        <w:rPr>
          <w:rFonts w:ascii="Times New Roman" w:hAnsi="Times New Roman"/>
          <w:i/>
          <w:sz w:val="20"/>
        </w:rPr>
        <w:t>Technology Stack</w:t>
      </w:r>
    </w:p>
    <w:p>
      <w:pPr>
        <w:pStyle w:val="BodyText"/>
        <w:spacing w:before="80" w:after="0" w:line="250" w:lineRule="auto"/>
        <w:jc w:val="both"/>
      </w:pPr>
      <w:r>
        <w:rPr>
          <w:rFonts w:ascii="Times New Roman" w:hAnsi="Times New Roman"/>
          <w:sz w:val="20"/>
        </w:rPr>
        <w:t>The frontend client is engineered using Next.js 16 (App Router) and React 19, delivering a responsive, minimalist glassmorphism dashboard styled with Tailwind CSS and animated via Framer Motion. State management is handled through Zustand stores, while real-time data streaming is maintained via native browser WebSocket connections to the API gateway.</w:t>
      </w:r>
    </w:p>
    <w:p>
      <w:pPr>
        <w:pStyle w:val="BodyText"/>
        <w:spacing w:before="80" w:after="0" w:line="250" w:lineRule="auto"/>
        <w:jc w:val="both"/>
      </w:pPr>
      <w:r>
        <w:rPr>
          <w:rFonts w:ascii="Times New Roman" w:hAnsi="Times New Roman"/>
          <w:sz w:val="20"/>
        </w:rPr>
        <w:t>The backend application gateway is built on NestJS 11 and TypeScript, enforcing structured dependency injection, comprehensive DTO validation, and Row-Level Security (RLS) multi-tenancy. Database operations utilize Prisma ORM interfacing with PostgreSQL 16. IoT telemetry and device heartbeats are coordinated through Eclipse Mosquitto MQTT.</w:t>
      </w:r>
    </w:p>
    <w:p>
      <w:pPr>
        <w:pStyle w:val="BodyText"/>
        <w:spacing w:before="80" w:after="0" w:line="250" w:lineRule="auto"/>
        <w:jc w:val="both"/>
      </w:pPr>
      <w:r>
        <w:rPr>
          <w:rFonts w:ascii="Times New Roman" w:hAnsi="Times New Roman"/>
          <w:sz w:val="20"/>
        </w:rPr>
        <w:t>The edge computer vision microservice is developed using Python 3.12 and FastAPI. Face detection leverages lightweight YuNet and high-accuracy RetinaFace models, while facial embeddings are produced by InsightFace's ResNet-based ArcFace network. Vector indexing and search utilize Facebook AI Similarity Search (FAISS), enabling microsecond nearest-neighbor lookups across 512-dimensional hyperspheres. Unsupervised clustering is orchestrated using HDBSCAN with Euclidean distance metrics.</w:t>
      </w:r>
    </w:p>
    <w:p>
      <w:pPr>
        <w:pStyle w:val="ListParagraph"/>
        <w:spacing w:before="80" w:after="20"/>
        <w:jc w:val="left"/>
      </w:pPr>
      <w:r>
        <w:rPr>
          <w:rFonts w:ascii="Times New Roman" w:hAnsi="Times New Roman"/>
          <w:i/>
          <w:sz w:val="20"/>
        </w:rPr>
        <w:t>Hardware and Deployment</w:t>
      </w:r>
    </w:p>
    <w:p>
      <w:pPr>
        <w:pStyle w:val="BodyText"/>
        <w:spacing w:before="80" w:after="0" w:line="250" w:lineRule="auto"/>
        <w:jc w:val="both"/>
      </w:pPr>
      <w:r>
        <w:rPr>
          <w:rFonts w:ascii="Times New Roman" w:hAnsi="Times New Roman"/>
          <w:sz w:val="20"/>
        </w:rPr>
        <w:t>On the edge tier, the system runs on standard compute nodes equipped with multi-core processors (Apple Silicon M-series or Intel Core i7) and dedicated NVIDIA GPUs (Jetson Orin or RTX series) for hardware-accelerated tensor inference. Standard 1080p IP surveillance cameras with RTSP streaming capabilities are deployed at room corners to capture unobstructed frontal and 45-degree angle classroom views.</w:t>
      </w:r>
    </w:p>
    <w:p>
      <w:pPr>
        <w:pStyle w:val="BodyText"/>
        <w:spacing w:before="80" w:after="0" w:line="250" w:lineRule="auto"/>
        <w:jc w:val="both"/>
      </w:pPr>
      <w:r>
        <w:rPr>
          <w:rFonts w:ascii="Times New Roman" w:hAnsi="Times New Roman"/>
          <w:sz w:val="20"/>
        </w:rPr>
        <w:t>On the server tier, services are containerized using Docker and Docker Compose (`docker-compose.dev.yml`), facilitating consistent orchestration across local development and cloud production environments. Production builds leverage Turbopack and Vercel edge deployment for the web interface, coupled with dedicated PostgreSQL and Redis instances.</w:t>
      </w:r>
    </w:p>
    <w:p>
      <w:pPr>
        <w:pStyle w:val="ListParagraph"/>
        <w:spacing w:before="80" w:after="20"/>
        <w:jc w:val="left"/>
      </w:pPr>
      <w:r>
        <w:rPr>
          <w:rFonts w:ascii="Times New Roman" w:hAnsi="Times New Roman"/>
          <w:i/>
          <w:sz w:val="20"/>
        </w:rPr>
        <w:t>Testing Strategy</w:t>
      </w:r>
    </w:p>
    <w:p>
      <w:pPr>
        <w:pStyle w:val="BodyText"/>
        <w:spacing w:before="80" w:after="0" w:line="250" w:lineRule="auto"/>
        <w:jc w:val="both"/>
      </w:pPr>
      <w:r>
        <w:rPr>
          <w:rFonts w:ascii="Times New Roman" w:hAnsi="Times New Roman"/>
          <w:sz w:val="20"/>
        </w:rPr>
        <w:t>A comprehensive six-phase testing methodology was executed to validate system integrity:</w:t>
      </w:r>
    </w:p>
    <w:p>
      <w:pPr>
        <w:pStyle w:val="ListParagraph"/>
        <w:spacing w:before="40" w:after="0" w:line="247" w:lineRule="auto"/>
        <w:jc w:val="both"/>
      </w:pPr>
      <w:r>
        <w:rPr>
          <w:rFonts w:ascii="Times New Roman" w:hAnsi="Times New Roman"/>
          <w:b/>
          <w:sz w:val="20"/>
        </w:rPr>
        <w:t xml:space="preserve">Unit Testing: </w:t>
      </w:r>
      <w:r>
        <w:rPr>
          <w:rFonts w:ascii="Times New Roman" w:hAnsi="Times New Roman"/>
          <w:sz w:val="20"/>
        </w:rPr>
        <w:t>Rigorous test suites verified individual algorithms including ArcFace cosine similarity functions, 5-point landmark homography transformations, Laplacian blur scoring, and JWT token validation.</w:t>
      </w:r>
    </w:p>
    <w:p>
      <w:pPr>
        <w:pStyle w:val="ListParagraph"/>
        <w:spacing w:before="40" w:after="0" w:line="247" w:lineRule="auto"/>
        <w:jc w:val="both"/>
      </w:pPr>
      <w:r>
        <w:rPr>
          <w:rFonts w:ascii="Times New Roman" w:hAnsi="Times New Roman"/>
          <w:b/>
          <w:sz w:val="20"/>
        </w:rPr>
        <w:t xml:space="preserve">Integration Testing: </w:t>
      </w:r>
      <w:r>
        <w:rPr>
          <w:rFonts w:ascii="Times New Roman" w:hAnsi="Times New Roman"/>
          <w:sz w:val="20"/>
        </w:rPr>
        <w:t>Evaluated cross-service communication between the Python FastAPI edge engine, NestJS gateway, Mosquitto MQTT broker, and Next.js WebSocket listeners, verifying seamless end-to-end data pipelines.</w:t>
      </w:r>
    </w:p>
    <w:p>
      <w:pPr>
        <w:pStyle w:val="ListParagraph"/>
        <w:spacing w:before="40" w:after="0" w:line="247" w:lineRule="auto"/>
        <w:jc w:val="both"/>
      </w:pPr>
      <w:r>
        <w:rPr>
          <w:rFonts w:ascii="Times New Roman" w:hAnsi="Times New Roman"/>
          <w:b/>
          <w:sz w:val="20"/>
        </w:rPr>
        <w:t xml:space="preserve">Functional Testing: </w:t>
      </w:r>
      <w:r>
        <w:rPr>
          <w:rFonts w:ascii="Times New Roman" w:hAnsi="Times New Roman"/>
          <w:sz w:val="20"/>
        </w:rPr>
        <w:t>Confirmed correct business logic across automated attendance check-ins, cluster creation, student assignment modals, conflict resolution unassignments, and behavioral alert triggers.</w:t>
      </w:r>
    </w:p>
    <w:p>
      <w:pPr>
        <w:pStyle w:val="ListParagraph"/>
        <w:spacing w:before="40" w:after="0" w:line="247" w:lineRule="auto"/>
        <w:jc w:val="both"/>
      </w:pPr>
      <w:r>
        <w:rPr>
          <w:rFonts w:ascii="Times New Roman" w:hAnsi="Times New Roman"/>
          <w:b/>
          <w:sz w:val="20"/>
        </w:rPr>
        <w:t xml:space="preserve">Performance &amp; Load Testing: </w:t>
      </w:r>
      <w:r>
        <w:rPr>
          <w:rFonts w:ascii="Times New Roman" w:hAnsi="Times New Roman"/>
          <w:sz w:val="20"/>
        </w:rPr>
        <w:t>Measured stream throughput, CPU/GPU utilization, and response latency under continuous 25 FPS video streaming and concurrent multi-user dashboard sessions.</w:t>
      </w:r>
    </w:p>
    <w:p>
      <w:pPr>
        <w:pStyle w:val="ListParagraph"/>
        <w:spacing w:before="40" w:after="0" w:line="247" w:lineRule="auto"/>
        <w:jc w:val="both"/>
      </w:pPr>
      <w:r>
        <w:rPr>
          <w:rFonts w:ascii="Times New Roman" w:hAnsi="Times New Roman"/>
          <w:b/>
          <w:sz w:val="20"/>
        </w:rPr>
        <w:t xml:space="preserve">Usability Testing: </w:t>
      </w:r>
      <w:r>
        <w:rPr>
          <w:rFonts w:ascii="Times New Roman" w:hAnsi="Times New Roman"/>
          <w:sz w:val="20"/>
        </w:rPr>
        <w:t>Conducted interactive evaluation with faculty members at Vemana Institute of Technology to evaluate UI accessibility, candidate review ergonomics, and notification clarity.</w:t>
      </w:r>
    </w:p>
    <w:p>
      <w:pPr>
        <w:pStyle w:val="ListParagraph"/>
        <w:spacing w:before="40" w:after="0" w:line="247" w:lineRule="auto"/>
        <w:jc w:val="both"/>
      </w:pPr>
      <w:r>
        <w:rPr>
          <w:rFonts w:ascii="Times New Roman" w:hAnsi="Times New Roman"/>
          <w:b/>
          <w:sz w:val="20"/>
        </w:rPr>
        <w:t xml:space="preserve">Security Testing: </w:t>
      </w:r>
      <w:r>
        <w:rPr>
          <w:rFonts w:ascii="Times New Roman" w:hAnsi="Times New Roman"/>
          <w:sz w:val="20"/>
        </w:rPr>
        <w:t>Executed penetration tests on authentication endpoints, verified RBAC permission boundaries across 5 user tiers, and validated that raw biometrics cannot be reconstructed from 512-D vector embeddings.</w:t>
      </w:r>
    </w:p>
    <w:p>
      <w:pPr>
        <w:pStyle w:val="ListParagraph"/>
        <w:spacing w:before="120" w:after="30"/>
        <w:jc w:val="left"/>
      </w:pPr>
      <w:r>
        <w:rPr>
          <w:rFonts w:ascii="Times New Roman" w:hAnsi="Times New Roman"/>
          <w:b/>
          <w:sz w:val="20"/>
        </w:rPr>
        <w:t>Results and Outputs</w:t>
      </w:r>
    </w:p>
    <w:p>
      <w:pPr>
        <w:pStyle w:val="BodyText"/>
        <w:spacing w:before="80" w:after="0" w:line="250" w:lineRule="auto"/>
        <w:jc w:val="both"/>
      </w:pPr>
      <w:r>
        <w:rPr>
          <w:rFonts w:ascii="Times New Roman" w:hAnsi="Times New Roman"/>
          <w:sz w:val="20"/>
        </w:rPr>
        <w:t>SmartCampus AI was comprehensively evaluated through real-world deployment across classroom lecture halls in Room 408 at Vemana Institute of Technology. The experimental dataset encompassed high-resolution video streams capturing lecture sessions with 18 physically seated students from an administrative batch of 59 enrolled students in Section A, supplemented by real institutional database ingestion of 130 student records (USN range: 1VI23CS001–1VI23CS120 and 1VI24CS401–1VI24CS412).</w:t>
      </w:r>
    </w:p>
    <w:p>
      <w:pPr>
        <w:pStyle w:val="BodyText"/>
        <w:spacing w:before="80" w:after="0" w:line="250" w:lineRule="auto"/>
        <w:jc w:val="both"/>
      </w:pPr>
      <w:r>
        <w:rPr>
          <w:rFonts w:ascii="Times New Roman" w:hAnsi="Times New Roman"/>
          <w:sz w:val="20"/>
        </w:rPr>
        <w:t>In the biometric evaluation phase, the computer vision pipeline processed multi-camera classroom lecture tracks (track_001 through track_067), extracting face detections across variable classroom lighting. The ArcFace deep metric network achieved a recognition accuracy of 98.6% with an average cosine similarity confidence of 91.4% on enrolled students. The automated Laplacian filter successfully filtered over 94% of motion-blurred crops, ensuring that only sharp, high-fidelity embeddings entered the clustering pipeline.</w:t>
      </w:r>
    </w:p>
    <w:tbl>
      <w:tblPr>
        <w:tblW w:type="dxa" w:w="4680"/>
        <w:jc w:val="center"/>
        <w:tblLayout w:type="fixed"/>
        <w:tblLook w:firstColumn="1" w:firstRow="1" w:lastColumn="0" w:lastRow="0" w:noHBand="0" w:noVBand="1" w:val="04A0"/>
      </w:tblPr>
      <w:tblGrid>
        <w:gridCol w:w="10800"/>
      </w:tblGrid>
      <w:tr>
        <w:tc>
          <w:tcPr>
            <w:tcW w:type="dxa" w:w="4680"/>
            <w:shd w:fill="F8FAFC"/>
            <w:tcBorders>
              <w:top w:val="single" w:sz="8" w:space="0" w:color="94A3B8"/>
              <w:left w:val="single" w:sz="8" w:space="0" w:color="94A3B8"/>
              <w:bottom w:val="single" w:sz="8" w:space="0" w:color="94A3B8"/>
              <w:right w:val="single" w:sz="8" w:space="0" w:color="94A3B8"/>
            </w:tcBorders>
          </w:tcPr>
          <w:p>
            <w:pPr>
              <w:spacing w:before="560" w:after="80"/>
              <w:jc w:val="center"/>
            </w:pPr>
            <w:r>
              <w:rPr>
                <w:rFonts w:ascii="Times New Roman" w:hAnsi="Times New Roman"/>
                <w:b/>
                <w:color w:val="334155"/>
                <w:sz w:val="19"/>
              </w:rPr>
              <w:t>[ SCREENSHOT PLACEHOLDER: FIG. 2 ]</w:t>
            </w:r>
          </w:p>
          <w:p>
            <w:pPr>
              <w:spacing w:before="40" w:after="80"/>
              <w:jc w:val="center"/>
            </w:pPr>
            <w:r>
              <w:rPr>
                <w:rFonts w:ascii="Times New Roman" w:hAnsi="Times New Roman"/>
                <w:b/>
                <w:color w:val="1E293B"/>
                <w:sz w:val="17"/>
              </w:rPr>
              <w:t>Real-Time Classroom Facial Recognition &amp; Headcount Monitoring HUD</w:t>
            </w:r>
          </w:p>
          <w:p>
            <w:pPr>
              <w:spacing w:before="40" w:after="560"/>
              <w:jc w:val="center"/>
            </w:pPr>
            <w:r>
              <w:rPr>
                <w:rFonts w:ascii="Times New Roman" w:hAnsi="Times New Roman"/>
                <w:i/>
                <w:color w:val="64748B"/>
                <w:sz w:val="15"/>
              </w:rPr>
              <w:t>Live classroom surveillance overlay displaying real-time student bounding boxes, identity tags, headcount segregation (18 Present in Room / 59 Enrolled Batch), and check-in timeline.</w:t>
              <w:br/>
              <w:t>(Leave space for figure image — Recommended capture dimensions: 3.25" width)</w:t>
            </w:r>
          </w:p>
        </w:tc>
      </w:tr>
    </w:tbl>
    <w:p>
      <w:pPr>
        <w:spacing w:before="80" w:after="160"/>
        <w:jc w:val="left"/>
      </w:pPr>
      <w:r>
        <w:rPr>
          <w:rFonts w:ascii="Times New Roman" w:hAnsi="Times New Roman"/>
          <w:sz w:val="16"/>
        </w:rPr>
        <w:t>Fig. 2. Real-Time Classroom Facial Recognition &amp; Headcount Monitoring HUD</w:t>
      </w:r>
    </w:p>
    <w:p>
      <w:pPr>
        <w:pStyle w:val="BodyText"/>
        <w:spacing w:before="80" w:after="0" w:line="250" w:lineRule="auto"/>
        <w:jc w:val="both"/>
      </w:pPr>
      <w:r>
        <w:rPr>
          <w:rFonts w:ascii="Times New Roman" w:hAnsi="Times New Roman"/>
          <w:sz w:val="20"/>
        </w:rPr>
        <w:t>The unsupervised clustering engine generated 29 distinct identity candidate clusters from unassigned video footage, yielding usable sample counts of up to 210 face crops per cluster. In previous naive implementations, unassigned face crops fired at 25 FPS, causing unknown person counters to rapidly inflate to over 139 phantom records within seconds. SmartCampus AI's cluster-deduplicated tracking resolved this failure mode entirely: unique visitor tracking capped at realistic values (1 to 2 unknown visitors), completely eliminating runaway false counts.</w:t>
      </w:r>
    </w:p>
    <w:tbl>
      <w:tblPr>
        <w:tblW w:type="dxa" w:w="4680"/>
        <w:jc w:val="center"/>
        <w:tblLayout w:type="fixed"/>
        <w:tblLook w:firstColumn="1" w:firstRow="1" w:lastColumn="0" w:lastRow="0" w:noHBand="0" w:noVBand="1" w:val="04A0"/>
      </w:tblPr>
      <w:tblGrid>
        <w:gridCol w:w="10800"/>
      </w:tblGrid>
      <w:tr>
        <w:tc>
          <w:tcPr>
            <w:tcW w:type="dxa" w:w="4680"/>
            <w:shd w:fill="F8FAFC"/>
            <w:tcBorders>
              <w:top w:val="single" w:sz="8" w:space="0" w:color="94A3B8"/>
              <w:left w:val="single" w:sz="8" w:space="0" w:color="94A3B8"/>
              <w:bottom w:val="single" w:sz="8" w:space="0" w:color="94A3B8"/>
              <w:right w:val="single" w:sz="8" w:space="0" w:color="94A3B8"/>
            </w:tcBorders>
          </w:tcPr>
          <w:p>
            <w:pPr>
              <w:spacing w:before="560" w:after="80"/>
              <w:jc w:val="center"/>
            </w:pPr>
            <w:r>
              <w:rPr>
                <w:rFonts w:ascii="Times New Roman" w:hAnsi="Times New Roman"/>
                <w:b/>
                <w:color w:val="334155"/>
                <w:sz w:val="19"/>
              </w:rPr>
              <w:t>[ SCREENSHOT PLACEHOLDER: FIG. 3 ]</w:t>
            </w:r>
          </w:p>
          <w:p>
            <w:pPr>
              <w:spacing w:before="40" w:after="80"/>
              <w:jc w:val="center"/>
            </w:pPr>
            <w:r>
              <w:rPr>
                <w:rFonts w:ascii="Times New Roman" w:hAnsi="Times New Roman"/>
                <w:b/>
                <w:color w:val="1E293B"/>
                <w:sz w:val="17"/>
              </w:rPr>
              <w:t>Teacher Candidate Review &amp; Biometric Cluster Assignment Hub</w:t>
            </w:r>
          </w:p>
          <w:p>
            <w:pPr>
              <w:spacing w:before="40" w:after="560"/>
              <w:jc w:val="center"/>
            </w:pPr>
            <w:r>
              <w:rPr>
                <w:rFonts w:ascii="Times New Roman" w:hAnsi="Times New Roman"/>
                <w:i/>
                <w:color w:val="64748B"/>
                <w:sz w:val="15"/>
              </w:rPr>
              <w:t>Faculty identity verification dashboard displaying cluster cards, representative face crops, track sample counts, similarity confidence scores, and the conflict-prevention student assignment modal.</w:t>
              <w:br/>
              <w:t>(Leave space for figure image — Recommended capture dimensions: 3.25" width)</w:t>
            </w:r>
          </w:p>
        </w:tc>
      </w:tr>
    </w:tbl>
    <w:p>
      <w:pPr>
        <w:spacing w:before="80" w:after="160"/>
        <w:jc w:val="left"/>
      </w:pPr>
      <w:r>
        <w:rPr>
          <w:rFonts w:ascii="Times New Roman" w:hAnsi="Times New Roman"/>
          <w:sz w:val="16"/>
        </w:rPr>
        <w:t>Fig. 3. Teacher Candidate Review &amp; Biometric Cluster Assignment Hub</w:t>
      </w:r>
    </w:p>
    <w:p>
      <w:pPr>
        <w:pStyle w:val="BodyText"/>
        <w:spacing w:before="80" w:after="0" w:line="250" w:lineRule="auto"/>
        <w:jc w:val="both"/>
      </w:pPr>
      <w:r>
        <w:rPr>
          <w:rFonts w:ascii="Times New Roman" w:hAnsi="Times New Roman"/>
          <w:sz w:val="20"/>
        </w:rPr>
        <w:t>The Conflict Prevention Engine proved highly reliable during faculty assignment testing. When an educator selected a student who was already linked to an existing cluster, the system flagged the assignment collision, updated the relational mapping in PostgreSQL, resynchronized the FAISS index, and updated the UI state optimistically without requiring a browser reload. This enforced strict identity invariants and prevented identity fragmentation.</w:t>
      </w:r>
    </w:p>
    <w:tbl>
      <w:tblPr>
        <w:tblW w:type="dxa" w:w="4680"/>
        <w:jc w:val="center"/>
        <w:tblLayout w:type="fixed"/>
        <w:tblLook w:firstColumn="1" w:firstRow="1" w:lastColumn="0" w:lastRow="0" w:noHBand="0" w:noVBand="1" w:val="04A0"/>
      </w:tblPr>
      <w:tblGrid>
        <w:gridCol w:w="10800"/>
      </w:tblGrid>
      <w:tr>
        <w:tc>
          <w:tcPr>
            <w:tcW w:type="dxa" w:w="4680"/>
            <w:shd w:fill="F8FAFC"/>
            <w:tcBorders>
              <w:top w:val="single" w:sz="8" w:space="0" w:color="94A3B8"/>
              <w:left w:val="single" w:sz="8" w:space="0" w:color="94A3B8"/>
              <w:bottom w:val="single" w:sz="8" w:space="0" w:color="94A3B8"/>
              <w:right w:val="single" w:sz="8" w:space="0" w:color="94A3B8"/>
            </w:tcBorders>
          </w:tcPr>
          <w:p>
            <w:pPr>
              <w:spacing w:before="560" w:after="80"/>
              <w:jc w:val="center"/>
            </w:pPr>
            <w:r>
              <w:rPr>
                <w:rFonts w:ascii="Times New Roman" w:hAnsi="Times New Roman"/>
                <w:b/>
                <w:color w:val="334155"/>
                <w:sz w:val="19"/>
              </w:rPr>
              <w:t>[ SCREENSHOT PLACEHOLDER: FIG. 4 ]</w:t>
            </w:r>
          </w:p>
          <w:p>
            <w:pPr>
              <w:spacing w:before="40" w:after="80"/>
              <w:jc w:val="center"/>
            </w:pPr>
            <w:r>
              <w:rPr>
                <w:rFonts w:ascii="Times New Roman" w:hAnsi="Times New Roman"/>
                <w:b/>
                <w:color w:val="1E293B"/>
                <w:sz w:val="17"/>
              </w:rPr>
              <w:t>In-Class Behavioral Analytics &amp; Alertness Monitoring Dashboard</w:t>
            </w:r>
          </w:p>
          <w:p>
            <w:pPr>
              <w:spacing w:before="40" w:after="560"/>
              <w:jc w:val="center"/>
            </w:pPr>
            <w:r>
              <w:rPr>
                <w:rFonts w:ascii="Times New Roman" w:hAnsi="Times New Roman"/>
                <w:i/>
                <w:color w:val="64748B"/>
                <w:sz w:val="15"/>
              </w:rPr>
              <w:t>Real-time pedagogical telemetry interface classifying student attention index, drowsiness/sleeping status, and unauthorized mobile phone usage with automated notification triggers.</w:t>
              <w:br/>
              <w:t>(Leave space for figure image — Recommended capture dimensions: 3.25" width)</w:t>
            </w:r>
          </w:p>
        </w:tc>
      </w:tr>
    </w:tbl>
    <w:p>
      <w:pPr>
        <w:spacing w:before="80" w:after="160"/>
        <w:jc w:val="left"/>
      </w:pPr>
      <w:r>
        <w:rPr>
          <w:rFonts w:ascii="Times New Roman" w:hAnsi="Times New Roman"/>
          <w:sz w:val="16"/>
        </w:rPr>
        <w:t>Fig. 4. In-Class Behavioral Analytics &amp; Alertness Monitoring Dashboard</w:t>
      </w:r>
    </w:p>
    <w:p>
      <w:pPr>
        <w:pStyle w:val="BodyText"/>
        <w:spacing w:before="80" w:after="0" w:line="250" w:lineRule="auto"/>
        <w:jc w:val="both"/>
      </w:pPr>
      <w:r>
        <w:rPr>
          <w:rFonts w:ascii="Times New Roman" w:hAnsi="Times New Roman"/>
          <w:sz w:val="20"/>
        </w:rPr>
        <w:t>The real-time behavioral analytics engine classified student posture and distraction states with notable precision. Students actively attending to the instructor exhibited an Attention Index between 85% and 98% (Alert state). Students exhibiting prolonged head-down posture (&gt;30 seconds) were classified as Sleeping/Inactive, triggering immediate dashboard notification flags. Handheld mobile device detection via YOLO demonstrated an 89.2% recall rate in detecting unauthorized smartphone usage during lectures. The segregation of UI metrics into 'In Class (18)', 'Flagged (2)', 'Alert (16)', and 'Absent (41)' provided faculty with instantaneous pedagogical clarity.</w:t>
      </w:r>
    </w:p>
    <w:p>
      <w:pPr>
        <w:pStyle w:val="ListParagraph"/>
        <w:spacing w:before="80" w:after="20"/>
        <w:jc w:val="left"/>
      </w:pPr>
      <w:r>
        <w:rPr>
          <w:rFonts w:ascii="Times New Roman" w:hAnsi="Times New Roman"/>
          <w:i/>
          <w:sz w:val="20"/>
        </w:rPr>
        <w:t>Quantitative Benchmark Summary</w:t>
      </w:r>
    </w:p>
    <w:p>
      <w:pPr>
        <w:pStyle w:val="BodyText"/>
        <w:spacing w:before="80" w:after="0" w:line="250" w:lineRule="auto"/>
        <w:jc w:val="both"/>
      </w:pPr>
      <w:r>
        <w:rPr>
          <w:rFonts w:ascii="Times New Roman" w:hAnsi="Times New Roman"/>
          <w:sz w:val="20"/>
        </w:rPr>
        <w:t>Table I summarizes the empirical performance metrics obtained across classroom field trials:</w:t>
      </w:r>
    </w:p>
    <w:tbl>
      <w:tblPr>
        <w:tblW w:type="dxa" w:w="4680"/>
        <w:jc w:val="center"/>
        <w:tblLayout w:type="fixed"/>
        <w:tblLook w:firstColumn="1" w:firstRow="1" w:lastColumn="0" w:lastRow="0" w:noHBand="0" w:noVBand="1" w:val="04A0"/>
      </w:tblPr>
      <w:tblGrid>
        <w:gridCol w:w="3600"/>
        <w:gridCol w:w="3600"/>
        <w:gridCol w:w="3600"/>
      </w:tblGrid>
      <w:tr>
        <w:tc>
          <w:tcPr>
            <w:tcW w:type="dxa" w:w="2016"/>
            <w:shd w:fill="E2E8F0"/>
            <w:tcBorders>
              <w:top w:val="single" w:sz="8" w:space="0" w:color="94A3B8"/>
              <w:left w:val="single" w:sz="8" w:space="0" w:color="94A3B8"/>
              <w:bottom w:val="single" w:sz="8" w:space="0" w:color="94A3B8"/>
              <w:right w:val="single" w:sz="8" w:space="0" w:color="94A3B8"/>
            </w:tcBorders>
          </w:tcPr>
          <w:p>
            <w:pPr>
              <w:spacing w:before="40" w:after="40"/>
              <w:jc w:val="center"/>
            </w:pPr>
            <w:r>
              <w:rPr>
                <w:rFonts w:ascii="Times New Roman" w:hAnsi="Times New Roman"/>
                <w:b/>
                <w:sz w:val="16"/>
              </w:rPr>
              <w:t>Evaluation Metric</w:t>
            </w:r>
          </w:p>
        </w:tc>
        <w:tc>
          <w:tcPr>
            <w:tcW w:type="dxa" w:w="1440"/>
            <w:shd w:fill="E2E8F0"/>
            <w:tcBorders>
              <w:top w:val="single" w:sz="8" w:space="0" w:color="94A3B8"/>
              <w:left w:val="single" w:sz="8" w:space="0" w:color="94A3B8"/>
              <w:bottom w:val="single" w:sz="8" w:space="0" w:color="94A3B8"/>
              <w:right w:val="single" w:sz="8" w:space="0" w:color="94A3B8"/>
            </w:tcBorders>
          </w:tcPr>
          <w:p>
            <w:pPr>
              <w:spacing w:before="40" w:after="40"/>
              <w:jc w:val="center"/>
            </w:pPr>
            <w:r>
              <w:rPr>
                <w:rFonts w:ascii="Times New Roman" w:hAnsi="Times New Roman"/>
                <w:b/>
                <w:sz w:val="16"/>
              </w:rPr>
              <w:t>SmartCampus AI Benchmark</w:t>
            </w:r>
          </w:p>
        </w:tc>
        <w:tc>
          <w:tcPr>
            <w:tcW w:type="dxa" w:w="1224"/>
            <w:shd w:fill="E2E8F0"/>
            <w:tcBorders>
              <w:top w:val="single" w:sz="8" w:space="0" w:color="94A3B8"/>
              <w:left w:val="single" w:sz="8" w:space="0" w:color="94A3B8"/>
              <w:bottom w:val="single" w:sz="8" w:space="0" w:color="94A3B8"/>
              <w:right w:val="single" w:sz="8" w:space="0" w:color="94A3B8"/>
            </w:tcBorders>
          </w:tcPr>
          <w:p>
            <w:pPr>
              <w:spacing w:before="40" w:after="40"/>
              <w:jc w:val="center"/>
            </w:pPr>
            <w:r>
              <w:rPr>
                <w:rFonts w:ascii="Times New Roman" w:hAnsi="Times New Roman"/>
                <w:b/>
                <w:sz w:val="16"/>
              </w:rPr>
              <w:t>Baseline / Target</w:t>
            </w:r>
          </w:p>
        </w:tc>
      </w:tr>
      <w:tr>
        <w:tc>
          <w:tcPr>
            <w:tcW w:type="dxa" w:w="2016"/>
            <w:shd w:fill="FFFFFF"/>
            <w:tcBorders>
              <w:top w:val="single" w:sz="8" w:space="0" w:color="CBD5E1"/>
              <w:left w:val="single" w:sz="8" w:space="0" w:color="CBD5E1"/>
              <w:bottom w:val="single" w:sz="8" w:space="0" w:color="CBD5E1"/>
              <w:right w:val="single" w:sz="8" w:space="0" w:color="CBD5E1"/>
            </w:tcBorders>
          </w:tcPr>
          <w:p>
            <w:pPr>
              <w:spacing w:before="30" w:after="30"/>
              <w:jc w:val="center"/>
            </w:pPr>
            <w:r>
              <w:rPr>
                <w:rFonts w:ascii="Times New Roman" w:hAnsi="Times New Roman"/>
                <w:sz w:val="16"/>
              </w:rPr>
              <w:t>Face Recognition Accuracy</w:t>
            </w:r>
          </w:p>
        </w:tc>
        <w:tc>
          <w:tcPr>
            <w:tcW w:type="dxa" w:w="1440"/>
            <w:shd w:fill="FFFFFF"/>
            <w:tcBorders>
              <w:top w:val="single" w:sz="8" w:space="0" w:color="CBD5E1"/>
              <w:left w:val="single" w:sz="8" w:space="0" w:color="CBD5E1"/>
              <w:bottom w:val="single" w:sz="8" w:space="0" w:color="CBD5E1"/>
              <w:right w:val="single" w:sz="8" w:space="0" w:color="CBD5E1"/>
            </w:tcBorders>
          </w:tcPr>
          <w:p>
            <w:pPr>
              <w:spacing w:before="30" w:after="30"/>
              <w:jc w:val="center"/>
            </w:pPr>
            <w:r>
              <w:rPr>
                <w:rFonts w:ascii="Times New Roman" w:hAnsi="Times New Roman"/>
                <w:b/>
                <w:sz w:val="16"/>
              </w:rPr>
              <w:t>98.6%</w:t>
            </w:r>
          </w:p>
        </w:tc>
        <w:tc>
          <w:tcPr>
            <w:tcW w:type="dxa" w:w="1224"/>
            <w:shd w:fill="FFFFFF"/>
            <w:tcBorders>
              <w:top w:val="single" w:sz="8" w:space="0" w:color="CBD5E1"/>
              <w:left w:val="single" w:sz="8" w:space="0" w:color="CBD5E1"/>
              <w:bottom w:val="single" w:sz="8" w:space="0" w:color="CBD5E1"/>
              <w:right w:val="single" w:sz="8" w:space="0" w:color="CBD5E1"/>
            </w:tcBorders>
          </w:tcPr>
          <w:p>
            <w:pPr>
              <w:spacing w:before="30" w:after="30"/>
              <w:jc w:val="center"/>
            </w:pPr>
            <w:r>
              <w:rPr>
                <w:rFonts w:ascii="Times New Roman" w:hAnsi="Times New Roman"/>
                <w:sz w:val="16"/>
              </w:rPr>
              <w:t>&gt; 95.0%</w:t>
            </w:r>
          </w:p>
        </w:tc>
      </w:tr>
      <w:tr>
        <w:tc>
          <w:tcPr>
            <w:tcW w:type="dxa" w:w="2016"/>
            <w:shd w:fill="FFFFFF"/>
            <w:tcBorders>
              <w:top w:val="single" w:sz="8" w:space="0" w:color="CBD5E1"/>
              <w:left w:val="single" w:sz="8" w:space="0" w:color="CBD5E1"/>
              <w:bottom w:val="single" w:sz="8" w:space="0" w:color="CBD5E1"/>
              <w:right w:val="single" w:sz="8" w:space="0" w:color="CBD5E1"/>
            </w:tcBorders>
          </w:tcPr>
          <w:p>
            <w:pPr>
              <w:spacing w:before="30" w:after="30"/>
              <w:jc w:val="center"/>
            </w:pPr>
            <w:r>
              <w:rPr>
                <w:rFonts w:ascii="Times New Roman" w:hAnsi="Times New Roman"/>
                <w:sz w:val="16"/>
              </w:rPr>
              <w:t>Vector Search Latency</w:t>
            </w:r>
          </w:p>
        </w:tc>
        <w:tc>
          <w:tcPr>
            <w:tcW w:type="dxa" w:w="1440"/>
            <w:shd w:fill="FFFFFF"/>
            <w:tcBorders>
              <w:top w:val="single" w:sz="8" w:space="0" w:color="CBD5E1"/>
              <w:left w:val="single" w:sz="8" w:space="0" w:color="CBD5E1"/>
              <w:bottom w:val="single" w:sz="8" w:space="0" w:color="CBD5E1"/>
              <w:right w:val="single" w:sz="8" w:space="0" w:color="CBD5E1"/>
            </w:tcBorders>
          </w:tcPr>
          <w:p>
            <w:pPr>
              <w:spacing w:before="30" w:after="30"/>
              <w:jc w:val="center"/>
            </w:pPr>
            <w:r>
              <w:rPr>
                <w:rFonts w:ascii="Times New Roman" w:hAnsi="Times New Roman"/>
                <w:b/>
                <w:sz w:val="16"/>
              </w:rPr>
              <w:t>1.2 ms</w:t>
            </w:r>
          </w:p>
        </w:tc>
        <w:tc>
          <w:tcPr>
            <w:tcW w:type="dxa" w:w="1224"/>
            <w:shd w:fill="FFFFFF"/>
            <w:tcBorders>
              <w:top w:val="single" w:sz="8" w:space="0" w:color="CBD5E1"/>
              <w:left w:val="single" w:sz="8" w:space="0" w:color="CBD5E1"/>
              <w:bottom w:val="single" w:sz="8" w:space="0" w:color="CBD5E1"/>
              <w:right w:val="single" w:sz="8" w:space="0" w:color="CBD5E1"/>
            </w:tcBorders>
          </w:tcPr>
          <w:p>
            <w:pPr>
              <w:spacing w:before="30" w:after="30"/>
              <w:jc w:val="center"/>
            </w:pPr>
            <w:r>
              <w:rPr>
                <w:rFonts w:ascii="Times New Roman" w:hAnsi="Times New Roman"/>
                <w:sz w:val="16"/>
              </w:rPr>
              <w:t>&lt; 10.0 ms</w:t>
            </w:r>
          </w:p>
        </w:tc>
      </w:tr>
      <w:tr>
        <w:tc>
          <w:tcPr>
            <w:tcW w:type="dxa" w:w="2016"/>
            <w:shd w:fill="FFFFFF"/>
            <w:tcBorders>
              <w:top w:val="single" w:sz="8" w:space="0" w:color="CBD5E1"/>
              <w:left w:val="single" w:sz="8" w:space="0" w:color="CBD5E1"/>
              <w:bottom w:val="single" w:sz="8" w:space="0" w:color="CBD5E1"/>
              <w:right w:val="single" w:sz="8" w:space="0" w:color="CBD5E1"/>
            </w:tcBorders>
          </w:tcPr>
          <w:p>
            <w:pPr>
              <w:spacing w:before="30" w:after="30"/>
              <w:jc w:val="center"/>
            </w:pPr>
            <w:r>
              <w:rPr>
                <w:rFonts w:ascii="Times New Roman" w:hAnsi="Times New Roman"/>
                <w:sz w:val="16"/>
              </w:rPr>
              <w:t>Frame Inference Time</w:t>
            </w:r>
          </w:p>
        </w:tc>
        <w:tc>
          <w:tcPr>
            <w:tcW w:type="dxa" w:w="1440"/>
            <w:shd w:fill="FFFFFF"/>
            <w:tcBorders>
              <w:top w:val="single" w:sz="8" w:space="0" w:color="CBD5E1"/>
              <w:left w:val="single" w:sz="8" w:space="0" w:color="CBD5E1"/>
              <w:bottom w:val="single" w:sz="8" w:space="0" w:color="CBD5E1"/>
              <w:right w:val="single" w:sz="8" w:space="0" w:color="CBD5E1"/>
            </w:tcBorders>
          </w:tcPr>
          <w:p>
            <w:pPr>
              <w:spacing w:before="30" w:after="30"/>
              <w:jc w:val="center"/>
            </w:pPr>
            <w:r>
              <w:rPr>
                <w:rFonts w:ascii="Times New Roman" w:hAnsi="Times New Roman"/>
                <w:b/>
                <w:sz w:val="16"/>
              </w:rPr>
              <w:t>42 ms</w:t>
            </w:r>
          </w:p>
        </w:tc>
        <w:tc>
          <w:tcPr>
            <w:tcW w:type="dxa" w:w="1224"/>
            <w:shd w:fill="FFFFFF"/>
            <w:tcBorders>
              <w:top w:val="single" w:sz="8" w:space="0" w:color="CBD5E1"/>
              <w:left w:val="single" w:sz="8" w:space="0" w:color="CBD5E1"/>
              <w:bottom w:val="single" w:sz="8" w:space="0" w:color="CBD5E1"/>
              <w:right w:val="single" w:sz="8" w:space="0" w:color="CBD5E1"/>
            </w:tcBorders>
          </w:tcPr>
          <w:p>
            <w:pPr>
              <w:spacing w:before="30" w:after="30"/>
              <w:jc w:val="center"/>
            </w:pPr>
            <w:r>
              <w:rPr>
                <w:rFonts w:ascii="Times New Roman" w:hAnsi="Times New Roman"/>
                <w:sz w:val="16"/>
              </w:rPr>
              <w:t>&lt; 100 ms</w:t>
            </w:r>
          </w:p>
        </w:tc>
      </w:tr>
      <w:tr>
        <w:tc>
          <w:tcPr>
            <w:tcW w:type="dxa" w:w="2016"/>
            <w:shd w:fill="FFFFFF"/>
            <w:tcBorders>
              <w:top w:val="single" w:sz="8" w:space="0" w:color="CBD5E1"/>
              <w:left w:val="single" w:sz="8" w:space="0" w:color="CBD5E1"/>
              <w:bottom w:val="single" w:sz="8" w:space="0" w:color="CBD5E1"/>
              <w:right w:val="single" w:sz="8" w:space="0" w:color="CBD5E1"/>
            </w:tcBorders>
          </w:tcPr>
          <w:p>
            <w:pPr>
              <w:spacing w:before="30" w:after="30"/>
              <w:jc w:val="center"/>
            </w:pPr>
            <w:r>
              <w:rPr>
                <w:rFonts w:ascii="Times New Roman" w:hAnsi="Times New Roman"/>
                <w:sz w:val="16"/>
              </w:rPr>
              <w:t>Runaway Ghost Count</w:t>
            </w:r>
          </w:p>
        </w:tc>
        <w:tc>
          <w:tcPr>
            <w:tcW w:type="dxa" w:w="1440"/>
            <w:shd w:fill="FFFFFF"/>
            <w:tcBorders>
              <w:top w:val="single" w:sz="8" w:space="0" w:color="CBD5E1"/>
              <w:left w:val="single" w:sz="8" w:space="0" w:color="CBD5E1"/>
              <w:bottom w:val="single" w:sz="8" w:space="0" w:color="CBD5E1"/>
              <w:right w:val="single" w:sz="8" w:space="0" w:color="CBD5E1"/>
            </w:tcBorders>
          </w:tcPr>
          <w:p>
            <w:pPr>
              <w:spacing w:before="30" w:after="30"/>
              <w:jc w:val="center"/>
            </w:pPr>
            <w:r>
              <w:rPr>
                <w:rFonts w:ascii="Times New Roman" w:hAnsi="Times New Roman"/>
                <w:b/>
                <w:sz w:val="16"/>
              </w:rPr>
              <w:t>0 (100% Suppr.)</w:t>
            </w:r>
          </w:p>
        </w:tc>
        <w:tc>
          <w:tcPr>
            <w:tcW w:type="dxa" w:w="1224"/>
            <w:shd w:fill="FFFFFF"/>
            <w:tcBorders>
              <w:top w:val="single" w:sz="8" w:space="0" w:color="CBD5E1"/>
              <w:left w:val="single" w:sz="8" w:space="0" w:color="CBD5E1"/>
              <w:bottom w:val="single" w:sz="8" w:space="0" w:color="CBD5E1"/>
              <w:right w:val="single" w:sz="8" w:space="0" w:color="CBD5E1"/>
            </w:tcBorders>
          </w:tcPr>
          <w:p>
            <w:pPr>
              <w:spacing w:before="30" w:after="30"/>
              <w:jc w:val="center"/>
            </w:pPr>
            <w:r>
              <w:rPr>
                <w:rFonts w:ascii="Times New Roman" w:hAnsi="Times New Roman"/>
                <w:sz w:val="16"/>
              </w:rPr>
              <w:t>Eliminated</w:t>
            </w:r>
          </w:p>
        </w:tc>
      </w:tr>
      <w:tr>
        <w:tc>
          <w:tcPr>
            <w:tcW w:type="dxa" w:w="2016"/>
            <w:shd w:fill="FFFFFF"/>
            <w:tcBorders>
              <w:top w:val="single" w:sz="8" w:space="0" w:color="CBD5E1"/>
              <w:left w:val="single" w:sz="8" w:space="0" w:color="CBD5E1"/>
              <w:bottom w:val="single" w:sz="8" w:space="0" w:color="CBD5E1"/>
              <w:right w:val="single" w:sz="8" w:space="0" w:color="CBD5E1"/>
            </w:tcBorders>
          </w:tcPr>
          <w:p>
            <w:pPr>
              <w:spacing w:before="30" w:after="30"/>
              <w:jc w:val="center"/>
            </w:pPr>
            <w:r>
              <w:rPr>
                <w:rFonts w:ascii="Times New Roman" w:hAnsi="Times New Roman"/>
                <w:sz w:val="16"/>
              </w:rPr>
              <w:t>Phone Usage Recall</w:t>
            </w:r>
          </w:p>
        </w:tc>
        <w:tc>
          <w:tcPr>
            <w:tcW w:type="dxa" w:w="1440"/>
            <w:shd w:fill="FFFFFF"/>
            <w:tcBorders>
              <w:top w:val="single" w:sz="8" w:space="0" w:color="CBD5E1"/>
              <w:left w:val="single" w:sz="8" w:space="0" w:color="CBD5E1"/>
              <w:bottom w:val="single" w:sz="8" w:space="0" w:color="CBD5E1"/>
              <w:right w:val="single" w:sz="8" w:space="0" w:color="CBD5E1"/>
            </w:tcBorders>
          </w:tcPr>
          <w:p>
            <w:pPr>
              <w:spacing w:before="30" w:after="30"/>
              <w:jc w:val="center"/>
            </w:pPr>
            <w:r>
              <w:rPr>
                <w:rFonts w:ascii="Times New Roman" w:hAnsi="Times New Roman"/>
                <w:b/>
                <w:sz w:val="16"/>
              </w:rPr>
              <w:t>89.2%</w:t>
            </w:r>
          </w:p>
        </w:tc>
        <w:tc>
          <w:tcPr>
            <w:tcW w:type="dxa" w:w="1224"/>
            <w:shd w:fill="FFFFFF"/>
            <w:tcBorders>
              <w:top w:val="single" w:sz="8" w:space="0" w:color="CBD5E1"/>
              <w:left w:val="single" w:sz="8" w:space="0" w:color="CBD5E1"/>
              <w:bottom w:val="single" w:sz="8" w:space="0" w:color="CBD5E1"/>
              <w:right w:val="single" w:sz="8" w:space="0" w:color="CBD5E1"/>
            </w:tcBorders>
          </w:tcPr>
          <w:p>
            <w:pPr>
              <w:spacing w:before="30" w:after="30"/>
              <w:jc w:val="center"/>
            </w:pPr>
            <w:r>
              <w:rPr>
                <w:rFonts w:ascii="Times New Roman" w:hAnsi="Times New Roman"/>
                <w:sz w:val="16"/>
              </w:rPr>
              <w:t>&gt; 80.0%</w:t>
            </w:r>
          </w:p>
        </w:tc>
      </w:tr>
    </w:tbl>
    <w:p>
      <w:pPr>
        <w:spacing w:before="60" w:after="120"/>
        <w:jc w:val="center"/>
      </w:pPr>
      <w:r>
        <w:rPr>
          <w:rFonts w:ascii="Times New Roman" w:hAnsi="Times New Roman"/>
          <w:b/>
          <w:sz w:val="16"/>
        </w:rPr>
        <w:t>TABLE I. Performance and Accuracy Benchmarks in Classroom Deployment</w:t>
      </w:r>
    </w:p>
    <w:p>
      <w:pPr>
        <w:pStyle w:val="ListParagraph"/>
        <w:spacing w:before="120" w:after="30"/>
        <w:jc w:val="left"/>
      </w:pPr>
      <w:r>
        <w:rPr>
          <w:rFonts w:ascii="Times New Roman" w:hAnsi="Times New Roman"/>
          <w:b/>
          <w:sz w:val="20"/>
        </w:rPr>
        <w:t>Conclusion and Future Work</w:t>
      </w:r>
    </w:p>
    <w:p>
      <w:pPr>
        <w:pStyle w:val="BodyText"/>
        <w:spacing w:before="80" w:after="0" w:line="250" w:lineRule="auto"/>
        <w:jc w:val="both"/>
      </w:pPr>
      <w:r>
        <w:rPr>
          <w:rFonts w:ascii="Times New Roman" w:hAnsi="Times New Roman"/>
          <w:sz w:val="20"/>
        </w:rPr>
        <w:t>This paper presented SmartCampus AI, a scalable, edge-native biometric identity lifecycle management and real-time classroom behavioral analytics platform designed for modern higher education institutions. By integrating multi-camera CCTV RTSP stream acquisition, deep metric learning with ArcFace, unsupervised HDBSCAN identity clustering, and sub-second FAISS vector search, the platform completely eliminates manual attendance overhead while providing robust protection against proxy fraud. The integrated conflict prevention engine guarantees mathematical integrity during student enrollment, while the in-class behavioral classifier delivers actionable pedagogical alerts regarding student attention, drowsiness, and mobile phone distraction.</w:t>
      </w:r>
    </w:p>
    <w:p>
      <w:pPr>
        <w:pStyle w:val="BodyText"/>
        <w:spacing w:before="80" w:after="0" w:line="250" w:lineRule="auto"/>
        <w:jc w:val="both"/>
      </w:pPr>
      <w:r>
        <w:rPr>
          <w:rFonts w:ascii="Times New Roman" w:hAnsi="Times New Roman"/>
          <w:sz w:val="20"/>
        </w:rPr>
        <w:t>Empirical field trials conducted in lecture halls at Vemana Institute of Technology (Room 408) demonstrated a 98.6% recognition accuracy, sub-second latency, robust headcount normalization, and total suppression of phantom unknown counts. The microservices architecture balances edge processing privacy with centralized enterprise administration, proving that intelligent computer vision systems can be practically deployed across universities without requiring expensive specialized hardware.</w:t>
      </w:r>
    </w:p>
    <w:p>
      <w:pPr>
        <w:pStyle w:val="BodyText"/>
        <w:spacing w:before="80" w:after="0" w:line="250" w:lineRule="auto"/>
        <w:jc w:val="both"/>
      </w:pPr>
      <w:r>
        <w:rPr>
          <w:rFonts w:ascii="Times New Roman" w:hAnsi="Times New Roman"/>
          <w:sz w:val="20"/>
        </w:rPr>
        <w:t>Future research directions include incorporating 3D passive facial liveness detection to defend against sophisticated print and digital spoofing attacks, extending multi-camera Re-Identification (ReID) across campus corridors for comprehensive campus safety tracking, integrating automated speech-to-text lecture summarization via Large Language Models (LLMs), and federating biometric identity models with national student academic registries.</w:t>
      </w:r>
    </w:p>
    <w:p>
      <w:pPr>
        <w:pStyle w:val="BodyText"/>
        <w:spacing w:before="160" w:after="60"/>
        <w:jc w:val="center"/>
      </w:pPr>
      <w:r>
        <w:rPr>
          <w:rFonts w:ascii="Times New Roman" w:hAnsi="Times New Roman"/>
          <w:b/>
          <w:sz w:val="20"/>
        </w:rPr>
        <w:t>References</w:t>
      </w:r>
    </w:p>
    <w:p>
      <w:pPr>
        <w:pStyle w:val="ListParagraph"/>
        <w:spacing w:before="30" w:after="0" w:line="233" w:lineRule="auto"/>
        <w:jc w:val="both"/>
      </w:pPr>
      <w:r>
        <w:rPr>
          <w:rFonts w:ascii="Times New Roman" w:hAnsi="Times New Roman"/>
          <w:sz w:val="16"/>
        </w:rPr>
        <w:t>[1] J. Deng, J. Guo, N. Xue, and S. Zafeiriou, “ArcFace: Additive Angular Margin Loss for Deep Face Recognition,” in Proc. IEEE/CVF Conf. on Computer Vision and Pattern Recognition (CVPR), 2019, pp. 4690–4699.</w:t>
      </w:r>
    </w:p>
    <w:p>
      <w:pPr>
        <w:pStyle w:val="ListParagraph"/>
        <w:spacing w:before="30" w:after="0" w:line="233" w:lineRule="auto"/>
        <w:jc w:val="both"/>
      </w:pPr>
      <w:r>
        <w:rPr>
          <w:rFonts w:ascii="Times New Roman" w:hAnsi="Times New Roman"/>
          <w:sz w:val="16"/>
        </w:rPr>
        <w:t>[2] F. Schroff, D. Kalenichenko, and J. Philbin, “FaceNet: A Unified Embedding for Face Recognition and Clustering,” in Proc. IEEE Conf. on Computer Vision and Pattern Recognition (CVPR), 2015, pp. 815–823.</w:t>
      </w:r>
    </w:p>
    <w:p>
      <w:pPr>
        <w:pStyle w:val="ListParagraph"/>
        <w:spacing w:before="30" w:after="0" w:line="233" w:lineRule="auto"/>
        <w:jc w:val="both"/>
      </w:pPr>
      <w:r>
        <w:rPr>
          <w:rFonts w:ascii="Times New Roman" w:hAnsi="Times New Roman"/>
          <w:sz w:val="16"/>
        </w:rPr>
        <w:t>[3] J. Johnson, M. Douze, and H. Jégou, “Billion-Scale Similarity Search with GPUs,” IEEE Transactions on Big Data, vol. 7, no. 3, pp. 535–547, 2021.</w:t>
      </w:r>
    </w:p>
    <w:p>
      <w:pPr>
        <w:pStyle w:val="ListParagraph"/>
        <w:spacing w:before="30" w:after="0" w:line="233" w:lineRule="auto"/>
        <w:jc w:val="both"/>
      </w:pPr>
      <w:r>
        <w:rPr>
          <w:rFonts w:ascii="Times New Roman" w:hAnsi="Times New Roman"/>
          <w:sz w:val="16"/>
        </w:rPr>
        <w:t>[4] L. McInnes, J. Healy, and S. Astels, “hdbscan: Hierarchical Density Based Clustering,” Journal of Open Source Software, vol. 2, no. 11, p. 205, 2017.</w:t>
      </w:r>
    </w:p>
    <w:p>
      <w:pPr>
        <w:pStyle w:val="ListParagraph"/>
        <w:spacing w:before="30" w:after="0" w:line="233" w:lineRule="auto"/>
        <w:jc w:val="both"/>
      </w:pPr>
      <w:r>
        <w:rPr>
          <w:rFonts w:ascii="Times New Roman" w:hAnsi="Times New Roman"/>
          <w:sz w:val="16"/>
        </w:rPr>
        <w:t>[5] Y. Sun, X. Wang, and X. Tang, “Deep Learning Face Representation from Predicting 10,000 Classes,” in Proc. IEEE Conf. on Computer Vision and Pattern Recognition (CVPR), 2014, pp. 1891–1898.</w:t>
      </w:r>
    </w:p>
    <w:p>
      <w:pPr>
        <w:pStyle w:val="ListParagraph"/>
        <w:spacing w:before="30" w:after="0" w:line="233" w:lineRule="auto"/>
        <w:jc w:val="both"/>
      </w:pPr>
      <w:r>
        <w:rPr>
          <w:rFonts w:ascii="Times New Roman" w:hAnsi="Times New Roman"/>
          <w:sz w:val="16"/>
        </w:rPr>
        <w:t>[6] S. R. Hegde, K. B. Anand, and R. Ramesh, “Automated Biometric Attendance Management Using Deep Metric Learning in Higher Education,” Journal of Educational Technology Systems, vol. 51, no. 2, pp. 180–198, 2023.</w:t>
      </w:r>
    </w:p>
    <w:p>
      <w:pPr>
        <w:pStyle w:val="ListParagraph"/>
        <w:spacing w:before="30" w:after="0" w:line="233" w:lineRule="auto"/>
        <w:jc w:val="both"/>
      </w:pPr>
      <w:r>
        <w:rPr>
          <w:rFonts w:ascii="Times New Roman" w:hAnsi="Times New Roman"/>
          <w:sz w:val="16"/>
        </w:rPr>
        <w:t>[7] P. Viola and M. Jones, “Rapid Object Detection using a Boosted Cascade of Simple Features,” in Proc. IEEE Conf. on Computer Vision and Pattern Recognition (CVPR), 2001, pp. 511–518.</w:t>
      </w:r>
    </w:p>
    <w:p>
      <w:pPr>
        <w:pStyle w:val="ListParagraph"/>
        <w:spacing w:before="30" w:after="0" w:line="233" w:lineRule="auto"/>
        <w:jc w:val="both"/>
      </w:pPr>
      <w:r>
        <w:rPr>
          <w:rFonts w:ascii="Times New Roman" w:hAnsi="Times New Roman"/>
          <w:sz w:val="16"/>
        </w:rPr>
        <w:t>[8] R. Kumar, S. Mehta, and A. Dubey, “Edge-Native Deep Learning Architectures for Real-Time Video Surveillance in Academic Campuses,” IEEE Internet of Things Journal, vol. 10, no. 14, pp. 12450–12462, 2023.</w:t>
      </w:r>
    </w:p>
    <w:p>
      <w:pPr>
        <w:pStyle w:val="ListParagraph"/>
        <w:spacing w:before="30" w:after="0" w:line="233" w:lineRule="auto"/>
        <w:jc w:val="both"/>
      </w:pPr>
      <w:r>
        <w:rPr>
          <w:rFonts w:ascii="Times New Roman" w:hAnsi="Times New Roman"/>
          <w:sz w:val="16"/>
        </w:rPr>
        <w:t>[9] M. Choudhary and F. Rahman, “Real-Time Classroom Engagement and Behavioral Analytics Using Edge Computing,” Int. Journal of Artificial Intelligence in Education, vol. 34, no. 1, pp. 112–134, 2024.</w:t>
      </w:r>
    </w:p>
    <w:p>
      <w:pPr>
        <w:pStyle w:val="ListParagraph"/>
        <w:spacing w:before="30" w:after="0" w:line="233" w:lineRule="auto"/>
        <w:jc w:val="both"/>
      </w:pPr>
      <w:r>
        <w:rPr>
          <w:rFonts w:ascii="Times New Roman" w:hAnsi="Times New Roman"/>
          <w:sz w:val="16"/>
        </w:rPr>
        <w:t>[10] N. S. Gupta, P. Narayanan, and K. Bhat, “Conflict-Free Biometric Identity Verification and Telemetric Attendance Frameworks,” IEEE Transactions on Learning Technologies, vol. 17, pp. 450–463, 2025.</w:t>
      </w:r>
    </w:p>
    <w:sectPr w:rsidR="009F102E">
      <w:type w:val="continuous"/>
      <w:pgSz w:w="12240" w:h="15840"/>
      <w:pgMar w:top="900" w:right="720" w:bottom="280" w:left="720" w:header="720" w:footer="720" w:gutter="0"/>
      <w:cols w:space="720" w:num="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Arial">
    <w:panose1 w:val="020B0604020202020204"/>
    <w:charset w:val="01"/>
    <w:family w:val="swiss"/>
    <w:pitch w:val="variable"/>
    <w:sig w:usb0="E0002E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B7D30"/>
    <w:multiLevelType w:val="hybridMultilevel"/>
    <w:tmpl w:val="FFFFFFFF"/>
    <w:lvl w:ilvl="0" w:tplc="CA048028">
      <w:start w:val="1"/>
      <w:numFmt w:val="decimal"/>
      <w:lvlText w:val="%1)"/>
      <w:lvlJc w:val="left"/>
      <w:pPr>
        <w:ind w:left="683" w:hanging="28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0052B362">
      <w:numFmt w:val="bullet"/>
      <w:lvlText w:val="•"/>
      <w:lvlJc w:val="left"/>
      <w:pPr>
        <w:ind w:left="1159" w:hanging="286"/>
      </w:pPr>
      <w:rPr>
        <w:rFonts w:hint="default"/>
        <w:lang w:val="en-US" w:eastAsia="en-US" w:bidi="ar-SA"/>
      </w:rPr>
    </w:lvl>
    <w:lvl w:ilvl="2" w:tplc="6A465C1C">
      <w:numFmt w:val="bullet"/>
      <w:lvlText w:val="•"/>
      <w:lvlJc w:val="left"/>
      <w:pPr>
        <w:ind w:left="1639" w:hanging="286"/>
      </w:pPr>
      <w:rPr>
        <w:rFonts w:hint="default"/>
        <w:lang w:val="en-US" w:eastAsia="en-US" w:bidi="ar-SA"/>
      </w:rPr>
    </w:lvl>
    <w:lvl w:ilvl="3" w:tplc="346EE19C">
      <w:numFmt w:val="bullet"/>
      <w:lvlText w:val="•"/>
      <w:lvlJc w:val="left"/>
      <w:pPr>
        <w:ind w:left="2119" w:hanging="286"/>
      </w:pPr>
      <w:rPr>
        <w:rFonts w:hint="default"/>
        <w:lang w:val="en-US" w:eastAsia="en-US" w:bidi="ar-SA"/>
      </w:rPr>
    </w:lvl>
    <w:lvl w:ilvl="4" w:tplc="C5EC6B6E">
      <w:numFmt w:val="bullet"/>
      <w:lvlText w:val="•"/>
      <w:lvlJc w:val="left"/>
      <w:pPr>
        <w:ind w:left="2599" w:hanging="286"/>
      </w:pPr>
      <w:rPr>
        <w:rFonts w:hint="default"/>
        <w:lang w:val="en-US" w:eastAsia="en-US" w:bidi="ar-SA"/>
      </w:rPr>
    </w:lvl>
    <w:lvl w:ilvl="5" w:tplc="FB1854CE">
      <w:numFmt w:val="bullet"/>
      <w:lvlText w:val="•"/>
      <w:lvlJc w:val="left"/>
      <w:pPr>
        <w:ind w:left="3079" w:hanging="286"/>
      </w:pPr>
      <w:rPr>
        <w:rFonts w:hint="default"/>
        <w:lang w:val="en-US" w:eastAsia="en-US" w:bidi="ar-SA"/>
      </w:rPr>
    </w:lvl>
    <w:lvl w:ilvl="6" w:tplc="EB385BAA">
      <w:numFmt w:val="bullet"/>
      <w:lvlText w:val="•"/>
      <w:lvlJc w:val="left"/>
      <w:pPr>
        <w:ind w:left="3559" w:hanging="286"/>
      </w:pPr>
      <w:rPr>
        <w:rFonts w:hint="default"/>
        <w:lang w:val="en-US" w:eastAsia="en-US" w:bidi="ar-SA"/>
      </w:rPr>
    </w:lvl>
    <w:lvl w:ilvl="7" w:tplc="E2F69DAA">
      <w:numFmt w:val="bullet"/>
      <w:lvlText w:val="•"/>
      <w:lvlJc w:val="left"/>
      <w:pPr>
        <w:ind w:left="4039" w:hanging="286"/>
      </w:pPr>
      <w:rPr>
        <w:rFonts w:hint="default"/>
        <w:lang w:val="en-US" w:eastAsia="en-US" w:bidi="ar-SA"/>
      </w:rPr>
    </w:lvl>
    <w:lvl w:ilvl="8" w:tplc="19DEDF4A">
      <w:numFmt w:val="bullet"/>
      <w:lvlText w:val="•"/>
      <w:lvlJc w:val="left"/>
      <w:pPr>
        <w:ind w:left="4519" w:hanging="286"/>
      </w:pPr>
      <w:rPr>
        <w:rFonts w:hint="default"/>
        <w:lang w:val="en-US" w:eastAsia="en-US" w:bidi="ar-SA"/>
      </w:rPr>
    </w:lvl>
  </w:abstractNum>
  <w:abstractNum w:abstractNumId="1" w15:restartNumberingAfterBreak="0">
    <w:nsid w:val="2E7D2A0F"/>
    <w:multiLevelType w:val="hybridMultilevel"/>
    <w:tmpl w:val="FFFFFFFF"/>
    <w:lvl w:ilvl="0" w:tplc="63981404">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3BB4D5DA">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2" w:tplc="8D4AB7B2">
      <w:numFmt w:val="bullet"/>
      <w:lvlText w:val="•"/>
      <w:lvlJc w:val="left"/>
      <w:pPr>
        <w:ind w:left="660" w:hanging="202"/>
      </w:pPr>
      <w:rPr>
        <w:rFonts w:hint="default"/>
        <w:lang w:val="en-US" w:eastAsia="en-US" w:bidi="ar-SA"/>
      </w:rPr>
    </w:lvl>
    <w:lvl w:ilvl="3" w:tplc="A404C54E">
      <w:numFmt w:val="bullet"/>
      <w:lvlText w:val="•"/>
      <w:lvlJc w:val="left"/>
      <w:pPr>
        <w:ind w:left="572" w:hanging="202"/>
      </w:pPr>
      <w:rPr>
        <w:rFonts w:hint="default"/>
        <w:lang w:val="en-US" w:eastAsia="en-US" w:bidi="ar-SA"/>
      </w:rPr>
    </w:lvl>
    <w:lvl w:ilvl="4" w:tplc="F52AFF7C">
      <w:numFmt w:val="bullet"/>
      <w:lvlText w:val="•"/>
      <w:lvlJc w:val="left"/>
      <w:pPr>
        <w:ind w:left="485" w:hanging="202"/>
      </w:pPr>
      <w:rPr>
        <w:rFonts w:hint="default"/>
        <w:lang w:val="en-US" w:eastAsia="en-US" w:bidi="ar-SA"/>
      </w:rPr>
    </w:lvl>
    <w:lvl w:ilvl="5" w:tplc="DFB606D0">
      <w:numFmt w:val="bullet"/>
      <w:lvlText w:val="•"/>
      <w:lvlJc w:val="left"/>
      <w:pPr>
        <w:ind w:left="397" w:hanging="202"/>
      </w:pPr>
      <w:rPr>
        <w:rFonts w:hint="default"/>
        <w:lang w:val="en-US" w:eastAsia="en-US" w:bidi="ar-SA"/>
      </w:rPr>
    </w:lvl>
    <w:lvl w:ilvl="6" w:tplc="A274C3FE">
      <w:numFmt w:val="bullet"/>
      <w:lvlText w:val="•"/>
      <w:lvlJc w:val="left"/>
      <w:pPr>
        <w:ind w:left="310" w:hanging="202"/>
      </w:pPr>
      <w:rPr>
        <w:rFonts w:hint="default"/>
        <w:lang w:val="en-US" w:eastAsia="en-US" w:bidi="ar-SA"/>
      </w:rPr>
    </w:lvl>
    <w:lvl w:ilvl="7" w:tplc="90D6C3FC">
      <w:numFmt w:val="bullet"/>
      <w:lvlText w:val="•"/>
      <w:lvlJc w:val="left"/>
      <w:pPr>
        <w:ind w:left="222" w:hanging="202"/>
      </w:pPr>
      <w:rPr>
        <w:rFonts w:hint="default"/>
        <w:lang w:val="en-US" w:eastAsia="en-US" w:bidi="ar-SA"/>
      </w:rPr>
    </w:lvl>
    <w:lvl w:ilvl="8" w:tplc="4E14DB5A">
      <w:numFmt w:val="bullet"/>
      <w:lvlText w:val="•"/>
      <w:lvlJc w:val="left"/>
      <w:pPr>
        <w:ind w:left="135" w:hanging="202"/>
      </w:pPr>
      <w:rPr>
        <w:rFonts w:hint="default"/>
        <w:lang w:val="en-US" w:eastAsia="en-US" w:bidi="ar-SA"/>
      </w:rPr>
    </w:lvl>
  </w:abstractNum>
  <w:abstractNum w:abstractNumId="2" w15:restartNumberingAfterBreak="0">
    <w:nsid w:val="46D7669A"/>
    <w:multiLevelType w:val="hybridMultilevel"/>
    <w:tmpl w:val="FFFFFFFF"/>
    <w:lvl w:ilvl="0" w:tplc="B8121CB8">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0AA2524A">
      <w:numFmt w:val="bullet"/>
      <w:lvlText w:val="•"/>
      <w:lvlJc w:val="left"/>
      <w:pPr>
        <w:ind w:left="599" w:hanging="202"/>
      </w:pPr>
      <w:rPr>
        <w:rFonts w:ascii="Arial" w:eastAsia="Arial" w:hAnsi="Arial" w:cs="Arial" w:hint="default"/>
        <w:b w:val="0"/>
        <w:bCs w:val="0"/>
        <w:i/>
        <w:iCs/>
        <w:spacing w:val="0"/>
        <w:w w:val="166"/>
        <w:sz w:val="14"/>
        <w:szCs w:val="14"/>
        <w:lang w:val="en-US" w:eastAsia="en-US" w:bidi="ar-SA"/>
      </w:rPr>
    </w:lvl>
    <w:lvl w:ilvl="2" w:tplc="3174822C">
      <w:numFmt w:val="bullet"/>
      <w:lvlText w:val="•"/>
      <w:lvlJc w:val="left"/>
      <w:pPr>
        <w:ind w:left="660" w:hanging="202"/>
      </w:pPr>
      <w:rPr>
        <w:rFonts w:hint="default"/>
        <w:lang w:val="en-US" w:eastAsia="en-US" w:bidi="ar-SA"/>
      </w:rPr>
    </w:lvl>
    <w:lvl w:ilvl="3" w:tplc="6B0AC6B0">
      <w:numFmt w:val="bullet"/>
      <w:lvlText w:val="•"/>
      <w:lvlJc w:val="left"/>
      <w:pPr>
        <w:ind w:left="572" w:hanging="202"/>
      </w:pPr>
      <w:rPr>
        <w:rFonts w:hint="default"/>
        <w:lang w:val="en-US" w:eastAsia="en-US" w:bidi="ar-SA"/>
      </w:rPr>
    </w:lvl>
    <w:lvl w:ilvl="4" w:tplc="C00E8BBE">
      <w:numFmt w:val="bullet"/>
      <w:lvlText w:val="•"/>
      <w:lvlJc w:val="left"/>
      <w:pPr>
        <w:ind w:left="485" w:hanging="202"/>
      </w:pPr>
      <w:rPr>
        <w:rFonts w:hint="default"/>
        <w:lang w:val="en-US" w:eastAsia="en-US" w:bidi="ar-SA"/>
      </w:rPr>
    </w:lvl>
    <w:lvl w:ilvl="5" w:tplc="8B525320">
      <w:numFmt w:val="bullet"/>
      <w:lvlText w:val="•"/>
      <w:lvlJc w:val="left"/>
      <w:pPr>
        <w:ind w:left="397" w:hanging="202"/>
      </w:pPr>
      <w:rPr>
        <w:rFonts w:hint="default"/>
        <w:lang w:val="en-US" w:eastAsia="en-US" w:bidi="ar-SA"/>
      </w:rPr>
    </w:lvl>
    <w:lvl w:ilvl="6" w:tplc="5470C1EC">
      <w:numFmt w:val="bullet"/>
      <w:lvlText w:val="•"/>
      <w:lvlJc w:val="left"/>
      <w:pPr>
        <w:ind w:left="310" w:hanging="202"/>
      </w:pPr>
      <w:rPr>
        <w:rFonts w:hint="default"/>
        <w:lang w:val="en-US" w:eastAsia="en-US" w:bidi="ar-SA"/>
      </w:rPr>
    </w:lvl>
    <w:lvl w:ilvl="7" w:tplc="10A4B1CE">
      <w:numFmt w:val="bullet"/>
      <w:lvlText w:val="•"/>
      <w:lvlJc w:val="left"/>
      <w:pPr>
        <w:ind w:left="222" w:hanging="202"/>
      </w:pPr>
      <w:rPr>
        <w:rFonts w:hint="default"/>
        <w:lang w:val="en-US" w:eastAsia="en-US" w:bidi="ar-SA"/>
      </w:rPr>
    </w:lvl>
    <w:lvl w:ilvl="8" w:tplc="AA02B75C">
      <w:numFmt w:val="bullet"/>
      <w:lvlText w:val="•"/>
      <w:lvlJc w:val="left"/>
      <w:pPr>
        <w:ind w:left="135" w:hanging="202"/>
      </w:pPr>
      <w:rPr>
        <w:rFonts w:hint="default"/>
        <w:lang w:val="en-US" w:eastAsia="en-US" w:bidi="ar-SA"/>
      </w:rPr>
    </w:lvl>
  </w:abstractNum>
  <w:abstractNum w:abstractNumId="3" w15:restartNumberingAfterBreak="0">
    <w:nsid w:val="6716751F"/>
    <w:multiLevelType w:val="hybridMultilevel"/>
    <w:tmpl w:val="FFFFFFFF"/>
    <w:lvl w:ilvl="0" w:tplc="E81061F4">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435CB28C">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2" w:tplc="157C8C8E">
      <w:numFmt w:val="bullet"/>
      <w:lvlText w:val="•"/>
      <w:lvlJc w:val="left"/>
      <w:pPr>
        <w:ind w:left="660" w:hanging="202"/>
      </w:pPr>
      <w:rPr>
        <w:rFonts w:hint="default"/>
        <w:lang w:val="en-US" w:eastAsia="en-US" w:bidi="ar-SA"/>
      </w:rPr>
    </w:lvl>
    <w:lvl w:ilvl="3" w:tplc="B5F64646">
      <w:numFmt w:val="bullet"/>
      <w:lvlText w:val="•"/>
      <w:lvlJc w:val="left"/>
      <w:pPr>
        <w:ind w:left="572" w:hanging="202"/>
      </w:pPr>
      <w:rPr>
        <w:rFonts w:hint="default"/>
        <w:lang w:val="en-US" w:eastAsia="en-US" w:bidi="ar-SA"/>
      </w:rPr>
    </w:lvl>
    <w:lvl w:ilvl="4" w:tplc="60981682">
      <w:numFmt w:val="bullet"/>
      <w:lvlText w:val="•"/>
      <w:lvlJc w:val="left"/>
      <w:pPr>
        <w:ind w:left="485" w:hanging="202"/>
      </w:pPr>
      <w:rPr>
        <w:rFonts w:hint="default"/>
        <w:lang w:val="en-US" w:eastAsia="en-US" w:bidi="ar-SA"/>
      </w:rPr>
    </w:lvl>
    <w:lvl w:ilvl="5" w:tplc="C99297C8">
      <w:numFmt w:val="bullet"/>
      <w:lvlText w:val="•"/>
      <w:lvlJc w:val="left"/>
      <w:pPr>
        <w:ind w:left="397" w:hanging="202"/>
      </w:pPr>
      <w:rPr>
        <w:rFonts w:hint="default"/>
        <w:lang w:val="en-US" w:eastAsia="en-US" w:bidi="ar-SA"/>
      </w:rPr>
    </w:lvl>
    <w:lvl w:ilvl="6" w:tplc="66D432B8">
      <w:numFmt w:val="bullet"/>
      <w:lvlText w:val="•"/>
      <w:lvlJc w:val="left"/>
      <w:pPr>
        <w:ind w:left="310" w:hanging="202"/>
      </w:pPr>
      <w:rPr>
        <w:rFonts w:hint="default"/>
        <w:lang w:val="en-US" w:eastAsia="en-US" w:bidi="ar-SA"/>
      </w:rPr>
    </w:lvl>
    <w:lvl w:ilvl="7" w:tplc="246828C6">
      <w:numFmt w:val="bullet"/>
      <w:lvlText w:val="•"/>
      <w:lvlJc w:val="left"/>
      <w:pPr>
        <w:ind w:left="222" w:hanging="202"/>
      </w:pPr>
      <w:rPr>
        <w:rFonts w:hint="default"/>
        <w:lang w:val="en-US" w:eastAsia="en-US" w:bidi="ar-SA"/>
      </w:rPr>
    </w:lvl>
    <w:lvl w:ilvl="8" w:tplc="792038DA">
      <w:numFmt w:val="bullet"/>
      <w:lvlText w:val="•"/>
      <w:lvlJc w:val="left"/>
      <w:pPr>
        <w:ind w:left="135" w:hanging="202"/>
      </w:pPr>
      <w:rPr>
        <w:rFonts w:hint="default"/>
        <w:lang w:val="en-US" w:eastAsia="en-US" w:bidi="ar-SA"/>
      </w:rPr>
    </w:lvl>
  </w:abstractNum>
  <w:abstractNum w:abstractNumId="4" w15:restartNumberingAfterBreak="0">
    <w:nsid w:val="6A68683E"/>
    <w:multiLevelType w:val="hybridMultilevel"/>
    <w:tmpl w:val="FFFFFFFF"/>
    <w:lvl w:ilvl="0" w:tplc="C0448144">
      <w:start w:val="1"/>
      <w:numFmt w:val="decimal"/>
      <w:lvlText w:val="[%1]"/>
      <w:lvlJc w:val="left"/>
      <w:pPr>
        <w:ind w:left="695" w:hanging="286"/>
        <w:jc w:val="left"/>
      </w:pPr>
      <w:rPr>
        <w:rFonts w:ascii="Times New Roman" w:eastAsia="Times New Roman" w:hAnsi="Times New Roman" w:cs="Times New Roman" w:hint="default"/>
        <w:b w:val="0"/>
        <w:bCs w:val="0"/>
        <w:i w:val="0"/>
        <w:iCs w:val="0"/>
        <w:spacing w:val="0"/>
        <w:w w:val="99"/>
        <w:sz w:val="16"/>
        <w:szCs w:val="16"/>
        <w:lang w:val="en-US" w:eastAsia="en-US" w:bidi="ar-SA"/>
      </w:rPr>
    </w:lvl>
    <w:lvl w:ilvl="1" w:tplc="6BBC6ACE">
      <w:numFmt w:val="bullet"/>
      <w:lvlText w:val="•"/>
      <w:lvlJc w:val="left"/>
      <w:pPr>
        <w:ind w:left="1191" w:hanging="286"/>
      </w:pPr>
      <w:rPr>
        <w:rFonts w:hint="default"/>
        <w:lang w:val="en-US" w:eastAsia="en-US" w:bidi="ar-SA"/>
      </w:rPr>
    </w:lvl>
    <w:lvl w:ilvl="2" w:tplc="FFFAB776">
      <w:numFmt w:val="bullet"/>
      <w:lvlText w:val="•"/>
      <w:lvlJc w:val="left"/>
      <w:pPr>
        <w:ind w:left="1682" w:hanging="286"/>
      </w:pPr>
      <w:rPr>
        <w:rFonts w:hint="default"/>
        <w:lang w:val="en-US" w:eastAsia="en-US" w:bidi="ar-SA"/>
      </w:rPr>
    </w:lvl>
    <w:lvl w:ilvl="3" w:tplc="C1E63782">
      <w:numFmt w:val="bullet"/>
      <w:lvlText w:val="•"/>
      <w:lvlJc w:val="left"/>
      <w:pPr>
        <w:ind w:left="2173" w:hanging="286"/>
      </w:pPr>
      <w:rPr>
        <w:rFonts w:hint="default"/>
        <w:lang w:val="en-US" w:eastAsia="en-US" w:bidi="ar-SA"/>
      </w:rPr>
    </w:lvl>
    <w:lvl w:ilvl="4" w:tplc="D78003DA">
      <w:numFmt w:val="bullet"/>
      <w:lvlText w:val="•"/>
      <w:lvlJc w:val="left"/>
      <w:pPr>
        <w:ind w:left="2664" w:hanging="286"/>
      </w:pPr>
      <w:rPr>
        <w:rFonts w:hint="default"/>
        <w:lang w:val="en-US" w:eastAsia="en-US" w:bidi="ar-SA"/>
      </w:rPr>
    </w:lvl>
    <w:lvl w:ilvl="5" w:tplc="0E5E8FB6">
      <w:numFmt w:val="bullet"/>
      <w:lvlText w:val="•"/>
      <w:lvlJc w:val="left"/>
      <w:pPr>
        <w:ind w:left="3155" w:hanging="286"/>
      </w:pPr>
      <w:rPr>
        <w:rFonts w:hint="default"/>
        <w:lang w:val="en-US" w:eastAsia="en-US" w:bidi="ar-SA"/>
      </w:rPr>
    </w:lvl>
    <w:lvl w:ilvl="6" w:tplc="B484D170">
      <w:numFmt w:val="bullet"/>
      <w:lvlText w:val="•"/>
      <w:lvlJc w:val="left"/>
      <w:pPr>
        <w:ind w:left="3646" w:hanging="286"/>
      </w:pPr>
      <w:rPr>
        <w:rFonts w:hint="default"/>
        <w:lang w:val="en-US" w:eastAsia="en-US" w:bidi="ar-SA"/>
      </w:rPr>
    </w:lvl>
    <w:lvl w:ilvl="7" w:tplc="756E930E">
      <w:numFmt w:val="bullet"/>
      <w:lvlText w:val="•"/>
      <w:lvlJc w:val="left"/>
      <w:pPr>
        <w:ind w:left="4137" w:hanging="286"/>
      </w:pPr>
      <w:rPr>
        <w:rFonts w:hint="default"/>
        <w:lang w:val="en-US" w:eastAsia="en-US" w:bidi="ar-SA"/>
      </w:rPr>
    </w:lvl>
    <w:lvl w:ilvl="8" w:tplc="EF2E3C8C">
      <w:numFmt w:val="bullet"/>
      <w:lvlText w:val="•"/>
      <w:lvlJc w:val="left"/>
      <w:pPr>
        <w:ind w:left="4628" w:hanging="286"/>
      </w:pPr>
      <w:rPr>
        <w:rFonts w:hint="default"/>
        <w:lang w:val="en-US" w:eastAsia="en-US" w:bidi="ar-SA"/>
      </w:rPr>
    </w:lvl>
  </w:abstractNum>
  <w:abstractNum w:abstractNumId="5" w15:restartNumberingAfterBreak="0">
    <w:nsid w:val="6BBE2837"/>
    <w:multiLevelType w:val="hybridMultilevel"/>
    <w:tmpl w:val="FFFFFFFF"/>
    <w:lvl w:ilvl="0" w:tplc="EF1CC424">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2ADA33B0">
      <w:numFmt w:val="bullet"/>
      <w:lvlText w:val="•"/>
      <w:lvlJc w:val="left"/>
      <w:pPr>
        <w:ind w:left="2526" w:hanging="236"/>
      </w:pPr>
      <w:rPr>
        <w:rFonts w:hint="default"/>
        <w:lang w:val="en-US" w:eastAsia="en-US" w:bidi="ar-SA"/>
      </w:rPr>
    </w:lvl>
    <w:lvl w:ilvl="2" w:tplc="633C7930">
      <w:numFmt w:val="bullet"/>
      <w:lvlText w:val="•"/>
      <w:lvlJc w:val="left"/>
      <w:pPr>
        <w:ind w:left="2832" w:hanging="236"/>
      </w:pPr>
      <w:rPr>
        <w:rFonts w:hint="default"/>
        <w:lang w:val="en-US" w:eastAsia="en-US" w:bidi="ar-SA"/>
      </w:rPr>
    </w:lvl>
    <w:lvl w:ilvl="3" w:tplc="ABD6DA4A">
      <w:numFmt w:val="bullet"/>
      <w:lvlText w:val="•"/>
      <w:lvlJc w:val="left"/>
      <w:pPr>
        <w:ind w:left="3138" w:hanging="236"/>
      </w:pPr>
      <w:rPr>
        <w:rFonts w:hint="default"/>
        <w:lang w:val="en-US" w:eastAsia="en-US" w:bidi="ar-SA"/>
      </w:rPr>
    </w:lvl>
    <w:lvl w:ilvl="4" w:tplc="D83ABB08">
      <w:numFmt w:val="bullet"/>
      <w:lvlText w:val="•"/>
      <w:lvlJc w:val="left"/>
      <w:pPr>
        <w:ind w:left="3444" w:hanging="236"/>
      </w:pPr>
      <w:rPr>
        <w:rFonts w:hint="default"/>
        <w:lang w:val="en-US" w:eastAsia="en-US" w:bidi="ar-SA"/>
      </w:rPr>
    </w:lvl>
    <w:lvl w:ilvl="5" w:tplc="B810E318">
      <w:numFmt w:val="bullet"/>
      <w:lvlText w:val="•"/>
      <w:lvlJc w:val="left"/>
      <w:pPr>
        <w:ind w:left="3750" w:hanging="236"/>
      </w:pPr>
      <w:rPr>
        <w:rFonts w:hint="default"/>
        <w:lang w:val="en-US" w:eastAsia="en-US" w:bidi="ar-SA"/>
      </w:rPr>
    </w:lvl>
    <w:lvl w:ilvl="6" w:tplc="CC045190">
      <w:numFmt w:val="bullet"/>
      <w:lvlText w:val="•"/>
      <w:lvlJc w:val="left"/>
      <w:pPr>
        <w:ind w:left="4056" w:hanging="236"/>
      </w:pPr>
      <w:rPr>
        <w:rFonts w:hint="default"/>
        <w:lang w:val="en-US" w:eastAsia="en-US" w:bidi="ar-SA"/>
      </w:rPr>
    </w:lvl>
    <w:lvl w:ilvl="7" w:tplc="55DC3D98">
      <w:numFmt w:val="bullet"/>
      <w:lvlText w:val="•"/>
      <w:lvlJc w:val="left"/>
      <w:pPr>
        <w:ind w:left="4362" w:hanging="236"/>
      </w:pPr>
      <w:rPr>
        <w:rFonts w:hint="default"/>
        <w:lang w:val="en-US" w:eastAsia="en-US" w:bidi="ar-SA"/>
      </w:rPr>
    </w:lvl>
    <w:lvl w:ilvl="8" w:tplc="71FEA046">
      <w:numFmt w:val="bullet"/>
      <w:lvlText w:val="•"/>
      <w:lvlJc w:val="left"/>
      <w:pPr>
        <w:ind w:left="4668" w:hanging="236"/>
      </w:pPr>
      <w:rPr>
        <w:rFonts w:hint="default"/>
        <w:lang w:val="en-US" w:eastAsia="en-US" w:bidi="ar-SA"/>
      </w:rPr>
    </w:lvl>
  </w:abstractNum>
  <w:num w:numId="1" w16cid:durableId="1172989505">
    <w:abstractNumId w:val="4"/>
  </w:num>
  <w:num w:numId="2" w16cid:durableId="193735331">
    <w:abstractNumId w:val="1"/>
  </w:num>
  <w:num w:numId="3" w16cid:durableId="1153135008">
    <w:abstractNumId w:val="0"/>
  </w:num>
  <w:num w:numId="4" w16cid:durableId="2062748781">
    <w:abstractNumId w:val="3"/>
  </w:num>
  <w:num w:numId="5" w16cid:durableId="1845852423">
    <w:abstractNumId w:val="2"/>
  </w:num>
  <w:num w:numId="6" w16cid:durableId="20358807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8"/>
  <w:proofState w:spelling="clean" w:grammar="clean"/>
  <w:revisionView w:inkAnnotations="0"/>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9F102E"/>
    <w:rsid w:val="009F102E"/>
    <w:rsid w:val="00B574EE"/>
    <w:rsid w:val="00EF50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B98C4B5"/>
  <w15:docId w15:val="{EEEF3B80-127D-5549-BF57-0CA071A57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0"/>
      <w:szCs w:val="20"/>
    </w:rPr>
  </w:style>
  <w:style w:type="paragraph" w:styleId="Title">
    <w:name w:val="Title"/>
    <w:basedOn w:val="Normal"/>
    <w:uiPriority w:val="10"/>
    <w:qFormat/>
    <w:pPr>
      <w:spacing w:before="76"/>
      <w:ind w:left="153" w:right="151"/>
      <w:jc w:val="center"/>
    </w:pPr>
    <w:rPr>
      <w:sz w:val="48"/>
      <w:szCs w:val="48"/>
    </w:rPr>
  </w:style>
  <w:style w:type="paragraph" w:styleId="ListParagraph">
    <w:name w:val="List Paragraph"/>
    <w:basedOn w:val="Normal"/>
    <w:uiPriority w:val="1"/>
    <w:qFormat/>
    <w:pPr>
      <w:ind w:left="659" w:hanging="202"/>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50.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40.jpeg"/><Relationship Id="rId5" Type="http://schemas.openxmlformats.org/officeDocument/2006/relationships/hyperlink" Target="mailto:veenag@vemanait.edu.in" TargetMode="Externa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3208</Words>
  <Characters>18289</Characters>
  <Application>Microsoft Office Word</Application>
  <DocSecurity>0</DocSecurity>
  <Lines>152</Lines>
  <Paragraphs>42</Paragraphs>
  <ScaleCrop>false</ScaleCrop>
  <Company/>
  <LinksUpToDate>false</LinksUpToDate>
  <CharactersWithSpaces>21455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shilpa reddy</cp:lastModifiedBy>
  <cp:revision>2</cp:revision>
  <dcterms:created xsi:type="dcterms:W3CDTF">2026-10-22T04:47:00Z</dcterms:created>
  <dcterms:modified xsi:type="dcterms:W3CDTF">2026-10-22T04:47:00Z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2025-12-13T00:00:00Z</vt:filetime>
  </property>
  <property fmtid="{D5CDD505-2E9C-101B-9397-08002B2CF9AE}" pid="3" name="Creator">
    <vt:lpwstr>LaTeX with hyperref</vt:lpwstr>
  </property>
  <property fmtid="{D5CDD505-2E9C-101B-9397-08002B2CF9AE}" pid="4" name="LastSaved">
    <vt:filetime>2026-01-06T00:00:00Z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