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line="269" w:lineRule="auto"/>
        <w:jc w:val="left"/>
      </w:pPr>
      <w:r>
        <w:rPr>
          <w:rFonts w:ascii="Calibri" w:hAnsi="Calibri" w:cs="Calibri"/>
          <w:b/>
          <w:color w:val="7030A0"/>
          <w:sz w:val="22"/>
        </w:rPr>
        <w:t>MLOps Training 2026/2027</w:t>
      </w:r>
    </w:p>
    <w:p>
      <w:pPr>
        <w:pStyle w:val="Title"/>
        <w:spacing w:after="60"/>
        <w:jc w:val="left"/>
      </w:pPr>
      <w:r>
        <w:rPr>
          <w:rFonts w:ascii="Calibri" w:hAnsi="Calibri" w:cs="Calibri"/>
          <w:b/>
          <w:color w:val="000000"/>
          <w:sz w:val="44"/>
        </w:rPr>
        <w:t>Task 3 From Notebooks to Production</w:t>
      </w:r>
    </w:p>
    <w:p>
      <w:pPr>
        <w:spacing w:after="300" w:line="269" w:lineRule="auto"/>
        <w:jc w:val="right"/>
        <w:bidi/>
      </w:pPr>
      <w:r>
        <w:rPr>
          <w:rFonts w:ascii="Calibri" w:hAnsi="Calibri" w:cs="Calibri"/>
          <w:b w:val="0"/>
          <w:sz w:val="26"/>
        </w:rPr>
        <w:t>تقرير تسليم التاسك - Olist Brazilian E-Commerce Dataset</w:t>
      </w:r>
    </w:p>
    <w:p>
      <w:pPr>
        <w:spacing w:after="60" w:line="269" w:lineRule="auto"/>
        <w:jc w:val="right"/>
        <w:bidi/>
      </w:pPr>
      <w:r>
        <w:rPr>
          <w:rFonts w:ascii="Calibri" w:hAnsi="Calibri" w:cs="Calibri"/>
          <w:b/>
          <w:sz w:val="22"/>
        </w:rPr>
        <w:t>الاسم: رَاما</w:t>
      </w:r>
    </w:p>
    <w:p>
      <w:pPr>
        <w:spacing w:after="60" w:line="269" w:lineRule="auto"/>
        <w:jc w:val="right"/>
        <w:bidi/>
      </w:pPr>
      <w:r>
        <w:rPr>
          <w:rFonts w:ascii="Calibri" w:hAnsi="Calibri" w:cs="Calibri"/>
          <w:b w:val="0"/>
          <w:sz w:val="22"/>
        </w:rPr>
        <w:t>الجامعة: جامعة النجاح الوطنية - كلية الهندسة وتكنولوجيا المعلومات</w:t>
      </w:r>
    </w:p>
    <w:p>
      <w:pPr>
        <w:spacing w:after="300" w:line="269" w:lineRule="auto"/>
        <w:jc w:val="right"/>
        <w:bidi/>
      </w:pPr>
      <w:r>
        <w:rPr>
          <w:rFonts w:ascii="Calibri" w:hAnsi="Calibri" w:cs="Calibri"/>
          <w:b w:val="0"/>
          <w:sz w:val="22"/>
        </w:rPr>
        <w:t>تاريخ التقرير: 18/09/2026</w:t>
      </w:r>
    </w:p>
    <w:p>
      <w:pPr>
        <w:pStyle w:val="Heading1"/>
        <w:spacing w:before="280" w:after="120"/>
        <w:jc w:val="right"/>
        <w:keepNext/>
        <w:bidi/>
      </w:pPr>
      <w:r>
        <w:rPr>
          <w:rFonts w:ascii="Calibri" w:hAnsi="Calibri" w:cs="Calibri"/>
          <w:b w:val="0"/>
          <w:color w:val="2E74B5"/>
          <w:sz w:val="32"/>
        </w:rPr>
        <w:t>مقدمة</w:t>
      </w:r>
    </w:p>
    <w:p>
      <w:pPr>
        <w:spacing w:after="120" w:line="269" w:lineRule="auto"/>
        <w:jc w:val="right"/>
        <w:bidi/>
      </w:pPr>
      <w:r>
        <w:rPr>
          <w:rFonts w:ascii="Calibri" w:hAnsi="Calibri" w:cs="Calibri"/>
          <w:b w:val="0"/>
          <w:sz w:val="22"/>
        </w:rPr>
        <w:t>يوثّق هذا التقرير تحويل مخرجات Task 2 الثابتة إلى خدمة تنبؤ قابلة للتشغيل والاختبار. الموديل يتنبأ إذا كان طلب Olist سيتأخر عن موعد التسليم المتوقع، ويعيد الفئة واحتمال التأخير ورقم نسخة الموديل. التدريب بقي في النوتبوكس؛ خدمة الإنتاج تستخدم الـ preprocessor والـ classifier المحفوظين دون fit جديد. التقرير يوضح التنفيذ، الدليل الذي تحقق محليًا، وما يحتاج تشغيل Docker Desktop.</w:t>
      </w:r>
    </w:p>
    <w:p>
      <w:pPr>
        <w:pStyle w:val="ListParagraph"/>
        <w:spacing w:after="50"/>
        <w:ind w:left="288"/>
        <w:jc w:val="right"/>
        <w:bidi/>
      </w:pPr>
      <w:r>
        <w:rPr>
          <w:rFonts w:ascii="Calibri" w:hAnsi="Calibri" w:cs="Calibri"/>
          <w:b w:val="0"/>
          <w:sz w:val="22"/>
        </w:rPr>
        <w:t>• المخرجات: FastAPI و MLflow Registry و Great Expectations و DVC و Docker Compose.</w:t>
      </w:r>
    </w:p>
    <w:p>
      <w:pPr>
        <w:pStyle w:val="ListParagraph"/>
        <w:spacing w:after="50"/>
        <w:ind w:left="288"/>
        <w:jc w:val="right"/>
        <w:bidi/>
      </w:pPr>
      <w:r>
        <w:rPr>
          <w:rFonts w:ascii="Calibri" w:hAnsi="Calibri" w:cs="Calibri"/>
          <w:b w:val="0"/>
          <w:sz w:val="22"/>
        </w:rPr>
        <w:t>• الاختبارات: 16 اختبارًا ناجحًا، مع مطابقة احتمال التنبؤ للـ notebook المحفوظ.</w:t>
      </w:r>
    </w:p>
    <w:p>
      <w:pPr>
        <w:pStyle w:val="ListParagraph"/>
        <w:spacing w:after="50"/>
        <w:ind w:left="288"/>
        <w:jc w:val="right"/>
        <w:bidi/>
      </w:pPr>
      <w:r>
        <w:rPr>
          <w:rFonts w:ascii="Calibri" w:hAnsi="Calibri" w:cs="Calibri"/>
          <w:b w:val="0"/>
          <w:sz w:val="22"/>
        </w:rPr>
        <w:t>• حدّ التحقق: ملف Compose سليم، لكن تشغيل الحاويات لم يُختبر لأن Docker Desktop لم يكن يعمل.</w:t>
      </w:r>
    </w:p>
    <w:p>
      <w:pPr>
        <w:pStyle w:val="Heading1"/>
        <w:spacing w:before="280" w:after="120"/>
        <w:jc w:val="right"/>
        <w:keepNext/>
        <w:bidi/>
      </w:pPr>
      <w:r>
        <w:rPr>
          <w:rFonts w:ascii="Calibri" w:hAnsi="Calibri" w:cs="Calibri"/>
          <w:b w:val="0"/>
          <w:color w:val="2E74B5"/>
          <w:sz w:val="32"/>
        </w:rPr>
        <w:t>خريطة مكونات Task 3</w:t>
      </w:r>
    </w:p>
    <w:tbl>
      <w:tblPr>
        <w:tblW w:type="auto" w:w="0"/>
        <w:tblLayout w:type="fixed"/>
        <w:tblLook w:firstColumn="1" w:firstRow="1" w:lastColumn="0" w:lastRow="0" w:noHBand="0" w:noVBand="1" w:val="04A0"/>
      </w:tblPr>
      <w:tblGrid>
        <w:gridCol w:w="1843"/>
        <w:gridCol w:w="4118"/>
        <w:gridCol w:w="3398"/>
      </w:tblGrid>
      <w:tr>
        <w:trPr>
          <w:tblHeader w:val="true"/>
        </w:trPr>
        <w:tc>
          <w:tcPr>
            <w:tcW w:type="dxa" w:w="1843"/>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المكوّن</w:t>
            </w:r>
          </w:p>
        </w:tc>
        <w:tc>
          <w:tcPr>
            <w:tcW w:type="dxa" w:w="4118"/>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دوره في مسار التنبؤ</w:t>
            </w:r>
          </w:p>
        </w:tc>
        <w:tc>
          <w:tcPr>
            <w:tcW w:type="dxa" w:w="3398"/>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مكانه في التسليم</w:t>
            </w:r>
          </w:p>
        </w:tc>
      </w:tr>
      <w:tr>
        <w:tc>
          <w:tcPr>
            <w:tcW w:type="dxa" w:w="1843"/>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Feature builder</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يعيد نفس تحويلات Notebook 05 دون تدريب</w:t>
            </w:r>
          </w:p>
        </w:tc>
        <w:tc>
          <w:tcPr>
            <w:tcW w:type="dxa" w:w="339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src/olist_mlops/features.py</w:t>
            </w:r>
          </w:p>
        </w:tc>
      </w:tr>
      <w:tr>
        <w:tc>
          <w:tcPr>
            <w:tcW w:type="dxa" w:w="1843"/>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Validation</w:t>
            </w:r>
          </w:p>
        </w:tc>
        <w:tc>
          <w:tcPr>
            <w:tcW w:type="dxa" w:w="411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يفحص الـ schema والقيم قبل التنبؤ</w:t>
            </w:r>
          </w:p>
        </w:tc>
        <w:tc>
          <w:tcPr>
            <w:tcW w:type="dxa" w:w="339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schemas.py و validation.py</w:t>
            </w:r>
          </w:p>
        </w:tc>
      </w:tr>
      <w:tr>
        <w:tc>
          <w:tcPr>
            <w:tcW w:type="dxa" w:w="1843"/>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Model registry</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يحفظ النسخة ويحمّل champion عند بدء API</w:t>
            </w:r>
          </w:p>
        </w:tc>
        <w:tc>
          <w:tcPr>
            <w:tcW w:type="dxa" w:w="339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model.py و register_model.py</w:t>
            </w:r>
          </w:p>
        </w:tc>
      </w:tr>
      <w:tr>
        <w:tc>
          <w:tcPr>
            <w:tcW w:type="dxa" w:w="1843"/>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Service</w:t>
            </w:r>
          </w:p>
        </w:tc>
        <w:tc>
          <w:tcPr>
            <w:tcW w:type="dxa" w:w="411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يوفر single و batch prediction مع logging</w:t>
            </w:r>
          </w:p>
        </w:tc>
        <w:tc>
          <w:tcPr>
            <w:tcW w:type="dxa" w:w="339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app/main.py و service.py</w:t>
            </w:r>
          </w:p>
        </w:tc>
      </w:tr>
      <w:tr>
        <w:tc>
          <w:tcPr>
            <w:tcW w:type="dxa" w:w="1843"/>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Operations</w:t>
            </w:r>
          </w:p>
        </w:tc>
        <w:tc>
          <w:tcPr>
            <w:tcW w:type="dxa" w:w="411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تخزين، metrics، تنبيهات، اختبارات و CI</w:t>
            </w:r>
          </w:p>
        </w:tc>
        <w:tc>
          <w:tcPr>
            <w:tcW w:type="dxa" w:w="339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storage.py و monitoring/ و tests/</w:t>
            </w:r>
          </w:p>
        </w:tc>
      </w:tr>
    </w:tbl>
    <w:p>
      <w:pPr>
        <w:spacing w:after="0"/>
      </w:pPr>
    </w:p>
    <w:p>
      <w:pPr>
        <w:pStyle w:val="Heading1"/>
        <w:spacing w:before="280" w:after="120"/>
        <w:jc w:val="right"/>
        <w:keepNext/>
        <w:bidi/>
      </w:pPr>
      <w:r>
        <w:rPr>
          <w:rFonts w:ascii="Calibri" w:hAnsi="Calibri" w:cs="Calibri"/>
          <w:b w:val="0"/>
          <w:color w:val="2E74B5"/>
          <w:sz w:val="32"/>
        </w:rPr>
        <w:t>1 تنظيم المشروع وفصل التدريب عن التنبؤ</w:t>
      </w:r>
    </w:p>
    <w:p>
      <w:pPr>
        <w:spacing w:after="120" w:line="269" w:lineRule="auto"/>
        <w:jc w:val="right"/>
        <w:bidi/>
      </w:pPr>
      <w:r>
        <w:rPr>
          <w:rFonts w:ascii="Calibri" w:hAnsi="Calibri" w:cs="Calibri"/>
          <w:b w:val="0"/>
          <w:sz w:val="22"/>
        </w:rPr>
        <w:t>انتقل منطق التنبؤ من النوتبوكس إلى وحدات مستقلة داخل src/olist_mlops. تقرأ الخدمة المدخلات، تشتق features قبل التسليم، وتحمّل الـ fitted preprocessor والـ logistic regression المحفوظين. فحص feature names يتحقق من تطابق الـ 142 عمودًا المحوّلًا مع مدخلات الـ classifier. حارس leakage يمنع حقول actual delivery والنتيجة والمعرّفات من دخول النموذج.</w:t>
      </w:r>
    </w:p>
    <w:p>
      <w:pPr>
        <w:spacing w:after="120" w:line="269" w:lineRule="auto"/>
        <w:jc w:val="right"/>
        <w:bidi/>
      </w:pPr>
      <w:r>
        <w:rPr>
          <w:rFonts w:ascii="Calibri" w:hAnsi="Calibri" w:cs="Calibri"/>
          <w:b w:val="0"/>
          <w:sz w:val="22"/>
        </w:rPr>
        <w:t>تضم config/settings.yaml إعدادات الخدمة والموديل والتخزين والـ monitoring، ويضم config/feature_contract.yaml أسماء الخصائص وحدودها والفئات المسموحة. القيم السرية وسلاسل الاتصال تأتي من environment variables؛ ملف .env.example يشرحها ولا يضعها في الكود.</w:t>
      </w:r>
    </w:p>
    <w:p>
      <w:pPr>
        <w:spacing w:after="120" w:line="269" w:lineRule="auto"/>
        <w:jc w:val="right"/>
        <w:bidi/>
      </w:pPr>
      <w:r>
        <w:rPr>
          <w:rFonts w:ascii="Calibri" w:hAnsi="Calibri" w:cs="Calibri"/>
          <w:b w:val="0"/>
          <w:sz w:val="22"/>
        </w:rPr>
        <w:t>مرحلة registration تغلف ملفات Task 2 المجمدة في PyFunc واحد، ومرحلة inference تطبق transform ثم predict_proba بحد قرار 0.79. لا يستدعي أي منهما fit ولا يعدّل الـ artifacts.</w:t>
      </w:r>
    </w:p>
    <w:p>
      <w:pPr>
        <w:pStyle w:val="Heading1"/>
        <w:spacing w:before="280" w:after="120"/>
        <w:jc w:val="right"/>
        <w:keepNext/>
        <w:bidi/>
      </w:pPr>
      <w:r>
        <w:rPr>
          <w:rFonts w:ascii="Calibri" w:hAnsi="Calibri" w:cs="Calibri"/>
          <w:b w:val="0"/>
          <w:color w:val="2E74B5"/>
          <w:sz w:val="32"/>
        </w:rPr>
        <w:t>2 ضبط جودة البيانات وإدارة الإصدارات</w:t>
      </w:r>
    </w:p>
    <w:p>
      <w:pPr>
        <w:spacing w:after="120" w:line="269" w:lineRule="auto"/>
        <w:jc w:val="right"/>
        <w:bidi/>
      </w:pPr>
      <w:r>
        <w:rPr>
          <w:rFonts w:ascii="Calibri" w:hAnsi="Calibri" w:cs="Calibri"/>
          <w:b w:val="0"/>
          <w:sz w:val="22"/>
        </w:rPr>
        <w:t>يمنع Pydantic الحقول الناقصة أو الإضافية والقيم العددية غير الصالحة، ويتحقق من منطق التواريخ والأعداد. بعده تفحص Great Expectations القيم المطلوبة والمدى العددي وallowed categories وطول وعد التسليم المشتق. السياسة المعلنة هي reject: الطلب غير الصالح يرجع HTTP 422 ويُسجل سبب الرفض قبل استدعاء الموديل. الميزات الاختيارية قد تكون null لأن imputer المحفوظ من Task 2 دُرّب لمعالجتها.</w:t>
      </w:r>
    </w:p>
    <w:tbl>
      <w:tblPr>
        <w:tblW w:type="auto" w:w="0"/>
        <w:tblLayout w:type="fixed"/>
        <w:tblLook w:firstColumn="1" w:firstRow="1" w:lastColumn="0" w:lastRow="0" w:noHBand="0" w:noVBand="1" w:val="04A0"/>
      </w:tblPr>
      <w:tblGrid>
        <w:gridCol w:w="3024"/>
        <w:gridCol w:w="3168"/>
        <w:gridCol w:w="3168"/>
      </w:tblGrid>
      <w:tr>
        <w:trPr>
          <w:tblHeader w:val="true"/>
        </w:trPr>
        <w:tc>
          <w:tcPr>
            <w:tcW w:type="dxa" w:w="3024"/>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الحالة</w:t>
            </w:r>
          </w:p>
        </w:tc>
        <w:tc>
          <w:tcPr>
            <w:tcW w:type="dxa" w:w="3168"/>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سلوك الخدمة</w:t>
            </w:r>
          </w:p>
        </w:tc>
        <w:tc>
          <w:tcPr>
            <w:tcW w:type="dxa" w:w="3168"/>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دليل الاختبار</w:t>
            </w:r>
          </w:p>
        </w:tc>
      </w:tr>
      <w:tr>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payment_count = null</w:t>
            </w:r>
          </w:p>
        </w:tc>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يُقبل وتطبّق معالجة الـ imputer</w:t>
            </w:r>
          </w:p>
        </w:tc>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اختبار API nullable integers</w:t>
            </w:r>
          </w:p>
        </w:tc>
      </w:tr>
      <w:tr>
        <w:tc>
          <w:tcPr>
            <w:tcW w:type="dxa" w:w="3024"/>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payment_type_mode غير معروف</w:t>
            </w:r>
          </w:p>
        </w:tc>
        <w:tc>
          <w:tcPr>
            <w:tcW w:type="dxa" w:w="316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HTTP 422 مع فشل GX واضح</w:t>
            </w:r>
          </w:p>
        </w:tc>
        <w:tc>
          <w:tcPr>
            <w:tcW w:type="dxa" w:w="316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test_bad_payload_is_rejected</w:t>
            </w:r>
          </w:p>
        </w:tc>
      </w:tr>
      <w:tr>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total_price مفقود</w:t>
            </w:r>
          </w:p>
        </w:tc>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HTTP 422 من Pydantic</w:t>
            </w:r>
          </w:p>
        </w:tc>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تسجيل request_schema_failed</w:t>
            </w:r>
          </w:p>
        </w:tc>
      </w:tr>
    </w:tbl>
    <w:p>
      <w:pPr>
        <w:spacing w:after="0"/>
      </w:pPr>
    </w:p>
    <w:p>
      <w:pPr>
        <w:spacing w:after="120" w:line="269" w:lineRule="auto"/>
        <w:jc w:val="right"/>
        <w:bidi/>
      </w:pPr>
      <w:r>
        <w:rPr>
          <w:rFonts w:ascii="Calibri" w:hAnsi="Calibri" w:cs="Calibri"/>
          <w:b w:val="0"/>
          <w:sz w:val="22"/>
        </w:rPr>
        <w:t>DVC يتتبع data/raw و artifacts بواسطة ملفات .dvc وcontent hashes. الـ remote مضبوط على MinIO دون مفاتيح اعتماد داخل المستودع. فحص dvc status أعاد أن البيانات والـ pipeline محدثان. رفع البيانات إلى remote يحتاج تشغيل MinIO وضبط AWS environment variables.</w:t>
      </w:r>
    </w:p>
    <w:p>
      <w:pPr>
        <w:pStyle w:val="Heading1"/>
        <w:spacing w:before="280" w:after="120"/>
        <w:jc w:val="right"/>
        <w:keepNext/>
        <w:bidi/>
      </w:pPr>
      <w:r>
        <w:rPr>
          <w:rFonts w:ascii="Calibri" w:hAnsi="Calibri" w:cs="Calibri"/>
          <w:b w:val="0"/>
          <w:color w:val="2E74B5"/>
          <w:sz w:val="32"/>
        </w:rPr>
        <w:t>3 تتبع الموديل ونشر النسخة</w:t>
      </w:r>
    </w:p>
    <w:p>
      <w:pPr>
        <w:spacing w:after="120" w:line="269" w:lineRule="auto"/>
        <w:jc w:val="right"/>
        <w:bidi/>
      </w:pPr>
      <w:r>
        <w:rPr>
          <w:rFonts w:ascii="Calibri" w:hAnsi="Calibri" w:cs="Calibri"/>
          <w:b w:val="0"/>
          <w:sz w:val="22"/>
        </w:rPr>
        <w:t>يسجل register_model.py إعدادات النموذج ونتائج validation وtest وfeature list وملفات النموذج في MLflow. ينشئ نسخة مسجلة باسم olist-late-delivery، يضع tag باسم Production، ويحدد alias champion. عند بدء خدمة API يتم حل alias إلى نسخة محددة؛ هذه النسخة تُعاد في كل response وسجل تنبؤ. المثال المحلي باستخدام SQLite أكد تسجيل النسخة وتحميلها من Registry والتنبؤ بها. أما Compose فيجهز PostgreSQL لبيانات MLflow وMinIO للـ artifacts.</w:t>
      </w:r>
    </w:p>
    <w:p>
      <w:pPr>
        <w:spacing w:after="160"/>
        <w:ind w:left="86" w:right="86"/>
        <w:jc w:val="left"/>
        <w:shd w:fill="F2F2F2"/>
      </w:pPr>
      <w:r>
        <w:rPr>
          <w:rFonts w:ascii="Consolas" w:hAnsi="Consolas" w:cs="Consolas"/>
          <w:b w:val="0"/>
          <w:sz w:val="18"/>
        </w:rPr>
        <w:t>model URI: models:/olist-late-delivery@champion</w:t>
      </w:r>
      <w:r>
        <w:br/>
      </w:r>
      <w:r>
        <w:rPr>
          <w:rFonts w:ascii="Consolas" w:hAnsi="Consolas" w:cs="Consolas"/>
          <w:b w:val="0"/>
          <w:sz w:val="18"/>
        </w:rPr>
        <w:t>transformed features: 142    decision threshold: 0.79</w:t>
      </w:r>
      <w:r>
        <w:br/>
      </w:r>
      <w:r>
        <w:rPr>
          <w:rFonts w:ascii="Consolas" w:hAnsi="Consolas" w:cs="Consolas"/>
          <w:b w:val="0"/>
          <w:sz w:val="18"/>
        </w:rPr>
        <w:t>sample output: on_time    late probability: 0.5451138144592078</w:t>
      </w:r>
    </w:p>
    <w:p>
      <w:pPr>
        <w:pStyle w:val="Heading1"/>
        <w:spacing w:before="280" w:after="120"/>
        <w:jc w:val="right"/>
        <w:keepNext/>
        <w:bidi/>
      </w:pPr>
      <w:r>
        <w:rPr>
          <w:rFonts w:ascii="Calibri" w:hAnsi="Calibri" w:cs="Calibri"/>
          <w:b w:val="0"/>
          <w:color w:val="2E74B5"/>
          <w:sz w:val="32"/>
        </w:rPr>
        <w:t>4 واجهة API والسجلات</w:t>
      </w:r>
    </w:p>
    <w:p>
      <w:pPr>
        <w:spacing w:after="120" w:line="269" w:lineRule="auto"/>
        <w:jc w:val="right"/>
        <w:bidi/>
      </w:pPr>
      <w:r>
        <w:rPr>
          <w:rFonts w:ascii="Calibri" w:hAnsi="Calibri" w:cs="Calibri"/>
          <w:b w:val="0"/>
          <w:sz w:val="22"/>
        </w:rPr>
        <w:t>تقدم FastAPI مسارات health ومعلومات الموديل والتنبؤ المفرد والدُفعات وmetrics. واجهة /docs تُولد من Pydantic schemas. كل طلب تنبؤ مقبول أو مرفوض يسجل payload والنتيجة أو الخطأ والمدة ونسخة الموديل. في Compose تحفظ PostgreSQL هذه الأحداث؛ وفي الاختبارات تستخدم JSONL معزولًا. التسجيل التشغيلي يظهر على console وملف دوّار.</w:t>
      </w:r>
    </w:p>
    <w:tbl>
      <w:tblPr>
        <w:tblW w:type="auto" w:w="0"/>
        <w:tblLayout w:type="fixed"/>
        <w:tblLook w:firstColumn="1" w:firstRow="1" w:lastColumn="0" w:lastRow="0" w:noHBand="0" w:noVBand="1" w:val="04A0"/>
      </w:tblPr>
      <w:tblGrid>
        <w:gridCol w:w="3456"/>
        <w:gridCol w:w="5904"/>
      </w:tblGrid>
      <w:tr>
        <w:trPr>
          <w:tblHeader w:val="true"/>
        </w:trPr>
        <w:tc>
          <w:tcPr>
            <w:tcW w:type="dxa" w:w="3456"/>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المسار</w:t>
            </w:r>
          </w:p>
        </w:tc>
        <w:tc>
          <w:tcPr>
            <w:tcW w:type="dxa" w:w="5904"/>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المخرجات الأساسية</w:t>
            </w:r>
          </w:p>
        </w:tc>
      </w:tr>
      <w:tr>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GET /health</w:t>
            </w:r>
          </w:p>
        </w:tc>
        <w:tc>
          <w:tcPr>
            <w:tcW w:type="dxa" w:w="590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جاهزية الموديل ومخزن السجلات</w:t>
            </w:r>
          </w:p>
        </w:tc>
      </w:tr>
      <w:tr>
        <w:tc>
          <w:tcPr>
            <w:tcW w:type="dxa" w:w="3456"/>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GET /v1/model</w:t>
            </w:r>
          </w:p>
        </w:tc>
        <w:tc>
          <w:tcPr>
            <w:tcW w:type="dxa" w:w="5904"/>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الاسم، النسخة، alias، المرحلة، threshold</w:t>
            </w:r>
          </w:p>
        </w:tc>
      </w:tr>
      <w:tr>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POST /v1/predict</w:t>
            </w:r>
          </w:p>
        </w:tc>
        <w:tc>
          <w:tcPr>
            <w:tcW w:type="dxa" w:w="590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prediction، probability، model_version، request_id</w:t>
            </w:r>
          </w:p>
        </w:tc>
      </w:tr>
      <w:tr>
        <w:tc>
          <w:tcPr>
            <w:tcW w:type="dxa" w:w="3456"/>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POST /v1/predict/batch</w:t>
            </w:r>
          </w:p>
        </w:tc>
        <w:tc>
          <w:tcPr>
            <w:tcW w:type="dxa" w:w="5904"/>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قائمة تنبؤات مع حد batch قابل للضبط</w:t>
            </w:r>
          </w:p>
        </w:tc>
      </w:tr>
      <w:tr>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GET /metrics</w:t>
            </w:r>
          </w:p>
        </w:tc>
        <w:tc>
          <w:tcPr>
            <w:tcW w:type="dxa" w:w="590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Prometheus counters وhistograms وdrift gauges</w:t>
            </w:r>
          </w:p>
        </w:tc>
      </w:tr>
    </w:tbl>
    <w:p>
      <w:pPr>
        <w:spacing w:after="0"/>
      </w:pPr>
    </w:p>
    <w:p>
      <w:pPr>
        <w:pStyle w:val="Heading1"/>
        <w:spacing w:before="280" w:after="120"/>
        <w:jc w:val="right"/>
        <w:keepNext/>
        <w:bidi/>
      </w:pPr>
      <w:r>
        <w:rPr>
          <w:rFonts w:ascii="Calibri" w:hAnsi="Calibri" w:cs="Calibri"/>
          <w:b w:val="0"/>
          <w:color w:val="2E74B5"/>
          <w:sz w:val="32"/>
        </w:rPr>
        <w:t>5 Docker و CI والتشغيل</w:t>
      </w:r>
    </w:p>
    <w:p>
      <w:pPr>
        <w:spacing w:after="120" w:line="269" w:lineRule="auto"/>
        <w:jc w:val="right"/>
        <w:bidi/>
      </w:pPr>
      <w:r>
        <w:rPr>
          <w:rFonts w:ascii="Calibri" w:hAnsi="Calibri" w:cs="Calibri"/>
          <w:b w:val="0"/>
          <w:sz w:val="22"/>
        </w:rPr>
        <w:t>يضم Docker Compose خدمات PostgreSQL وMinIO وMLflow ومهمة تسجيل الموديل وAPI وPrometheus. تستبعد صورة API البيانات الخام والنوتبوكس والـ artifacts الكبيرة. يعتمد الإقلاع على health checks حتى تصبح الخدمات المطلوبة جاهزة. يفصل requirements/runtime.txt تبعيات التشغيل المثبتة عن requirements/dev.txt للاختبارات والأدوات.</w:t>
      </w:r>
    </w:p>
    <w:p>
      <w:pPr>
        <w:spacing w:after="160"/>
        <w:ind w:left="86" w:right="86"/>
        <w:jc w:val="left"/>
        <w:shd w:fill="F2F2F2"/>
      </w:pPr>
      <w:r>
        <w:rPr>
          <w:rFonts w:ascii="Consolas" w:hAnsi="Consolas" w:cs="Consolas"/>
          <w:b w:val="0"/>
          <w:sz w:val="18"/>
        </w:rPr>
        <w:t>Local quality gate: .\scripts\test.ps1</w:t>
      </w:r>
      <w:r>
        <w:br/>
      </w:r>
      <w:r>
        <w:rPr>
          <w:rFonts w:ascii="Consolas" w:hAnsi="Consolas" w:cs="Consolas"/>
          <w:b w:val="0"/>
          <w:sz w:val="18"/>
        </w:rPr>
        <w:t>Complete stack:      .\RUN_TASK3.bat</w:t>
      </w:r>
      <w:r>
        <w:br/>
      </w:r>
      <w:r>
        <w:rPr>
          <w:rFonts w:ascii="Consolas" w:hAnsi="Consolas" w:cs="Consolas"/>
          <w:b w:val="0"/>
          <w:sz w:val="18"/>
        </w:rPr>
        <w:t>API documentation:    http://localhost:8000/docs</w:t>
      </w:r>
    </w:p>
    <w:p>
      <w:pPr>
        <w:spacing w:after="120" w:line="269" w:lineRule="auto"/>
        <w:jc w:val="right"/>
        <w:bidi/>
      </w:pPr>
      <w:r>
        <w:rPr>
          <w:rFonts w:ascii="Calibri" w:hAnsi="Calibri" w:cs="Calibri"/>
          <w:b w:val="0"/>
          <w:sz w:val="22"/>
        </w:rPr>
        <w:t>GitHub Actions يشغل Ruff ثم فحص التنسيق ثم pytest مع coverage. لا يبدأ بناء Docker image إلا بعد نجاح quality job، وعند push إلى main تُرفع الصورة إلى GHCR. كما يضبط pre-commit الفحوص المحلية قبل commit. ملف Compose اجتاز config --quiet؛ بناء الصورة وتشغيل stack الكامل لم يُختبرا على جهاز التسليم بسبب غياب Docker engine العامل.</w:t>
      </w:r>
    </w:p>
    <w:p>
      <w:pPr>
        <w:pStyle w:val="Heading1"/>
        <w:spacing w:before="280" w:after="120"/>
        <w:jc w:val="right"/>
        <w:keepNext/>
        <w:bidi/>
      </w:pPr>
      <w:r>
        <w:rPr>
          <w:rFonts w:ascii="Calibri" w:hAnsi="Calibri" w:cs="Calibri"/>
          <w:b w:val="0"/>
          <w:color w:val="2E74B5"/>
          <w:sz w:val="32"/>
        </w:rPr>
        <w:t>6 المراقبة والتقييم اللاحق</w:t>
      </w:r>
    </w:p>
    <w:p>
      <w:pPr>
        <w:spacing w:after="120" w:line="269" w:lineRule="auto"/>
        <w:jc w:val="right"/>
        <w:bidi/>
      </w:pPr>
      <w:r>
        <w:rPr>
          <w:rFonts w:ascii="Calibri" w:hAnsi="Calibri" w:cs="Calibri"/>
          <w:b w:val="0"/>
          <w:sz w:val="22"/>
        </w:rPr>
        <w:t>يعرض /metrics عدد الطلبات ووقت الاستجابة والأخطاء وتوزيع late/on_time واحتمالات التأخير. يُقارن rolling late rate بمعدل مرجعي من Task 2، مع alert للانحراف ولارتفاع p95 latency ولأخطاء HTTP 5xx. الانحراف هنا إنذار تشغيلي، وليس برهانًا على تدهور جودة النموذج. تحتفظ prediction_logs بحقول actual delivery وactual_late الفارغة لتعبئتها عندما تظهر الحقيقة، ثم مقارنة الأداء حسب نسخة الموديل والفترة والفئة.</w:t>
      </w:r>
    </w:p>
    <w:tbl>
      <w:tblPr>
        <w:tblW w:type="auto" w:w="0"/>
        <w:tblLayout w:type="fixed"/>
        <w:tblLook w:firstColumn="1" w:firstRow="1" w:lastColumn="0" w:lastRow="0" w:noHBand="0" w:noVBand="1" w:val="04A0"/>
      </w:tblPr>
      <w:tblGrid>
        <w:gridCol w:w="3384"/>
        <w:gridCol w:w="3384"/>
        <w:gridCol w:w="2592"/>
      </w:tblGrid>
      <w:tr>
        <w:trPr>
          <w:tblHeader w:val="true"/>
        </w:trPr>
        <w:tc>
          <w:tcPr>
            <w:tcW w:type="dxa" w:w="3384"/>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التنبيه</w:t>
            </w:r>
          </w:p>
        </w:tc>
        <w:tc>
          <w:tcPr>
            <w:tcW w:type="dxa" w:w="3384"/>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الحد الأولي</w:t>
            </w:r>
          </w:p>
        </w:tc>
        <w:tc>
          <w:tcPr>
            <w:tcW w:type="dxa" w:w="2592"/>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فترة الاستمرار</w:t>
            </w:r>
          </w:p>
        </w:tc>
      </w:tr>
      <w:t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HTTP 5xx rate</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&gt; 5%</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10 دقائق</w:t>
            </w:r>
          </w:p>
        </w:tc>
      </w:tr>
      <w:tr>
        <w:tc>
          <w:tcPr>
            <w:tcW w:type="dxa" w:w="3384"/>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p95 latency</w:t>
            </w:r>
          </w:p>
        </w:tc>
        <w:tc>
          <w:tcPr>
            <w:tcW w:type="dxa" w:w="3384"/>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&gt; 500 ms</w:t>
            </w:r>
          </w:p>
        </w:tc>
        <w:tc>
          <w:tcPr>
            <w:tcW w:type="dxa" w:w="259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10 دقائق</w:t>
            </w:r>
          </w:p>
        </w:tc>
      </w:tr>
      <w:t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late rate drift</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&gt; 0.12 فرق مطلق</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30 دقيقة</w:t>
            </w:r>
          </w:p>
        </w:tc>
      </w:tr>
    </w:tbl>
    <w:p>
      <w:pPr>
        <w:spacing w:after="0"/>
      </w:pPr>
    </w:p>
    <w:p>
      <w:r>
        <w:br w:type="page"/>
      </w:r>
    </w:p>
    <w:p>
      <w:pPr>
        <w:pStyle w:val="Heading1"/>
        <w:spacing w:before="280" w:after="120"/>
        <w:jc w:val="right"/>
        <w:keepNext/>
        <w:bidi/>
      </w:pPr>
      <w:r>
        <w:rPr>
          <w:rFonts w:ascii="Calibri" w:hAnsi="Calibri" w:cs="Calibri"/>
          <w:b w:val="0"/>
          <w:color w:val="2E74B5"/>
          <w:sz w:val="32"/>
        </w:rPr>
        <w:t>نتائج التحقق وحدودها</w:t>
      </w:r>
    </w:p>
    <w:tbl>
      <w:tblPr>
        <w:tblW w:type="auto" w:w="0"/>
        <w:tblLayout w:type="fixed"/>
        <w:tblLook w:firstColumn="1" w:firstRow="1" w:lastColumn="0" w:lastRow="0" w:noHBand="0" w:noVBand="1" w:val="04A0"/>
      </w:tblPr>
      <w:tblGrid>
        <w:gridCol w:w="3528"/>
        <w:gridCol w:w="5832"/>
      </w:tblGrid>
      <w:tr>
        <w:trPr>
          <w:tblHeader w:val="true"/>
        </w:trPr>
        <w:tc>
          <w:tcPr>
            <w:tcW w:type="dxa" w:w="3528"/>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الفحص</w:t>
            </w:r>
          </w:p>
        </w:tc>
        <w:tc>
          <w:tcPr>
            <w:tcW w:type="dxa" w:w="5832"/>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النتيجة</w:t>
            </w:r>
          </w:p>
        </w:tc>
      </w:tr>
      <w:tr>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Ruff check وformat</w:t>
            </w:r>
          </w:p>
        </w:tc>
        <w:tc>
          <w:tcPr>
            <w:tcW w:type="dxa" w:w="583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نجحا؛ 20 ملفًا مطابقًا للتنسيق</w:t>
            </w:r>
          </w:p>
        </w:tc>
      </w:tr>
      <w:tr>
        <w:tc>
          <w:tcPr>
            <w:tcW w:type="dxa" w:w="352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pytest</w:t>
            </w:r>
          </w:p>
        </w:tc>
        <w:tc>
          <w:tcPr>
            <w:tcW w:type="dxa" w:w="583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16 اختبارًا ناجحًا</w:t>
            </w:r>
          </w:p>
        </w:tc>
      </w:tr>
      <w:tr>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Notebook parity</w:t>
            </w:r>
          </w:p>
        </w:tc>
        <w:tc>
          <w:tcPr>
            <w:tcW w:type="dxa" w:w="583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الاحتمالات تطابق ملف التنبؤات المحفوظ حتى 0.00000000000001</w:t>
            </w:r>
          </w:p>
        </w:tc>
      </w:tr>
      <w:tr>
        <w:tc>
          <w:tcPr>
            <w:tcW w:type="dxa" w:w="352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MLflow local smoke</w:t>
            </w:r>
          </w:p>
        </w:tc>
        <w:tc>
          <w:tcPr>
            <w:tcW w:type="dxa" w:w="583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تسجيل وتحميل champion والتنبؤ بمدخلات nullable</w:t>
            </w:r>
          </w:p>
        </w:tc>
      </w:tr>
      <w:tr>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DVC status</w:t>
            </w:r>
          </w:p>
        </w:tc>
        <w:tc>
          <w:tcPr>
            <w:tcW w:type="dxa" w:w="583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البيانات والـ artifacts محدثة محليًا</w:t>
            </w:r>
          </w:p>
        </w:tc>
      </w:tr>
      <w:tr>
        <w:tc>
          <w:tcPr>
            <w:tcW w:type="dxa" w:w="352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Docker Compose config</w:t>
            </w:r>
          </w:p>
        </w:tc>
        <w:tc>
          <w:tcPr>
            <w:tcW w:type="dxa" w:w="583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صياغة الخدمات صحيحة؛ التشغيل الفعلي لم يُنفذ</w:t>
            </w:r>
          </w:p>
        </w:tc>
      </w:tr>
    </w:tbl>
    <w:p>
      <w:pPr>
        <w:spacing w:after="0"/>
      </w:pPr>
    </w:p>
    <w:p>
      <w:pPr>
        <w:spacing w:after="120" w:line="269" w:lineRule="auto"/>
        <w:jc w:val="right"/>
        <w:bidi/>
      </w:pPr>
      <w:r>
        <w:rPr>
          <w:rFonts w:ascii="Calibri" w:hAnsi="Calibri" w:cs="Calibri"/>
          <w:b w:val="0"/>
          <w:sz w:val="22"/>
        </w:rPr>
        <w:t>تحقق الاختبارات من منطق الكود والـ API في بيئة محلية، لكنه لا يغني عن تشغيل الحاويات مع Docker Desktop وفحص اتصال MinIO وPostgreSQL وMLflow end-to-end على جهاز التقييم.</w:t>
      </w:r>
    </w:p>
    <w:p>
      <w:pPr>
        <w:pStyle w:val="Heading2"/>
        <w:spacing w:before="200" w:after="120"/>
        <w:jc w:val="right"/>
        <w:keepNext/>
        <w:bidi/>
      </w:pPr>
      <w:r>
        <w:rPr>
          <w:rFonts w:ascii="Calibri" w:hAnsi="Calibri" w:cs="Calibri"/>
          <w:b w:val="0"/>
          <w:color w:val="2E74B5"/>
          <w:sz w:val="26"/>
        </w:rPr>
        <w:t>مطابقة متطلبات Task 3</w:t>
      </w:r>
    </w:p>
    <w:tbl>
      <w:tblPr>
        <w:tblW w:type="auto" w:w="0"/>
        <w:tblLayout w:type="fixed"/>
        <w:tblLook w:firstColumn="1" w:firstRow="1" w:lastColumn="0" w:lastRow="0" w:noHBand="0" w:noVBand="1" w:val="04A0"/>
      </w:tblPr>
      <w:tblGrid>
        <w:gridCol w:w="3168"/>
        <w:gridCol w:w="6192"/>
      </w:tblGrid>
      <w:tr>
        <w:trPr>
          <w:tblHeader w:val="true"/>
        </w:trPr>
        <w:tc>
          <w:tcPr>
            <w:tcW w:type="dxa" w:w="3168"/>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المتطلب</w:t>
            </w:r>
          </w:p>
        </w:tc>
        <w:tc>
          <w:tcPr>
            <w:tcW w:type="dxa" w:w="6192"/>
            <w:vAlign w:val="center"/>
            <w:shd w:fill="7030A0"/>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color w:val="FFFFFF"/>
                <w:sz w:val="18"/>
              </w:rPr>
              <w:t>الدليل في المشروع</w:t>
            </w:r>
          </w:p>
        </w:tc>
      </w:tr>
      <w:tr>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تنظيم وإعدادات</w:t>
            </w:r>
          </w:p>
        </w:tc>
        <w:tc>
          <w:tcPr>
            <w:tcW w:type="dxa" w:w="619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src/ و config/ و requirements/runtime.txt و dev.txt</w:t>
            </w:r>
          </w:p>
        </w:tc>
      </w:tr>
      <w:tr>
        <w:tc>
          <w:tcPr>
            <w:tcW w:type="dxa" w:w="316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Inference دون تدريب</w:t>
            </w:r>
          </w:p>
        </w:tc>
        <w:tc>
          <w:tcPr>
            <w:tcW w:type="dxa" w:w="619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features.py و model.py واختبار notebook parity</w:t>
            </w:r>
          </w:p>
        </w:tc>
      </w:tr>
      <w:tr>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Validation و DVC</w:t>
            </w:r>
          </w:p>
        </w:tc>
        <w:tc>
          <w:tcPr>
            <w:tcW w:type="dxa" w:w="619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validation.py و feature_contract.yaml وملفات .dvc</w:t>
            </w:r>
          </w:p>
        </w:tc>
      </w:tr>
      <w:tr>
        <w:tc>
          <w:tcPr>
            <w:tcW w:type="dxa" w:w="316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Tracking و Registry</w:t>
            </w:r>
          </w:p>
        </w:tc>
        <w:tc>
          <w:tcPr>
            <w:tcW w:type="dxa" w:w="619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register_model.py وalias champion</w:t>
            </w:r>
          </w:p>
        </w:tc>
      </w:tr>
      <w:tr>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API و logging</w:t>
            </w:r>
          </w:p>
        </w:tc>
        <w:tc>
          <w:tcPr>
            <w:tcW w:type="dxa" w:w="619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app/main.py و service.py و storage.py</w:t>
            </w:r>
          </w:p>
        </w:tc>
      </w:tr>
      <w:tr>
        <w:tc>
          <w:tcPr>
            <w:tcW w:type="dxa" w:w="316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Testing و CI</w:t>
            </w:r>
          </w:p>
        </w:tc>
        <w:tc>
          <w:tcPr>
            <w:tcW w:type="dxa" w:w="619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16 اختبارًا و .github/workflows/ci.yml</w:t>
            </w:r>
          </w:p>
        </w:tc>
      </w:tr>
      <w:tr>
        <w:tc>
          <w:tcPr>
            <w:tcW w:type="dxa" w:w="3168"/>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Containerization</w:t>
            </w:r>
          </w:p>
        </w:tc>
        <w:tc>
          <w:tcPr>
            <w:tcW w:type="dxa" w:w="6192"/>
            <w:vAlign w:val="center"/>
            <w:shd w:fill="FFFFFF"/>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Dockerfile و docker-compose.yml و RUN_TASK3.bat</w:t>
            </w:r>
          </w:p>
        </w:tc>
      </w:tr>
      <w:tr>
        <w:tc>
          <w:tcPr>
            <w:tcW w:type="dxa" w:w="3168"/>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Monitoring</w:t>
            </w:r>
          </w:p>
        </w:tc>
        <w:tc>
          <w:tcPr>
            <w:tcW w:type="dxa" w:w="6192"/>
            <w:vAlign w:val="center"/>
            <w:shd w:fill="F8F4FC"/>
            <w:tcBorders>
              <w:top w:val="single" w:sz="4" w:color="D9D9D9"/>
              <w:left w:val="single" w:sz="4" w:color="D9D9D9"/>
              <w:bottom w:val="single" w:sz="4" w:color="D9D9D9"/>
              <w:right w:val="single" w:sz="4" w:color="D9D9D9"/>
            </w:tcBorders>
            <w:tcMar>
              <w:top w:w="70" w:type="dxa"/>
              <w:bottom w:w="70" w:type="dxa"/>
              <w:left w:w="95" w:type="dxa"/>
              <w:right w:w="95" w:type="dxa"/>
            </w:tcMar>
          </w:tcPr>
          <w:p>
            <w:pPr>
              <w:spacing w:after="0" w:line="252" w:lineRule="auto"/>
              <w:jc w:val="right"/>
            </w:pPr>
            <w:r>
              <w:rPr>
                <w:rFonts w:ascii="Calibri" w:hAnsi="Calibri" w:cs="Calibri"/>
                <w:b w:val="0"/>
                <w:color w:val="000000"/>
                <w:sz w:val="18"/>
              </w:rPr>
              <w:t>monitoring/alerts.yml و /metrics</w:t>
            </w:r>
          </w:p>
        </w:tc>
      </w:tr>
    </w:tbl>
    <w:p>
      <w:pPr>
        <w:spacing w:after="0"/>
      </w:pPr>
    </w:p>
    <w:p>
      <w:pPr>
        <w:pStyle w:val="Heading1"/>
        <w:spacing w:before="280" w:after="120"/>
        <w:jc w:val="right"/>
        <w:keepNext/>
        <w:bidi/>
      </w:pPr>
      <w:r>
        <w:rPr>
          <w:rFonts w:ascii="Calibri" w:hAnsi="Calibri" w:cs="Calibri"/>
          <w:b w:val="0"/>
          <w:color w:val="2E74B5"/>
          <w:sz w:val="32"/>
        </w:rPr>
        <w:t>الخلاصة والملفات المرفقة</w:t>
      </w:r>
    </w:p>
    <w:p>
      <w:pPr>
        <w:spacing w:after="120" w:line="269" w:lineRule="auto"/>
        <w:jc w:val="right"/>
        <w:bidi/>
      </w:pPr>
      <w:r>
        <w:rPr>
          <w:rFonts w:ascii="Calibri" w:hAnsi="Calibri" w:cs="Calibri"/>
          <w:b w:val="0"/>
          <w:sz w:val="22"/>
        </w:rPr>
        <w:t>أصبح مسار Task 2 المجمد خدمة استدلال ذات عقد بيانات واضح وإصدارات موديل قابلة للتتبع وسجلات وقياسات واختبارات آلية. الخطوة المتبقية قبل اعتبار النشر مُتحققًا بالكامل هي تشغيل Docker Compose على جهاز يعمل عليه Docker Desktop ثم إرسال طلب single وbatch وفحص /metrics.</w:t>
      </w:r>
    </w:p>
    <w:p>
      <w:pPr>
        <w:pStyle w:val="ListParagraph"/>
        <w:spacing w:after="50"/>
        <w:ind w:left="288"/>
        <w:jc w:val="right"/>
        <w:bidi/>
      </w:pPr>
      <w:r>
        <w:rPr>
          <w:rFonts w:ascii="Calibri" w:hAnsi="Calibri" w:cs="Calibri"/>
          <w:b w:val="0"/>
          <w:sz w:val="22"/>
        </w:rPr>
        <w:t>• README.md و docs/assignment-checklist.md - خطوات التشغيل وربط المتطلبات بالدليل.</w:t>
      </w:r>
    </w:p>
    <w:p>
      <w:pPr>
        <w:pStyle w:val="ListParagraph"/>
        <w:spacing w:after="50"/>
        <w:ind w:left="288"/>
        <w:jc w:val="right"/>
        <w:bidi/>
      </w:pPr>
      <w:r>
        <w:rPr>
          <w:rFonts w:ascii="Calibri" w:hAnsi="Calibri" w:cs="Calibri"/>
          <w:b w:val="0"/>
          <w:sz w:val="22"/>
        </w:rPr>
        <w:t>• src/olist_mlops و app/ - منطق الميزات والتحقق والموديل والخدمة.</w:t>
      </w:r>
    </w:p>
    <w:p>
      <w:pPr>
        <w:pStyle w:val="ListParagraph"/>
        <w:spacing w:after="50"/>
        <w:ind w:left="288"/>
        <w:jc w:val="right"/>
        <w:bidi/>
      </w:pPr>
      <w:r>
        <w:rPr>
          <w:rFonts w:ascii="Calibri" w:hAnsi="Calibri" w:cs="Calibri"/>
          <w:b w:val="0"/>
          <w:sz w:val="22"/>
        </w:rPr>
        <w:t>• config/ و models/seed/ وملفات .dvc - الإعدادات والـ artifacts المجمدة وإصدارات البيانات.</w:t>
      </w:r>
    </w:p>
    <w:p>
      <w:pPr>
        <w:pStyle w:val="ListParagraph"/>
        <w:spacing w:after="50"/>
        <w:ind w:left="288"/>
        <w:jc w:val="right"/>
        <w:bidi/>
      </w:pPr>
      <w:r>
        <w:rPr>
          <w:rFonts w:ascii="Calibri" w:hAnsi="Calibri" w:cs="Calibri"/>
          <w:b w:val="0"/>
          <w:sz w:val="22"/>
        </w:rPr>
        <w:t>• tests/ و .github/workflows/ci.yml - اختبارات الجودة وCI.</w:t>
      </w:r>
    </w:p>
    <w:p>
      <w:pPr>
        <w:pStyle w:val="ListParagraph"/>
        <w:spacing w:after="50"/>
        <w:ind w:left="288"/>
        <w:jc w:val="right"/>
        <w:bidi/>
      </w:pPr>
      <w:r>
        <w:rPr>
          <w:rFonts w:ascii="Calibri" w:hAnsi="Calibri" w:cs="Calibri"/>
          <w:b w:val="0"/>
          <w:sz w:val="22"/>
        </w:rPr>
        <w:t>• Dockerfile و docker-compose.yml و RUN_TASK3.bat - تشغيل الـ stack.</w:t>
      </w:r>
    </w:p>
    <w:sectPr w:rsidR="006E52FD" w:rsidRPr="006E52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E595F"/>
    <w:multiLevelType w:val="multilevel"/>
    <w:tmpl w:val="D03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D1802"/>
    <w:multiLevelType w:val="hybridMultilevel"/>
    <w:tmpl w:val="8886036E"/>
    <w:lvl w:ilvl="0" w:tplc="EF983D5C">
      <w:start w:val="1"/>
      <w:numFmt w:val="bullet"/>
      <w:lvlText w:val="●"/>
      <w:lvlJc w:val="left"/>
      <w:pPr>
        <w:ind w:left="720" w:hanging="360"/>
      </w:pPr>
    </w:lvl>
    <w:lvl w:ilvl="1" w:tplc="65FA82AA">
      <w:start w:val="1"/>
      <w:numFmt w:val="bullet"/>
      <w:lvlText w:val="○"/>
      <w:lvlJc w:val="left"/>
      <w:pPr>
        <w:ind w:left="1440" w:hanging="360"/>
      </w:pPr>
    </w:lvl>
    <w:lvl w:ilvl="2" w:tplc="1870D06A">
      <w:start w:val="1"/>
      <w:numFmt w:val="bullet"/>
      <w:lvlText w:val="■"/>
      <w:lvlJc w:val="left"/>
      <w:pPr>
        <w:ind w:left="2160" w:hanging="360"/>
      </w:pPr>
    </w:lvl>
    <w:lvl w:ilvl="3" w:tplc="EDD24736">
      <w:start w:val="1"/>
      <w:numFmt w:val="bullet"/>
      <w:lvlText w:val="●"/>
      <w:lvlJc w:val="left"/>
      <w:pPr>
        <w:ind w:left="2880" w:hanging="360"/>
      </w:pPr>
    </w:lvl>
    <w:lvl w:ilvl="4" w:tplc="708C411C">
      <w:start w:val="1"/>
      <w:numFmt w:val="bullet"/>
      <w:lvlText w:val="○"/>
      <w:lvlJc w:val="left"/>
      <w:pPr>
        <w:ind w:left="3600" w:hanging="360"/>
      </w:pPr>
    </w:lvl>
    <w:lvl w:ilvl="5" w:tplc="1D1AC180">
      <w:start w:val="1"/>
      <w:numFmt w:val="bullet"/>
      <w:lvlText w:val="■"/>
      <w:lvlJc w:val="left"/>
      <w:pPr>
        <w:ind w:left="4320" w:hanging="360"/>
      </w:pPr>
    </w:lvl>
    <w:lvl w:ilvl="6" w:tplc="C89EF330">
      <w:start w:val="1"/>
      <w:numFmt w:val="bullet"/>
      <w:lvlText w:val="●"/>
      <w:lvlJc w:val="left"/>
      <w:pPr>
        <w:ind w:left="5040" w:hanging="360"/>
      </w:pPr>
    </w:lvl>
    <w:lvl w:ilvl="7" w:tplc="F9F0F91C">
      <w:start w:val="1"/>
      <w:numFmt w:val="bullet"/>
      <w:lvlText w:val="●"/>
      <w:lvlJc w:val="left"/>
      <w:pPr>
        <w:ind w:left="5760" w:hanging="360"/>
      </w:pPr>
    </w:lvl>
    <w:lvl w:ilvl="8" w:tplc="699AA65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D4D"/>
    <w:rsid w:val="0029482E"/>
    <w:rsid w:val="006E52FD"/>
    <w:rsid w:val="008B7FAE"/>
    <w:rsid w:val="009754BD"/>
    <w:rsid w:val="00A333E7"/>
    <w:rsid w:val="00F63D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062C"/>
  <w15:docId w15:val="{9AB3DDDE-725A-47A1-B8B1-83324EF4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8B7FAE"/>
    <w:pPr>
      <w:spacing w:before="100" w:beforeAutospacing="1" w:after="100" w:afterAutospacing="1"/>
    </w:pPr>
    <w:rPr>
      <w:sz w:val="24"/>
      <w:szCs w:val="24"/>
    </w:rPr>
  </w:style>
  <w:style w:type="character" w:styleId="Strong">
    <w:name w:val="Strong"/>
    <w:basedOn w:val="DefaultParagraphFont"/>
    <w:uiPriority w:val="22"/>
    <w:qFormat/>
    <w:rsid w:val="008B7F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41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6</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From Notebooks to Production</dc:title>
  <dc:subject>Olist MLOps Task 3 report</dc:subject>
  <dc:creator>Un-named</dc:creator>
  <cp:keywords>MLOps, Olist, Task 2, notebooks, late delivery</cp:keywords>
  <cp:lastModifiedBy>rama sab</cp:lastModifiedBy>
  <cp:revision>4</cp:revision>
  <dcterms:created xsi:type="dcterms:W3CDTF">2026-08-13T21:58:00Z</dcterms:created>
  <dcterms:modified xsi:type="dcterms:W3CDTF">2026-08-25T19:06:00Z</dcterms:modified>
</cp:coreProperties>
</file>