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46.0" w:type="dxa"/>
        <w:jc w:val="left"/>
        <w:tblInd w:w="0.0" w:type="dxa"/>
        <w:tblLayout w:type="fixed"/>
        <w:tblLook w:val="0000"/>
      </w:tblPr>
      <w:tblGrid>
        <w:gridCol w:w="2802"/>
        <w:gridCol w:w="6944"/>
        <w:tblGridChange w:id="0">
          <w:tblGrid>
            <w:gridCol w:w="2802"/>
            <w:gridCol w:w="6944"/>
          </w:tblGrid>
        </w:tblGridChange>
      </w:tblGrid>
      <w:tr>
        <w:trPr>
          <w:cantSplit w:val="0"/>
          <w:trHeight w:val="720" w:hRule="atLeast"/>
          <w:tblHeader w:val="0"/>
        </w:trPr>
        <w:tc>
          <w:tcPr>
            <w:vMerge w:val="restart"/>
          </w:tcPr>
          <w:p w:rsidR="00000000" w:rsidDel="00000000" w:rsidP="00000000" w:rsidRDefault="00000000" w:rsidRPr="00000000" w14:paraId="00000002">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0" distT="0" distL="0" distR="0">
                  <wp:extent cx="1269365" cy="904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9365" cy="904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SYLLABUS</w:t>
            </w:r>
            <w:r w:rsidDel="00000000" w:rsidR="00000000" w:rsidRPr="00000000">
              <w:rPr>
                <w:rtl w:val="0"/>
              </w:rPr>
            </w:r>
          </w:p>
        </w:tc>
      </w:tr>
      <w:tr>
        <w:trPr>
          <w:cantSplit w:val="0"/>
          <w:trHeight w:val="720" w:hRule="atLeast"/>
          <w:tblHeader w:val="0"/>
        </w:trPr>
        <w:tc>
          <w:tcPr>
            <w:vMerge w:val="continue"/>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5">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CONTINUOUS MATHEMATICAL FOUNDATION</w:t>
            </w:r>
          </w:p>
        </w:tc>
      </w:tr>
    </w:tbl>
    <w:p w:rsidR="00000000" w:rsidDel="00000000" w:rsidP="00000000" w:rsidRDefault="00000000" w:rsidRPr="00000000" w14:paraId="00000006">
      <w:pPr>
        <w:rPr>
          <w:rFonts w:ascii="Arial" w:cs="Arial" w:eastAsia="Arial" w:hAnsi="Arial"/>
          <w:sz w:val="24"/>
          <w:szCs w:val="24"/>
          <w:vertAlign w:val="baseline"/>
        </w:rPr>
      </w:pPr>
      <w:r w:rsidDel="00000000" w:rsidR="00000000" w:rsidRPr="00000000">
        <w:rPr>
          <w:rtl w:val="0"/>
        </w:rPr>
      </w:r>
    </w:p>
    <w:tbl>
      <w:tblPr>
        <w:tblStyle w:val="Table2"/>
        <w:tblW w:w="9853.0" w:type="dxa"/>
        <w:jc w:val="left"/>
        <w:tblInd w:w="0.0" w:type="dxa"/>
        <w:tblLayout w:type="fixed"/>
        <w:tblLook w:val="0000"/>
      </w:tblPr>
      <w:tblGrid>
        <w:gridCol w:w="2802"/>
        <w:gridCol w:w="7051"/>
        <w:tblGridChange w:id="0">
          <w:tblGrid>
            <w:gridCol w:w="2802"/>
            <w:gridCol w:w="70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7">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rPr>
                <w:rFonts w:ascii="Arial" w:cs="Arial" w:eastAsia="Arial" w:hAnsi="Arial"/>
              </w:rPr>
            </w:pPr>
            <w:r w:rsidDel="00000000" w:rsidR="00000000" w:rsidRPr="00000000">
              <w:rPr>
                <w:rFonts w:ascii="Arial" w:cs="Arial" w:eastAsia="Arial" w:hAnsi="Arial"/>
                <w:sz w:val="24"/>
                <w:szCs w:val="24"/>
                <w:vertAlign w:val="baseline"/>
                <w:rtl w:val="0"/>
              </w:rPr>
              <w:t xml:space="preserve">CCS1100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9">
            <w:pPr>
              <w:widowControl w:val="0"/>
              <w:rPr>
                <w:rFonts w:ascii="Arial" w:cs="Arial" w:eastAsia="Arial" w:hAnsi="Arial"/>
                <w:sz w:val="24"/>
                <w:szCs w:val="24"/>
                <w:vertAlign w:val="baseline"/>
              </w:rPr>
            </w:pPr>
            <w:r w:rsidDel="00000000" w:rsidR="00000000" w:rsidRPr="00000000">
              <w:rPr>
                <w:rFonts w:ascii="Arial" w:cs="Arial" w:eastAsia="Arial" w:hAnsi="Arial"/>
                <w:b w:val="1"/>
                <w:sz w:val="20"/>
                <w:szCs w:val="20"/>
                <w:vertAlign w:val="baseline"/>
                <w:rtl w:val="0"/>
              </w:rPr>
              <w:t xml:space="preserve">MODULE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Continuous Mathematical Foundation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B">
            <w:pPr>
              <w:widowControl w:val="0"/>
              <w:rPr>
                <w:rFonts w:ascii="Arial" w:cs="Arial" w:eastAsia="Arial" w:hAnsi="Arial"/>
                <w:sz w:val="24"/>
                <w:szCs w:val="24"/>
                <w:vertAlign w:val="baseline"/>
              </w:rPr>
            </w:pPr>
            <w:r w:rsidDel="00000000" w:rsidR="00000000" w:rsidRPr="00000000">
              <w:rPr>
                <w:rFonts w:ascii="Arial" w:cs="Arial" w:eastAsia="Arial" w:hAnsi="Arial"/>
                <w:b w:val="1"/>
                <w:sz w:val="20"/>
                <w:szCs w:val="20"/>
                <w:vertAlign w:val="baseline"/>
                <w:rtl w:val="0"/>
              </w:rPr>
              <w:t xml:space="preserve">PROGRAMME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Bsc (Hons) in Computer Science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widowControl w:val="0"/>
              <w:rPr>
                <w:rFonts w:ascii="Arial" w:cs="Arial" w:eastAsia="Arial" w:hAnsi="Arial"/>
                <w:sz w:val="24"/>
                <w:szCs w:val="24"/>
                <w:vertAlign w:val="baseline"/>
              </w:rPr>
            </w:pPr>
            <w:r w:rsidDel="00000000" w:rsidR="00000000" w:rsidRPr="00000000">
              <w:rPr>
                <w:rFonts w:ascii="Arial" w:cs="Arial" w:eastAsia="Arial" w:hAnsi="Arial"/>
                <w:b w:val="1"/>
                <w:sz w:val="20"/>
                <w:szCs w:val="20"/>
                <w:vertAlign w:val="baseline"/>
                <w:rtl w:val="0"/>
              </w:rPr>
              <w:t xml:space="preserve">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Computer Science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F">
            <w:pPr>
              <w:widowControl w:val="0"/>
              <w:rPr>
                <w:rFonts w:ascii="Arial" w:cs="Arial" w:eastAsia="Arial" w:hAnsi="Arial"/>
                <w:sz w:val="24"/>
                <w:szCs w:val="24"/>
                <w:vertAlign w:val="baseline"/>
              </w:rPr>
            </w:pPr>
            <w:r w:rsidDel="00000000" w:rsidR="00000000" w:rsidRPr="00000000">
              <w:rPr>
                <w:rFonts w:ascii="Arial" w:cs="Arial" w:eastAsia="Arial" w:hAnsi="Arial"/>
                <w:b w:val="1"/>
                <w:sz w:val="20"/>
                <w:szCs w:val="20"/>
                <w:vertAlign w:val="baseline"/>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1">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STAGE OF STUDY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3">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SEMESTER/SESSION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Fall 2021-2022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5">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RE-ASSESSABLE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7">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COMPENSATABLE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9">
            <w:pPr>
              <w:widowControl w:val="0"/>
              <w:rPr>
                <w:rFonts w:ascii="Arial" w:cs="Arial" w:eastAsia="Arial" w:hAnsi="Arial"/>
                <w:sz w:val="24"/>
                <w:szCs w:val="24"/>
                <w:vertAlign w:val="baseline"/>
              </w:rPr>
            </w:pPr>
            <w:r w:rsidDel="00000000" w:rsidR="00000000" w:rsidRPr="00000000">
              <w:rPr>
                <w:rFonts w:ascii="Arial" w:cs="Arial" w:eastAsia="Arial" w:hAnsi="Arial"/>
                <w:b w:val="1"/>
                <w:sz w:val="20"/>
                <w:szCs w:val="20"/>
                <w:vertAlign w:val="baseline"/>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Thessaloniki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B">
            <w:pPr>
              <w:widowControl w:val="0"/>
              <w:rPr>
                <w:rFonts w:ascii="Arial" w:cs="Arial" w:eastAsia="Arial" w:hAnsi="Arial"/>
                <w:sz w:val="24"/>
                <w:szCs w:val="24"/>
                <w:vertAlign w:val="baseline"/>
              </w:rPr>
            </w:pPr>
            <w:r w:rsidDel="00000000" w:rsidR="00000000" w:rsidRPr="00000000">
              <w:rPr>
                <w:rFonts w:ascii="Arial" w:cs="Arial" w:eastAsia="Arial" w:hAnsi="Arial"/>
                <w:b w:val="1"/>
                <w:sz w:val="20"/>
                <w:szCs w:val="20"/>
                <w:vertAlign w:val="baseline"/>
                <w:rtl w:val="0"/>
              </w:rPr>
              <w:t xml:space="preserve">STAFF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Dr. Georgios Stagakis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D">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rPr>
                <w:rFonts w:ascii="Arial" w:cs="Arial" w:eastAsia="Arial" w:hAnsi="Arial"/>
                <w:sz w:val="24"/>
                <w:szCs w:val="24"/>
                <w:vertAlign w:val="baseline"/>
              </w:rPr>
            </w:pPr>
            <w:r w:rsidDel="00000000" w:rsidR="00000000" w:rsidRPr="00000000">
              <w:rPr>
                <w:rFonts w:ascii="Arial" w:cs="Arial" w:eastAsia="Arial" w:hAnsi="Arial"/>
                <w:color w:val="0000ff"/>
                <w:sz w:val="24"/>
                <w:szCs w:val="24"/>
                <w:u w:val="single"/>
                <w:vertAlign w:val="baseline"/>
                <w:rtl w:val="0"/>
              </w:rPr>
              <w:t xml:space="preserve">gstagakis@york.citycollege.eu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F">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STAFF OFFICE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vertAlign w:val="baseline"/>
                <w:rtl w:val="0"/>
              </w:rPr>
              <w:t xml:space="preserve"> floor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1">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ACCREDITATION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programme is accredited:</w:t>
            </w:r>
          </w:p>
          <w:p w:rsidR="00000000" w:rsidDel="00000000" w:rsidP="00000000" w:rsidRDefault="00000000" w:rsidRPr="00000000" w14:paraId="00000023">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British Computer Society                                                         </w:t>
            </w:r>
            <w:r w:rsidDel="00000000" w:rsidR="00000000" w:rsidRPr="00000000">
              <w:rPr>
                <w:rFonts w:ascii="Arial" w:cs="Arial" w:eastAsia="Arial" w:hAnsi="Arial"/>
                <w:sz w:val="20"/>
                <w:szCs w:val="20"/>
              </w:rPr>
              <w:drawing>
                <wp:inline distB="114300" distT="114300" distL="114300" distR="114300">
                  <wp:extent cx="656602" cy="374968"/>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56602" cy="3749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rPr>
          <w:rFonts w:ascii="Arial" w:cs="Arial" w:eastAsia="Arial" w:hAnsi="Arial"/>
          <w:sz w:val="24"/>
          <w:szCs w:val="24"/>
          <w:vertAlign w:val="baseline"/>
        </w:rPr>
      </w:pPr>
      <w:r w:rsidDel="00000000" w:rsidR="00000000" w:rsidRPr="00000000">
        <w:rPr>
          <w:rtl w:val="0"/>
        </w:rPr>
      </w:r>
    </w:p>
    <w:tbl>
      <w:tblPr>
        <w:tblStyle w:val="Table3"/>
        <w:tblW w:w="9854.0" w:type="dxa"/>
        <w:jc w:val="left"/>
        <w:tblInd w:w="0.0" w:type="dxa"/>
        <w:tblLayout w:type="fixed"/>
        <w:tblLook w:val="0000"/>
      </w:tblPr>
      <w:tblGrid>
        <w:gridCol w:w="9854"/>
        <w:tblGridChange w:id="0">
          <w:tblGrid>
            <w:gridCol w:w="98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This introductory unit provides an understanding of the basic mathematical methods required for the study of Computer Science related problems. This course satisfies the mathematics competency requirements for a first-year student in Computer Science studies. It covers basic Statistics, Probability, Linear Algebra and Calculus.</w:t>
            </w:r>
            <w:r w:rsidDel="00000000" w:rsidR="00000000" w:rsidRPr="00000000">
              <w:rPr>
                <w:rtl w:val="0"/>
              </w:rPr>
            </w:r>
          </w:p>
        </w:tc>
      </w:tr>
    </w:tbl>
    <w:p w:rsidR="00000000" w:rsidDel="00000000" w:rsidP="00000000" w:rsidRDefault="00000000" w:rsidRPr="00000000" w14:paraId="00000027">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853.0" w:type="dxa"/>
        <w:jc w:val="left"/>
        <w:tblInd w:w="0.0" w:type="dxa"/>
        <w:tblLayout w:type="fixed"/>
        <w:tblLook w:val="0000"/>
      </w:tblPr>
      <w:tblGrid>
        <w:gridCol w:w="674"/>
        <w:gridCol w:w="9179"/>
        <w:tblGridChange w:id="0">
          <w:tblGrid>
            <w:gridCol w:w="674"/>
            <w:gridCol w:w="917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AIMS</w:t>
            </w:r>
            <w:r w:rsidDel="00000000" w:rsidR="00000000" w:rsidRPr="00000000">
              <w:rPr>
                <w:rtl w:val="0"/>
              </w:rPr>
            </w:r>
          </w:p>
        </w:tc>
      </w:tr>
      <w:tr>
        <w:trPr>
          <w:cantSplit w:val="0"/>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2A">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module aims to:</w:t>
            </w:r>
          </w:p>
        </w:tc>
      </w:tr>
      <w:tr>
        <w:trPr>
          <w:cantSplit w:val="0"/>
          <w:tblHeader w:val="0"/>
        </w:trPr>
        <w:tc>
          <w:tcPr>
            <w:tcBorders>
              <w:lef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A1</w:t>
            </w:r>
          </w:p>
        </w:tc>
        <w:tc>
          <w:tcPr>
            <w:tcBorders>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Show the mutual relevance of the two disciplines, computer science and mathematics</w:t>
            </w: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A2</w:t>
            </w:r>
          </w:p>
        </w:tc>
        <w:tc>
          <w:tcPr>
            <w:tcBorders>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Present fundamental principles of probabilities, statistics and number distributions</w:t>
            </w: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A3</w:t>
            </w:r>
          </w:p>
        </w:tc>
        <w:tc>
          <w:tcPr>
            <w:tcBorders>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Provide insights on fundamental calculus issues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A4</w:t>
            </w:r>
          </w:p>
        </w:tc>
        <w:tc>
          <w:tcPr>
            <w:tcBorders>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Explain the fundamental concepts of linear algebra</w:t>
            </w:r>
          </w:p>
        </w:tc>
      </w:tr>
    </w:tbl>
    <w:p w:rsidR="00000000" w:rsidDel="00000000" w:rsidP="00000000" w:rsidRDefault="00000000" w:rsidRPr="00000000" w14:paraId="00000034">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89.0" w:type="dxa"/>
        <w:jc w:val="left"/>
        <w:tblInd w:w="0.0" w:type="dxa"/>
        <w:tblLayout w:type="fixed"/>
        <w:tblLook w:val="0000"/>
      </w:tblPr>
      <w:tblGrid>
        <w:gridCol w:w="675"/>
        <w:gridCol w:w="7790"/>
        <w:gridCol w:w="1424"/>
        <w:tblGridChange w:id="0">
          <w:tblGrid>
            <w:gridCol w:w="675"/>
            <w:gridCol w:w="7790"/>
            <w:gridCol w:w="1424"/>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5">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LEARNING OUTCOMES</w:t>
            </w:r>
            <w:r w:rsidDel="00000000" w:rsidR="00000000" w:rsidRPr="00000000">
              <w:rPr>
                <w:rtl w:val="0"/>
              </w:rPr>
            </w:r>
          </w:p>
        </w:tc>
      </w:tr>
      <w:tr>
        <w:trPr>
          <w:cantSplit w:val="0"/>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3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the end of the module, a student will be able to:</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3A">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to aims</w:t>
            </w:r>
          </w:p>
        </w:tc>
      </w:tr>
      <w:tr>
        <w:trPr>
          <w:cantSplit w:val="0"/>
          <w:tblHeader w:val="0"/>
        </w:trPr>
        <w:tc>
          <w:tcPr>
            <w:tcBorders>
              <w:lef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LO1</w:t>
            </w:r>
            <w:r w:rsidDel="00000000" w:rsidR="00000000" w:rsidRPr="00000000">
              <w:rPr>
                <w:rtl w:val="0"/>
              </w:rPr>
            </w:r>
          </w:p>
        </w:tc>
        <w:tc>
          <w:tcPr>
            <w:tcBorders>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Convert problems into matrix form and apply relevant solution techniques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A4</w:t>
            </w:r>
          </w:p>
        </w:tc>
      </w:tr>
      <w:tr>
        <w:trPr>
          <w:cantSplit w:val="0"/>
          <w:tblHeader w:val="0"/>
        </w:trPr>
        <w:tc>
          <w:tcPr>
            <w:tcBorders>
              <w:lef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LO2</w:t>
            </w:r>
            <w:r w:rsidDel="00000000" w:rsidR="00000000" w:rsidRPr="00000000">
              <w:rPr>
                <w:rtl w:val="0"/>
              </w:rPr>
            </w:r>
          </w:p>
        </w:tc>
        <w:tc>
          <w:tcPr>
            <w:tcBorders>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Apply derivatives in calculating rates of change</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A3</w:t>
            </w:r>
          </w:p>
        </w:tc>
      </w:tr>
      <w:tr>
        <w:trPr>
          <w:cantSplit w:val="0"/>
          <w:tblHeader w:val="0"/>
        </w:trPr>
        <w:tc>
          <w:tcPr>
            <w:tcBorders>
              <w:lef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LO3</w:t>
            </w:r>
            <w:r w:rsidDel="00000000" w:rsidR="00000000" w:rsidRPr="00000000">
              <w:rPr>
                <w:rtl w:val="0"/>
              </w:rPr>
            </w:r>
          </w:p>
        </w:tc>
        <w:tc>
          <w:tcPr>
            <w:tcBorders>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Provide evidence of comprehending the meaning of the integral</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A3</w:t>
            </w:r>
          </w:p>
        </w:tc>
      </w:tr>
      <w:tr>
        <w:trPr>
          <w:cantSplit w:val="0"/>
          <w:tblHeader w:val="0"/>
        </w:trPr>
        <w:tc>
          <w:tcPr>
            <w:tcBorders>
              <w:lef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LO4</w:t>
            </w:r>
          </w:p>
        </w:tc>
        <w:tc>
          <w:tcPr>
            <w:tcBorders>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Explain the relationship of calculus with computer science</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A1</w:t>
            </w:r>
          </w:p>
        </w:tc>
      </w:tr>
      <w:tr>
        <w:trPr>
          <w:cantSplit w:val="0"/>
          <w:trHeight w:val="19" w:hRule="atLeast"/>
          <w:tblHeader w:val="0"/>
        </w:trPr>
        <w:tc>
          <w:tcPr>
            <w:tcBorders>
              <w:left w:color="000000" w:space="0" w:sz="4" w:val="single"/>
              <w:bottom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Process data to demonstrate its properties, by summarizing it in the form of a histogram, frequency table and by calculating the mean, median, mode, variance and standard deviation.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A2</w:t>
            </w:r>
          </w:p>
        </w:tc>
      </w:tr>
      <w:tr>
        <w:trPr>
          <w:cantSplit w:val="0"/>
          <w:trHeight w:val="19" w:hRule="atLeast"/>
          <w:tblHeader w:val="0"/>
        </w:trPr>
        <w:tc>
          <w:tcPr>
            <w:tcBorders>
              <w:left w:color="000000" w:space="0" w:sz="4" w:val="single"/>
              <w:bottom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LO6</w:t>
            </w:r>
          </w:p>
        </w:tc>
        <w:tc>
          <w:tcPr>
            <w:tcBorders>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Calculate probabilities using discrete or continuous distributions such as the binomial and Normal distributions.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A2</w:t>
            </w:r>
          </w:p>
        </w:tc>
      </w:tr>
      <w:tr>
        <w:trPr>
          <w:cantSplit w:val="0"/>
          <w:trHeight w:val="19" w:hRule="atLeast"/>
          <w:tblHeader w:val="0"/>
        </w:trPr>
        <w:tc>
          <w:tcPr>
            <w:tcBorders>
              <w:left w:color="000000" w:space="0" w:sz="4" w:val="single"/>
              <w:bottom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LO7</w:t>
            </w:r>
          </w:p>
        </w:tc>
        <w:tc>
          <w:tcPr>
            <w:tcBorders>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Calculate probabilities for (in)dependent events, (non)mutually exclusive events using the appropriate theory.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A2</w:t>
            </w:r>
          </w:p>
        </w:tc>
      </w:tr>
      <w:tr>
        <w:trPr>
          <w:cantSplit w:val="0"/>
          <w:trHeight w:val="77" w:hRule="atLeast"/>
          <w:tblHeader w:val="0"/>
        </w:trPr>
        <w:tc>
          <w:tcPr>
            <w:tcBorders>
              <w:left w:color="000000" w:space="0" w:sz="4" w:val="single"/>
              <w:bottom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LO8</w:t>
            </w:r>
          </w:p>
        </w:tc>
        <w:tc>
          <w:tcPr>
            <w:tcBorders>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Determine the distribution of a discrete or continuous random variable, by correctly interpreting the information provided in a probability distribution problem.</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UOS Blake" w:cs="TUOS Blake" w:eastAsia="TUOS Blake" w:hAnsi="TUOS Blake"/>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A2</w:t>
            </w:r>
          </w:p>
        </w:tc>
      </w:tr>
    </w:tbl>
    <w:p w:rsidR="00000000" w:rsidDel="00000000" w:rsidP="00000000" w:rsidRDefault="00000000" w:rsidRPr="00000000" w14:paraId="00000055">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854.0" w:type="dxa"/>
        <w:jc w:val="left"/>
        <w:tblInd w:w="0.0" w:type="dxa"/>
        <w:tblLayout w:type="fixed"/>
        <w:tblLook w:val="0000"/>
      </w:tblPr>
      <w:tblGrid>
        <w:gridCol w:w="9854"/>
        <w:tblGridChange w:id="0">
          <w:tblGrid>
            <w:gridCol w:w="98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6">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DOES THIS MODULE FIT INTO THE CURRICULUM?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Being a Computer Scientist is highly associated with applying mathematical methods while coding, in order to solve either trivial problems or include mathematical subscripts in the main code. The module’s goal is to provide the students with the appropriate math basis in order to be capable to work with future industrial computer science tasks such Machine Learning and IT Decision Support Systems.</w:t>
            </w:r>
          </w:p>
        </w:tc>
      </w:tr>
    </w:tbl>
    <w:p w:rsidR="00000000" w:rsidDel="00000000" w:rsidP="00000000" w:rsidRDefault="00000000" w:rsidRPr="00000000" w14:paraId="00000058">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889.0" w:type="dxa"/>
        <w:jc w:val="left"/>
        <w:tblInd w:w="0.0" w:type="dxa"/>
        <w:tblLayout w:type="fixed"/>
        <w:tblLook w:val="0000"/>
      </w:tblPr>
      <w:tblGrid>
        <w:gridCol w:w="6204"/>
        <w:gridCol w:w="2693"/>
        <w:gridCol w:w="992"/>
        <w:tblGridChange w:id="0">
          <w:tblGrid>
            <w:gridCol w:w="6204"/>
            <w:gridCol w:w="2693"/>
            <w:gridCol w:w="9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9">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TEACHING &amp; LEARNING METHODS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A">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Contact Hours:</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5B">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teaching &amp; learning methods will be employed: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Lectures, emphasising each week on the respective part of the syllabus</w:t>
              <w:tab/>
              <w:tab/>
              <w:t xml:space="preserve">    24</w:t>
              <w:tab/>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Tutorials, solving exercises associated the respective week topic</w:t>
              <w:tab/>
              <w:tab/>
              <w:tab/>
              <w:tab/>
              <w:t xml:space="preserve">    12</w:t>
              <w:tab/>
            </w:r>
            <w:r w:rsidDel="00000000" w:rsidR="00000000" w:rsidRPr="00000000">
              <w:rPr>
                <w:rtl w:val="0"/>
              </w:rPr>
            </w:r>
          </w:p>
        </w:tc>
      </w:tr>
    </w:tbl>
    <w:p w:rsidR="00000000" w:rsidDel="00000000" w:rsidP="00000000" w:rsidRDefault="00000000" w:rsidRPr="00000000" w14:paraId="00000061">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889.0" w:type="dxa"/>
        <w:jc w:val="left"/>
        <w:tblInd w:w="0.0" w:type="dxa"/>
        <w:tblLayout w:type="fixed"/>
        <w:tblLook w:val="0000"/>
      </w:tblPr>
      <w:tblGrid>
        <w:gridCol w:w="675"/>
        <w:gridCol w:w="5529"/>
        <w:gridCol w:w="1275"/>
        <w:gridCol w:w="1269"/>
        <w:gridCol w:w="1141"/>
        <w:tblGridChange w:id="0">
          <w:tblGrid>
            <w:gridCol w:w="675"/>
            <w:gridCol w:w="5529"/>
            <w:gridCol w:w="1275"/>
            <w:gridCol w:w="1269"/>
            <w:gridCol w:w="1141"/>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2">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METHODS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w:t>
            </w:r>
          </w:p>
          <w:p w:rsidR="00000000" w:rsidDel="00000000" w:rsidP="00000000" w:rsidRDefault="00000000" w:rsidRPr="00000000" w14:paraId="0000006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will be assessed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Submission Week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contribution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p>
          <w:p w:rsidR="00000000" w:rsidDel="00000000" w:rsidP="00000000" w:rsidRDefault="00000000" w:rsidRPr="00000000" w14:paraId="0000006D">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Portfolio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LO5, LO7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LO5- LO8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Portfolio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LO1, LO2, LO4</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0"/>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LO1- LO4</w:t>
            </w:r>
          </w:p>
        </w:tc>
      </w:tr>
    </w:tbl>
    <w:p w:rsidR="00000000" w:rsidDel="00000000" w:rsidP="00000000" w:rsidRDefault="00000000" w:rsidRPr="00000000" w14:paraId="00000082">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854.0" w:type="dxa"/>
        <w:jc w:val="left"/>
        <w:tblInd w:w="0.0" w:type="dxa"/>
        <w:tblLayout w:type="fixed"/>
        <w:tblLook w:val="0000"/>
      </w:tblPr>
      <w:tblGrid>
        <w:gridCol w:w="9854"/>
        <w:tblGridChange w:id="0">
          <w:tblGrid>
            <w:gridCol w:w="98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3">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FEEDBACK PROVISION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methods will be used to provide </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formative and summative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feedback to students:</w:t>
            </w:r>
          </w:p>
          <w:p w:rsidR="00000000" w:rsidDel="00000000" w:rsidP="00000000" w:rsidRDefault="00000000" w:rsidRPr="00000000" w14:paraId="00000085">
            <w:pPr>
              <w:keepNext w:val="0"/>
              <w:keepLines w:val="0"/>
              <w:widowControl w:val="0"/>
              <w:shd w:fill="auto" w:val="clear"/>
              <w:tabs>
                <w:tab w:val="center" w:pos="4153"/>
                <w:tab w:val="right" w:pos="8306"/>
              </w:tabs>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Detailed in-class feedback on all exercises found in in-class exercises, exercises worked at home, and questions found in both quizzes.</w:t>
            </w:r>
            <w:r w:rsidDel="00000000" w:rsidR="00000000" w:rsidRPr="00000000">
              <w:rPr>
                <w:rtl w:val="0"/>
              </w:rPr>
            </w:r>
          </w:p>
          <w:p w:rsidR="00000000" w:rsidDel="00000000" w:rsidP="00000000" w:rsidRDefault="00000000" w:rsidRPr="00000000" w14:paraId="00000086">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feedback handbook found at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https://goo.gl/Zy2roA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aims to give you a better understanding of feedback; what it is for and how to use it.</w:t>
            </w:r>
          </w:p>
          <w:p w:rsidR="00000000" w:rsidDel="00000000" w:rsidP="00000000" w:rsidRDefault="00000000" w:rsidRPr="00000000" w14:paraId="0000008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854.0" w:type="dxa"/>
        <w:jc w:val="left"/>
        <w:tblInd w:w="0.0" w:type="dxa"/>
        <w:tblLayout w:type="fixed"/>
        <w:tblLook w:val="0000"/>
      </w:tblPr>
      <w:tblGrid>
        <w:gridCol w:w="9854"/>
        <w:tblGridChange w:id="0">
          <w:tblGrid>
            <w:gridCol w:w="98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A">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 TO MODULE MATERIAL (Notes, handouts, announcements etc.)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material used in this module's classes are available in electronic form through Google Classroom with class code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highlight w:val="white"/>
                <w:u w:val="none"/>
                <w:vertAlign w:val="baseline"/>
                <w:rtl w:val="0"/>
              </w:rPr>
              <w:t xml:space="preserve">m2wytgr”</w:t>
            </w:r>
            <w:r w:rsidDel="00000000" w:rsidR="00000000" w:rsidRPr="00000000">
              <w:rPr>
                <w:rtl w:val="0"/>
              </w:rPr>
            </w:r>
          </w:p>
          <w:p w:rsidR="00000000" w:rsidDel="00000000" w:rsidP="00000000" w:rsidRDefault="00000000" w:rsidRPr="00000000" w14:paraId="0000008D">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854.0" w:type="dxa"/>
        <w:jc w:val="left"/>
        <w:tblInd w:w="0.0" w:type="dxa"/>
        <w:tblLayout w:type="fixed"/>
        <w:tblLook w:val="0000"/>
      </w:tblPr>
      <w:tblGrid>
        <w:gridCol w:w="9854"/>
        <w:tblGridChange w:id="0">
          <w:tblGrid>
            <w:gridCol w:w="98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F">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RECOMMENDED TEXTBOOK(S)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Hoffman L. D., Bradley G. L., Sobecki D., Price M., Applied Calculus for Business, Economics, and the Social and Life Sciences, McGraw Hill, 11</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superscript"/>
                <w:rtl w:val="0"/>
              </w:rPr>
              <w:t xml:space="preserve">th</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 edition, 2013.</w:t>
            </w:r>
            <w:r w:rsidDel="00000000" w:rsidR="00000000" w:rsidRPr="00000000">
              <w:rPr>
                <w:rtl w:val="0"/>
              </w:rPr>
            </w:r>
          </w:p>
        </w:tc>
      </w:tr>
    </w:tbl>
    <w:p w:rsidR="00000000" w:rsidDel="00000000" w:rsidP="00000000" w:rsidRDefault="00000000" w:rsidRPr="00000000" w14:paraId="00000091">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854.0" w:type="dxa"/>
        <w:jc w:val="left"/>
        <w:tblInd w:w="0.0" w:type="dxa"/>
        <w:tblLayout w:type="fixed"/>
        <w:tblLook w:val="0000"/>
      </w:tblPr>
      <w:tblGrid>
        <w:gridCol w:w="9854"/>
        <w:tblGridChange w:id="0">
          <w:tblGrid>
            <w:gridCol w:w="98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2">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 OF REFERENCES / ADDITIONAL RECOMMENDED READING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Baron, Michael. Probability and statistics for computer scientists. CRC Press, 2013.</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Anderson D., Sweeney D., Williams T., Statistics for Business and Economics, South-Western, Cengage Learning, 11</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superscript"/>
                <w:rtl w:val="0"/>
              </w:rPr>
              <w:t xml:space="preserve">th</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 Edition, 2011.</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Lind-Mar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hal-Wathen, Statistical Techniques in Business and Economics, McGraw-Hill, 15</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superscript"/>
                <w:rtl w:val="0"/>
              </w:rPr>
              <w:t xml:space="preserve">th</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 edition, 2012.</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b w:val="0"/>
                <w:i w:val="0"/>
                <w:smallCaps w:val="0"/>
                <w:strike w:val="0"/>
                <w:color w:val="000000"/>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Robert T. Smith, Roland B. Minton, Calculus, McGraw Hill, 4</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superscript"/>
                <w:rtl w:val="0"/>
              </w:rPr>
              <w:t xml:space="preserve">th</w:t>
            </w:r>
            <w:r w:rsidDel="00000000" w:rsidR="00000000" w:rsidRPr="00000000">
              <w:rPr>
                <w:rFonts w:ascii="TUOS Blake" w:cs="TUOS Blake" w:eastAsia="TUOS Blake" w:hAnsi="TUOS Blake"/>
                <w:b w:val="0"/>
                <w:i w:val="0"/>
                <w:smallCaps w:val="0"/>
                <w:strike w:val="0"/>
                <w:color w:val="000000"/>
                <w:sz w:val="20"/>
                <w:szCs w:val="20"/>
                <w:u w:val="none"/>
                <w:shd w:fill="auto" w:val="clear"/>
                <w:vertAlign w:val="baseline"/>
                <w:rtl w:val="0"/>
              </w:rPr>
              <w:t xml:space="preserve"> edition, 2012.</w:t>
            </w:r>
            <w:r w:rsidDel="00000000" w:rsidR="00000000" w:rsidRPr="00000000">
              <w:rPr>
                <w:rtl w:val="0"/>
              </w:rPr>
            </w:r>
          </w:p>
        </w:tc>
      </w:tr>
    </w:tbl>
    <w:p w:rsidR="00000000" w:rsidDel="00000000" w:rsidP="00000000" w:rsidRDefault="00000000" w:rsidRPr="00000000" w14:paraId="00000097">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853.0" w:type="dxa"/>
        <w:jc w:val="left"/>
        <w:tblInd w:w="0.0" w:type="dxa"/>
        <w:tblLayout w:type="fixed"/>
        <w:tblLook w:val="0000"/>
      </w:tblPr>
      <w:tblGrid>
        <w:gridCol w:w="1099"/>
        <w:gridCol w:w="8754"/>
        <w:tblGridChange w:id="0">
          <w:tblGrid>
            <w:gridCol w:w="1099"/>
            <w:gridCol w:w="875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OUTLINE</w:t>
            </w: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9A">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WEEK/</w:t>
            </w:r>
            <w:r w:rsidDel="00000000" w:rsidR="00000000" w:rsidRPr="00000000">
              <w:rPr>
                <w:rtl w:val="0"/>
              </w:rPr>
            </w:r>
          </w:p>
          <w:p w:rsidR="00000000" w:rsidDel="00000000" w:rsidP="00000000" w:rsidRDefault="00000000" w:rsidRPr="00000000" w14:paraId="0000009B">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SESSION</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C">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9D">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E">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Statistics</w:t>
            </w:r>
          </w:p>
          <w:p w:rsidR="00000000" w:rsidDel="00000000" w:rsidP="00000000" w:rsidRDefault="00000000" w:rsidRPr="00000000" w14:paraId="0000009F">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Statistics Overview</w:t>
            </w:r>
          </w:p>
          <w:p w:rsidR="00000000" w:rsidDel="00000000" w:rsidP="00000000" w:rsidRDefault="00000000" w:rsidRPr="00000000" w14:paraId="000000A0">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Statistical Graphs </w:t>
            </w:r>
          </w:p>
          <w:p w:rsidR="00000000" w:rsidDel="00000000" w:rsidP="00000000" w:rsidRDefault="00000000" w:rsidRPr="00000000" w14:paraId="000000A1">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Measures of Centrality</w:t>
            </w:r>
          </w:p>
          <w:p w:rsidR="00000000" w:rsidDel="00000000" w:rsidP="00000000" w:rsidRDefault="00000000" w:rsidRPr="00000000" w14:paraId="000000A2">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Measures of Dispersion</w:t>
            </w:r>
          </w:p>
          <w:p w:rsidR="00000000" w:rsidDel="00000000" w:rsidP="00000000" w:rsidRDefault="00000000" w:rsidRPr="00000000" w14:paraId="000000A3">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Statistical Inference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A4">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5">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Theory</w:t>
            </w:r>
          </w:p>
          <w:p w:rsidR="00000000" w:rsidDel="00000000" w:rsidP="00000000" w:rsidRDefault="00000000" w:rsidRPr="00000000" w14:paraId="000000A6">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Sets and Subsets</w:t>
            </w:r>
          </w:p>
          <w:p w:rsidR="00000000" w:rsidDel="00000000" w:rsidP="00000000" w:rsidRDefault="00000000" w:rsidRPr="00000000" w14:paraId="000000A7">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Set Union</w:t>
            </w:r>
          </w:p>
          <w:p w:rsidR="00000000" w:rsidDel="00000000" w:rsidP="00000000" w:rsidRDefault="00000000" w:rsidRPr="00000000" w14:paraId="000000A8">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Set Intersection</w:t>
            </w:r>
          </w:p>
          <w:p w:rsidR="00000000" w:rsidDel="00000000" w:rsidP="00000000" w:rsidRDefault="00000000" w:rsidRPr="00000000" w14:paraId="000000A9">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Complementary Set</w:t>
            </w:r>
          </w:p>
          <w:p w:rsidR="00000000" w:rsidDel="00000000" w:rsidP="00000000" w:rsidRDefault="00000000" w:rsidRPr="00000000" w14:paraId="000000AA">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Sets of natural and real numbers</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AB">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C">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Probability</w:t>
            </w:r>
          </w:p>
          <w:p w:rsidR="00000000" w:rsidDel="00000000" w:rsidP="00000000" w:rsidRDefault="00000000" w:rsidRPr="00000000" w14:paraId="000000AD">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Probability space</w:t>
            </w:r>
          </w:p>
          <w:p w:rsidR="00000000" w:rsidDel="00000000" w:rsidP="00000000" w:rsidRDefault="00000000" w:rsidRPr="00000000" w14:paraId="000000AE">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Probability as set function</w:t>
            </w:r>
          </w:p>
          <w:p w:rsidR="00000000" w:rsidDel="00000000" w:rsidP="00000000" w:rsidRDefault="00000000" w:rsidRPr="00000000" w14:paraId="000000AF">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Addition Rule</w:t>
            </w:r>
          </w:p>
          <w:p w:rsidR="00000000" w:rsidDel="00000000" w:rsidP="00000000" w:rsidRDefault="00000000" w:rsidRPr="00000000" w14:paraId="000000B0">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General probability properties</w:t>
            </w:r>
          </w:p>
          <w:p w:rsidR="00000000" w:rsidDel="00000000" w:rsidP="00000000" w:rsidRDefault="00000000" w:rsidRPr="00000000" w14:paraId="000000B1">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Independency</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B2">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3">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Discrete Probability Distributions</w:t>
            </w:r>
          </w:p>
          <w:p w:rsidR="00000000" w:rsidDel="00000000" w:rsidP="00000000" w:rsidRDefault="00000000" w:rsidRPr="00000000" w14:paraId="000000B4">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Probability function</w:t>
            </w:r>
          </w:p>
          <w:p w:rsidR="00000000" w:rsidDel="00000000" w:rsidP="00000000" w:rsidRDefault="00000000" w:rsidRPr="00000000" w14:paraId="000000B5">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Factorial and Combinations</w:t>
            </w:r>
          </w:p>
          <w:p w:rsidR="00000000" w:rsidDel="00000000" w:rsidP="00000000" w:rsidRDefault="00000000" w:rsidRPr="00000000" w14:paraId="000000B6">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Binomial Distribution</w:t>
            </w:r>
          </w:p>
          <w:p w:rsidR="00000000" w:rsidDel="00000000" w:rsidP="00000000" w:rsidRDefault="00000000" w:rsidRPr="00000000" w14:paraId="000000B7">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Negative Binomial Distribution</w:t>
            </w:r>
          </w:p>
          <w:p w:rsidR="00000000" w:rsidDel="00000000" w:rsidP="00000000" w:rsidRDefault="00000000" w:rsidRPr="00000000" w14:paraId="000000B8">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Hypergeometric Distribution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B9">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A">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Continuous Probability Distributions</w:t>
            </w:r>
          </w:p>
          <w:p w:rsidR="00000000" w:rsidDel="00000000" w:rsidP="00000000" w:rsidRDefault="00000000" w:rsidRPr="00000000" w14:paraId="000000BB">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Probability density function</w:t>
            </w:r>
          </w:p>
          <w:p w:rsidR="00000000" w:rsidDel="00000000" w:rsidP="00000000" w:rsidRDefault="00000000" w:rsidRPr="00000000" w14:paraId="000000BC">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Uniform Distribution</w:t>
            </w:r>
          </w:p>
          <w:p w:rsidR="00000000" w:rsidDel="00000000" w:rsidP="00000000" w:rsidRDefault="00000000" w:rsidRPr="00000000" w14:paraId="000000BD">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Exponential Distribution</w:t>
            </w:r>
          </w:p>
          <w:p w:rsidR="00000000" w:rsidDel="00000000" w:rsidP="00000000" w:rsidRDefault="00000000" w:rsidRPr="00000000" w14:paraId="000000BE">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Normal Distribution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BF">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0">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Consolidation Week</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1">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Linear Algebra</w:t>
            </w:r>
          </w:p>
          <w:p w:rsidR="00000000" w:rsidDel="00000000" w:rsidP="00000000" w:rsidRDefault="00000000" w:rsidRPr="00000000" w14:paraId="000000C3">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Vector and Matrix Definition</w:t>
            </w:r>
          </w:p>
          <w:p w:rsidR="00000000" w:rsidDel="00000000" w:rsidP="00000000" w:rsidRDefault="00000000" w:rsidRPr="00000000" w14:paraId="000000C4">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Vector and Matrix Properties</w:t>
            </w:r>
          </w:p>
          <w:p w:rsidR="00000000" w:rsidDel="00000000" w:rsidP="00000000" w:rsidRDefault="00000000" w:rsidRPr="00000000" w14:paraId="000000C5">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Transpose Matrix</w:t>
            </w:r>
          </w:p>
          <w:p w:rsidR="00000000" w:rsidDel="00000000" w:rsidP="00000000" w:rsidRDefault="00000000" w:rsidRPr="00000000" w14:paraId="000000C6">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Matrix Inverse</w:t>
            </w:r>
          </w:p>
          <w:p w:rsidR="00000000" w:rsidDel="00000000" w:rsidP="00000000" w:rsidRDefault="00000000" w:rsidRPr="00000000" w14:paraId="000000C7">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Eigenvectors and Eigenvalues</w:t>
            </w:r>
          </w:p>
          <w:p w:rsidR="00000000" w:rsidDel="00000000" w:rsidP="00000000" w:rsidRDefault="00000000" w:rsidRPr="00000000" w14:paraId="000000C8">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Linear equation systems</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9">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Limits</w:t>
            </w:r>
          </w:p>
          <w:p w:rsidR="00000000" w:rsidDel="00000000" w:rsidP="00000000" w:rsidRDefault="00000000" w:rsidRPr="00000000" w14:paraId="000000CB">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Definition of Limit</w:t>
            </w:r>
          </w:p>
          <w:p w:rsidR="00000000" w:rsidDel="00000000" w:rsidP="00000000" w:rsidRDefault="00000000" w:rsidRPr="00000000" w14:paraId="000000CC">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Limit Properties</w:t>
            </w:r>
          </w:p>
          <w:p w:rsidR="00000000" w:rsidDel="00000000" w:rsidP="00000000" w:rsidRDefault="00000000" w:rsidRPr="00000000" w14:paraId="000000CD">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De l’ Hospital Theorem</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E">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Differentiation</w:t>
            </w:r>
          </w:p>
          <w:p w:rsidR="00000000" w:rsidDel="00000000" w:rsidP="00000000" w:rsidRDefault="00000000" w:rsidRPr="00000000" w14:paraId="000000D0">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Definition of Derivative</w:t>
            </w:r>
          </w:p>
          <w:p w:rsidR="00000000" w:rsidDel="00000000" w:rsidP="00000000" w:rsidRDefault="00000000" w:rsidRPr="00000000" w14:paraId="000000D1">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Derivative of Basic functions </w:t>
            </w:r>
          </w:p>
          <w:p w:rsidR="00000000" w:rsidDel="00000000" w:rsidP="00000000" w:rsidRDefault="00000000" w:rsidRPr="00000000" w14:paraId="000000D2">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Derivative Properties</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D3">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Integration</w:t>
            </w:r>
          </w:p>
          <w:p w:rsidR="00000000" w:rsidDel="00000000" w:rsidP="00000000" w:rsidRDefault="00000000" w:rsidRPr="00000000" w14:paraId="000000D5">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Definition of Integral</w:t>
            </w:r>
          </w:p>
          <w:p w:rsidR="00000000" w:rsidDel="00000000" w:rsidP="00000000" w:rsidRDefault="00000000" w:rsidRPr="00000000" w14:paraId="000000D6">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Integration Properties</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D7">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Numerical Analysis</w:t>
            </w:r>
          </w:p>
          <w:p w:rsidR="00000000" w:rsidDel="00000000" w:rsidP="00000000" w:rsidRDefault="00000000" w:rsidRPr="00000000" w14:paraId="000000D9">
            <w:pPr>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Trapezoidal Rule</w:t>
            </w:r>
          </w:p>
          <w:p w:rsidR="00000000" w:rsidDel="00000000" w:rsidP="00000000" w:rsidRDefault="00000000" w:rsidRPr="00000000" w14:paraId="000000DA">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Monte Carlo Integration </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DB">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C">
            <w:pPr>
              <w:keepNext w:val="0"/>
              <w:keepLines w:val="0"/>
              <w:widowControl w:val="0"/>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Week</w:t>
            </w:r>
          </w:p>
        </w:tc>
      </w:tr>
    </w:tbl>
    <w:p w:rsidR="00000000" w:rsidDel="00000000" w:rsidP="00000000" w:rsidRDefault="00000000" w:rsidRPr="00000000" w14:paraId="000000DD">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747.0" w:type="dxa"/>
        <w:jc w:val="left"/>
        <w:tblInd w:w="0.0" w:type="dxa"/>
        <w:tblLayout w:type="fixed"/>
        <w:tblLook w:val="0000"/>
      </w:tblPr>
      <w:tblGrid>
        <w:gridCol w:w="9747"/>
        <w:tblGridChange w:id="0">
          <w:tblGrid>
            <w:gridCol w:w="97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E">
            <w:pPr>
              <w:keepNext w:val="0"/>
              <w:keepLines w:val="0"/>
              <w:widowControl w:val="0"/>
              <w:shd w:fill="auto" w:val="clear"/>
              <w:tabs>
                <w:tab w:val="left" w:pos="720"/>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EMPLOYABILITY PROFILE</w:t>
            </w:r>
            <w:r w:rsidDel="00000000" w:rsidR="00000000" w:rsidRPr="00000000">
              <w:rPr>
                <w:rtl w:val="0"/>
              </w:rPr>
            </w:r>
          </w:p>
        </w:tc>
      </w:tr>
      <w:tr>
        <w:trPr>
          <w:cantSplit w:val="0"/>
          <w:trHeight w:val="6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widowControl w:val="0"/>
              <w:shd w:fill="auto" w:val="clear"/>
              <w:tabs>
                <w:tab w:val="left" w:pos="720"/>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module contributes to your employability profile by enhancing the following Graduate Attributes:</w:t>
            </w:r>
          </w:p>
          <w:p w:rsidR="00000000" w:rsidDel="00000000" w:rsidP="00000000" w:rsidRDefault="00000000" w:rsidRPr="00000000" w14:paraId="000000E0">
            <w:pPr>
              <w:keepNext w:val="0"/>
              <w:keepLines w:val="0"/>
              <w:widowControl w:val="0"/>
              <w:shd w:fill="auto" w:val="clear"/>
              <w:tabs>
                <w:tab w:val="left" w:pos="720"/>
              </w:tabs>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widowControl w:val="0"/>
              <w:rPr>
                <w:rFonts w:ascii="Arial" w:cs="Arial" w:eastAsia="Arial" w:hAnsi="Arial"/>
                <w:sz w:val="20"/>
                <w:szCs w:val="20"/>
                <w:vertAlign w:val="baseline"/>
              </w:rPr>
            </w:pPr>
            <w:r w:rsidDel="00000000" w:rsidR="00000000" w:rsidRPr="00000000">
              <w:rPr/>
              <w:drawing>
                <wp:inline distB="0" distT="0" distL="0" distR="0">
                  <wp:extent cx="672465" cy="53975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72465" cy="539750"/>
                          </a:xfrm>
                          <a:prstGeom prst="rect"/>
                          <a:ln/>
                        </pic:spPr>
                      </pic:pic>
                    </a:graphicData>
                  </a:graphic>
                </wp:inline>
              </w:drawing>
            </w:r>
            <w:r w:rsidDel="00000000" w:rsidR="00000000" w:rsidRPr="00000000">
              <w:rPr/>
              <w:drawing>
                <wp:inline distB="0" distT="0" distL="0" distR="0">
                  <wp:extent cx="672465" cy="53975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72465" cy="5397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E3">
      <w:pPr>
        <w:keepNext w:val="0"/>
        <w:keepLines w:val="0"/>
        <w:widowControl w:val="1"/>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footerReference r:id="rId19" w:type="default"/>
      <w:pgSz w:h="16838" w:w="11906" w:orient="portrait"/>
      <w:pgMar w:bottom="1440" w:top="962" w:left="1134" w:right="1134"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TUOS Blake"/>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750.0" w:type="dxa"/>
      <w:jc w:val="left"/>
      <w:tblInd w:w="0.0" w:type="dxa"/>
      <w:tblLayout w:type="fixed"/>
      <w:tblLook w:val="0000"/>
    </w:tblPr>
    <w:tblGrid>
      <w:gridCol w:w="2790"/>
      <w:gridCol w:w="6249"/>
      <w:gridCol w:w="711"/>
      <w:tblGridChange w:id="0">
        <w:tblGrid>
          <w:gridCol w:w="2790"/>
          <w:gridCol w:w="6249"/>
          <w:gridCol w:w="711"/>
        </w:tblGrid>
      </w:tblGridChange>
    </w:tblGrid>
    <w:tr>
      <w:trPr>
        <w:cantSplit w:val="0"/>
        <w:tblHeader w:val="0"/>
      </w:trPr>
      <w:tc>
        <w:tcPr/>
        <w:p w:rsidR="00000000" w:rsidDel="00000000" w:rsidP="00000000" w:rsidRDefault="00000000" w:rsidRPr="00000000" w14:paraId="000000E5">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Syllabus: CODE CCS1100</w:t>
          </w:r>
          <w:r w:rsidDel="00000000" w:rsidR="00000000" w:rsidRPr="00000000">
            <w:rPr>
              <w:rtl w:val="0"/>
            </w:rPr>
          </w:r>
        </w:p>
      </w:tc>
      <w:tc>
        <w:tcPr/>
        <w:p w:rsidR="00000000" w:rsidDel="00000000" w:rsidP="00000000" w:rsidRDefault="00000000" w:rsidRPr="00000000" w14:paraId="000000E6">
          <w:pPr>
            <w:keepNext w:val="0"/>
            <w:keepLines w:val="0"/>
            <w:widowControl w:val="0"/>
            <w:shd w:fill="auto" w:val="clear"/>
            <w:tabs>
              <w:tab w:val="center" w:pos="4153"/>
              <w:tab w:val="right" w:pos="8306"/>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title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Continuous Mathematical Foundation</w:t>
          </w:r>
          <w:r w:rsidDel="00000000" w:rsidR="00000000" w:rsidRPr="00000000">
            <w:rPr>
              <w:rtl w:val="0"/>
            </w:rPr>
          </w:r>
        </w:p>
      </w:tc>
      <w:tc>
        <w:tcPr/>
        <w:p w:rsidR="00000000" w:rsidDel="00000000" w:rsidP="00000000" w:rsidRDefault="00000000" w:rsidRPr="00000000" w14:paraId="000000E7">
          <w:pPr>
            <w:keepNext w:val="0"/>
            <w:keepLines w:val="0"/>
            <w:widowControl w:val="0"/>
            <w:shd w:fill="auto" w:val="clear"/>
            <w:tabs>
              <w:tab w:val="center" w:pos="4153"/>
              <w:tab w:val="right" w:pos="8306"/>
            </w:tabs>
            <w:spacing w:after="0" w:before="0" w:line="240" w:lineRule="auto"/>
            <w:ind w:left="0" w:right="0" w:firstLine="0"/>
            <w:jc w:val="right"/>
            <w:rPr>
              <w:rFonts w:ascii="Arial" w:cs="Arial" w:eastAsia="Arial" w:hAnsi="Arial"/>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8">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UOS Blake" w:cs="TUOS Blake" w:eastAsia="TUOS Blake" w:hAnsi="TUOS Blake"/>
        <w:sz w:val="20"/>
        <w:szCs w:val="20"/>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7.jpg"/><Relationship Id="rId8" Type="http://schemas.openxmlformats.org/officeDocument/2006/relationships/hyperlink" Target="https://goo.gl/Zy2ro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