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BA8E3D">
      <w:pPr>
        <w:tabs>
          <w:tab w:val="center" w:pos="3275"/>
          <w:tab w:val="center" w:pos="4747"/>
        </w:tabs>
        <w:spacing w:after="114" w:line="259" w:lineRule="auto"/>
        <w:ind w:left="0" w:firstLine="0"/>
      </w:pPr>
      <w:r>
        <w:tab/>
      </w:r>
      <w:r>
        <w:rPr>
          <w:rFonts w:ascii="Segoe UI Emoji" w:hAnsi="Segoe UI Emoji" w:eastAsia="Segoe UI Emoji" w:cs="Segoe UI Emoji"/>
          <w:color w:val="CCCCCC"/>
          <w:sz w:val="28"/>
        </w:rPr>
        <w:t>ˆ</w:t>
      </w:r>
      <w:r>
        <w:rPr>
          <w:rFonts w:ascii="Segoe UI Emoji" w:hAnsi="Segoe UI Emoji" w:eastAsia="Segoe UI Emoji" w:cs="Segoe UI Emoji"/>
          <w:color w:val="E3E3E3"/>
          <w:sz w:val="28"/>
        </w:rPr>
        <w:t xml:space="preserve">_ </w:t>
      </w:r>
      <w:r>
        <w:rPr>
          <w:rFonts w:ascii="Segoe UI Emoji" w:hAnsi="Segoe UI Emoji" w:eastAsia="Segoe UI Emoji" w:cs="Segoe UI Emoji"/>
          <w:color w:val="E3E3E3"/>
          <w:sz w:val="28"/>
        </w:rPr>
        <w:tab/>
      </w:r>
      <w:r>
        <w:rPr>
          <w:b/>
          <w:sz w:val="28"/>
        </w:rPr>
        <w:t xml:space="preserve">Project Information </w:t>
      </w:r>
    </w:p>
    <w:p w14:paraId="69EF7640">
      <w:pPr>
        <w:spacing w:after="114" w:line="259" w:lineRule="auto"/>
        <w:ind w:left="10" w:right="87"/>
        <w:jc w:val="center"/>
      </w:pPr>
      <w:r>
        <w:rPr>
          <w:b/>
          <w:sz w:val="28"/>
        </w:rPr>
        <w:t xml:space="preserve">DA Assignment-1 </w:t>
      </w:r>
    </w:p>
    <w:p w14:paraId="4C10FAF5">
      <w:pPr>
        <w:spacing w:after="189" w:line="259" w:lineRule="auto"/>
        <w:ind w:left="0" w:firstLine="0"/>
      </w:pPr>
    </w:p>
    <w:p w14:paraId="42785C79">
      <w:pPr>
        <w:spacing w:after="134" w:line="259" w:lineRule="auto"/>
        <w:ind w:left="19"/>
      </w:pPr>
      <w:r>
        <w:rPr>
          <w:rFonts w:ascii="Segoe UI Emoji" w:hAnsi="Segoe UI Emoji" w:eastAsia="Segoe UI Emoji" w:cs="Segoe UI Emoji"/>
          <w:color w:val="0078D5"/>
        </w:rPr>
        <w:t>■</w:t>
      </w:r>
      <w:r>
        <w:rPr>
          <w:rFonts w:ascii="Arial" w:hAnsi="Arial" w:eastAsia="Arial" w:cs="Arial"/>
          <w:color w:val="0078D5"/>
        </w:rPr>
        <w:t xml:space="preserve"> </w:t>
      </w:r>
      <w:r>
        <w:rPr>
          <w:b/>
        </w:rPr>
        <w:t xml:space="preserve">Bar Chart – Total Sales by Product Line </w:t>
      </w:r>
    </w:p>
    <w:p w14:paraId="1E807523">
      <w:pPr>
        <w:spacing w:after="31" w:line="259" w:lineRule="auto"/>
        <w:ind w:left="19"/>
      </w:pPr>
      <w:r>
        <w:rPr>
          <w:b/>
        </w:rPr>
        <w:t xml:space="preserve">Caption: </w:t>
      </w:r>
    </w:p>
    <w:p w14:paraId="411A77C3">
      <w:pPr>
        <w:ind w:left="19" w:right="204"/>
      </w:pPr>
      <w:r>
        <w:t>This</w:t>
      </w:r>
      <w:r>
        <w:rPr>
          <w:rFonts w:hint="default"/>
          <w:lang w:val="en-US"/>
        </w:rPr>
        <w:t xml:space="preserve"> </w:t>
      </w:r>
      <w:r>
        <w:t>bar</w:t>
      </w:r>
      <w:r>
        <w:rPr>
          <w:rFonts w:hint="default"/>
          <w:lang w:val="en-US"/>
        </w:rPr>
        <w:t xml:space="preserve"> </w:t>
      </w:r>
      <w:r>
        <w:t>chart</w:t>
      </w:r>
      <w:r>
        <w:rPr>
          <w:rFonts w:hint="default"/>
          <w:lang w:val="en-US"/>
        </w:rPr>
        <w:t xml:space="preserve"> </w:t>
      </w:r>
      <w:r>
        <w:t>represents</w:t>
      </w:r>
      <w:r>
        <w:rPr>
          <w:rFonts w:hint="default"/>
          <w:lang w:val="en-US"/>
        </w:rPr>
        <w:t xml:space="preserve"> </w:t>
      </w:r>
      <w:r>
        <w:t>the</w:t>
      </w:r>
      <w:r>
        <w:rPr>
          <w:rFonts w:hint="default"/>
          <w:lang w:val="en-US"/>
        </w:rPr>
        <w:t xml:space="preserve"> </w:t>
      </w:r>
      <w:r>
        <w:t>total</w:t>
      </w:r>
      <w:r>
        <w:rPr>
          <w:rFonts w:hint="default"/>
          <w:lang w:val="en-US"/>
        </w:rPr>
        <w:t xml:space="preserve"> </w:t>
      </w:r>
      <w:r>
        <w:t>sales</w:t>
      </w:r>
      <w:r>
        <w:rPr>
          <w:rFonts w:hint="default"/>
          <w:lang w:val="en-US"/>
        </w:rPr>
        <w:t xml:space="preserve"> </w:t>
      </w:r>
      <w:r>
        <w:t>generated</w:t>
      </w:r>
      <w:r>
        <w:rPr>
          <w:rFonts w:hint="default"/>
          <w:lang w:val="en-US"/>
        </w:rPr>
        <w:t xml:space="preserve"> </w:t>
      </w:r>
      <w:r>
        <w:t>by</w:t>
      </w:r>
      <w:r>
        <w:rPr>
          <w:rFonts w:hint="default"/>
          <w:lang w:val="en-US"/>
        </w:rPr>
        <w:t xml:space="preserve"> </w:t>
      </w:r>
      <w:r>
        <w:t>each</w:t>
      </w:r>
      <w:r>
        <w:rPr>
          <w:rFonts w:hint="default"/>
          <w:lang w:val="en-US"/>
        </w:rPr>
        <w:t xml:space="preserve"> </w:t>
      </w:r>
      <w:r>
        <w:t>product</w:t>
      </w:r>
      <w:r>
        <w:rPr>
          <w:rFonts w:hint="default"/>
          <w:lang w:val="en-US"/>
        </w:rPr>
        <w:t xml:space="preserve"> </w:t>
      </w:r>
      <w:r>
        <w:t>line</w:t>
      </w:r>
      <w:r>
        <w:rPr>
          <w:rFonts w:hint="default"/>
          <w:lang w:val="en-US"/>
        </w:rPr>
        <w:t xml:space="preserve"> </w:t>
      </w:r>
      <w:r>
        <w:t>across</w:t>
      </w:r>
      <w:r>
        <w:rPr>
          <w:rFonts w:hint="default"/>
          <w:lang w:val="en-US"/>
        </w:rPr>
        <w:t xml:space="preserve"> </w:t>
      </w:r>
      <w:r>
        <w:t>all</w:t>
      </w:r>
      <w:r>
        <w:rPr>
          <w:rFonts w:hint="default"/>
          <w:lang w:val="en-US"/>
        </w:rPr>
        <w:t xml:space="preserve"> </w:t>
      </w:r>
      <w:r>
        <w:t>branches.It</w:t>
      </w:r>
      <w:r>
        <w:rPr>
          <w:rFonts w:hint="default"/>
          <w:lang w:val="en-US"/>
        </w:rPr>
        <w:t xml:space="preserve"> </w:t>
      </w:r>
      <w:r>
        <w:t xml:space="preserve">shows that </w:t>
      </w:r>
      <w:r>
        <w:rPr>
          <w:i/>
        </w:rPr>
        <w:t>Food and Beverages</w:t>
      </w:r>
      <w:r>
        <w:t xml:space="preserve">, </w:t>
      </w:r>
      <w:r>
        <w:rPr>
          <w:i/>
        </w:rPr>
        <w:t>Electronic Accessories</w:t>
      </w:r>
      <w:r>
        <w:t xml:space="preserve">, and </w:t>
      </w:r>
      <w:r>
        <w:rPr>
          <w:i/>
        </w:rPr>
        <w:t xml:space="preserve">Fashion Accessories </w:t>
      </w:r>
      <w:r>
        <w:t xml:space="preserve">are among the top contributors in revenue. </w:t>
      </w:r>
    </w:p>
    <w:p w14:paraId="2F714896">
      <w:pPr>
        <w:spacing w:after="0" w:line="259" w:lineRule="auto"/>
        <w:ind w:left="0" w:firstLine="0"/>
      </w:pPr>
      <w:r>
        <w:rPr>
          <w:sz w:val="10"/>
        </w:rPr>
        <w:t xml:space="preserve"> </w:t>
      </w:r>
    </w:p>
    <w:p w14:paraId="27FA66AE">
      <w:pPr>
        <w:spacing w:after="211" w:line="259" w:lineRule="auto"/>
        <w:ind w:left="24" w:firstLine="0"/>
      </w:pPr>
      <w:r>
        <w:drawing>
          <wp:inline distT="0" distB="0" distL="0" distR="0">
            <wp:extent cx="5252085" cy="170942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466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DFED">
      <w:pPr>
        <w:spacing w:after="31" w:line="259" w:lineRule="auto"/>
        <w:ind w:left="19"/>
      </w:pPr>
      <w:r>
        <w:rPr>
          <w:rFonts w:ascii="Segoe UI Emoji" w:hAnsi="Segoe UI Emoji" w:eastAsia="Segoe UI Emoji" w:cs="Segoe UI Emoji"/>
          <w:color w:val="0078D5"/>
        </w:rPr>
        <w:t>■</w:t>
      </w:r>
      <w:r>
        <w:rPr>
          <w:rFonts w:ascii="Segoe UI Emoji" w:hAnsi="Segoe UI Emoji" w:eastAsia="Segoe UI Emoji" w:cs="Segoe UI Emoji"/>
          <w:color w:val="FFFFFF"/>
        </w:rPr>
        <w:t>2</w:t>
      </w:r>
      <w:r>
        <w:rPr>
          <w:b/>
        </w:rPr>
        <w:t>Pie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>Chart–Payment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>Method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 xml:space="preserve">Distribution Caption: </w:t>
      </w:r>
    </w:p>
    <w:p w14:paraId="16386237">
      <w:pPr>
        <w:ind w:left="19"/>
      </w:pPr>
      <w:r>
        <w:t>This</w:t>
      </w:r>
      <w:r>
        <w:rPr>
          <w:rFonts w:hint="default"/>
          <w:lang w:val="en-US"/>
        </w:rPr>
        <w:t xml:space="preserve"> </w:t>
      </w:r>
      <w:r>
        <w:t>pie</w:t>
      </w:r>
      <w:r>
        <w:rPr>
          <w:rFonts w:hint="default"/>
          <w:lang w:val="en-US"/>
        </w:rPr>
        <w:t xml:space="preserve"> </w:t>
      </w:r>
      <w:r>
        <w:t>chart</w:t>
      </w:r>
      <w:r>
        <w:rPr>
          <w:rFonts w:hint="default"/>
          <w:lang w:val="en-US"/>
        </w:rPr>
        <w:t xml:space="preserve"> </w:t>
      </w:r>
      <w:r>
        <w:t>displays</w:t>
      </w:r>
      <w:r>
        <w:rPr>
          <w:rFonts w:hint="default"/>
          <w:lang w:val="en-US"/>
        </w:rPr>
        <w:t xml:space="preserve"> </w:t>
      </w:r>
      <w:r>
        <w:t>the</w:t>
      </w:r>
      <w:r>
        <w:rPr>
          <w:rFonts w:hint="default"/>
          <w:lang w:val="en-US"/>
        </w:rPr>
        <w:t xml:space="preserve"> </w:t>
      </w:r>
      <w:r>
        <w:t>distribution</w:t>
      </w:r>
      <w:r>
        <w:rPr>
          <w:rFonts w:hint="default"/>
          <w:lang w:val="en-US"/>
        </w:rPr>
        <w:t xml:space="preserve"> </w:t>
      </w:r>
      <w:r>
        <w:t>of</w:t>
      </w:r>
      <w:r>
        <w:rPr>
          <w:rFonts w:hint="default"/>
          <w:lang w:val="en-US"/>
        </w:rPr>
        <w:t xml:space="preserve"> </w:t>
      </w:r>
      <w:r>
        <w:t>customer</w:t>
      </w:r>
      <w:r>
        <w:rPr>
          <w:rFonts w:hint="default"/>
          <w:lang w:val="en-US"/>
        </w:rPr>
        <w:t xml:space="preserve"> </w:t>
      </w:r>
      <w:r>
        <w:t>payment</w:t>
      </w:r>
      <w:r>
        <w:rPr>
          <w:rFonts w:hint="default"/>
          <w:lang w:val="en-US"/>
        </w:rPr>
        <w:t xml:space="preserve"> </w:t>
      </w:r>
      <w:r>
        <w:t>methods.The</w:t>
      </w:r>
      <w:r>
        <w:rPr>
          <w:rFonts w:hint="default"/>
          <w:lang w:val="en-US"/>
        </w:rPr>
        <w:t xml:space="preserve"> </w:t>
      </w:r>
      <w:r>
        <w:t>three</w:t>
      </w:r>
      <w:r>
        <w:rPr>
          <w:rFonts w:hint="default"/>
          <w:lang w:val="en-US"/>
        </w:rPr>
        <w:t xml:space="preserve"> </w:t>
      </w:r>
      <w:r>
        <w:t>payment</w:t>
      </w:r>
      <w:r>
        <w:rPr>
          <w:rFonts w:hint="default"/>
          <w:lang w:val="en-US"/>
        </w:rPr>
        <w:t xml:space="preserve"> </w:t>
      </w:r>
      <w:r>
        <w:t xml:space="preserve">methods include </w:t>
      </w:r>
      <w:r>
        <w:rPr>
          <w:i/>
        </w:rPr>
        <w:t>Cash</w:t>
      </w:r>
      <w:r>
        <w:t xml:space="preserve">, </w:t>
      </w:r>
      <w:r>
        <w:rPr>
          <w:i/>
        </w:rPr>
        <w:t>Credit Card</w:t>
      </w:r>
      <w:r>
        <w:t xml:space="preserve">, and </w:t>
      </w:r>
      <w:r>
        <w:rPr>
          <w:i/>
        </w:rPr>
        <w:t>Ewallet</w:t>
      </w:r>
      <w:r>
        <w:t xml:space="preserve">, with </w:t>
      </w:r>
    </w:p>
    <w:p w14:paraId="0C1C86AA">
      <w:pPr>
        <w:spacing w:after="0" w:line="259" w:lineRule="auto"/>
        <w:ind w:left="0" w:firstLine="0"/>
        <w:jc w:val="right"/>
      </w:pPr>
      <w:r>
        <w:drawing>
          <wp:inline distT="0" distB="0" distL="0" distR="0">
            <wp:extent cx="5779135" cy="1673225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9516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3D66E174">
      <w:pPr>
        <w:ind w:left="19"/>
      </w:pPr>
      <w:r>
        <w:t>Cash</w:t>
      </w:r>
      <w:r>
        <w:rPr>
          <w:rFonts w:hint="default"/>
          <w:lang w:val="en-US"/>
        </w:rPr>
        <w:t xml:space="preserve"> </w:t>
      </w:r>
      <w:r>
        <w:t>being</w:t>
      </w:r>
      <w:r>
        <w:rPr>
          <w:rFonts w:hint="default"/>
          <w:lang w:val="en-US"/>
        </w:rPr>
        <w:t xml:space="preserve"> </w:t>
      </w:r>
      <w:r>
        <w:t>the</w:t>
      </w:r>
      <w:r>
        <w:rPr>
          <w:rFonts w:hint="default"/>
          <w:lang w:val="en-US"/>
        </w:rPr>
        <w:t xml:space="preserve"> </w:t>
      </w:r>
      <w:r>
        <w:t>most</w:t>
      </w:r>
      <w:r>
        <w:rPr>
          <w:rFonts w:hint="default"/>
          <w:lang w:val="en-US"/>
        </w:rPr>
        <w:t xml:space="preserve"> </w:t>
      </w:r>
      <w:r>
        <w:t>frequently</w:t>
      </w:r>
      <w:r>
        <w:rPr>
          <w:rFonts w:hint="default"/>
          <w:lang w:val="en-US"/>
        </w:rPr>
        <w:t xml:space="preserve"> </w:t>
      </w:r>
      <w:r>
        <w:t xml:space="preserve">used. </w:t>
      </w:r>
    </w:p>
    <w:p w14:paraId="2EE3F3BC">
      <w:pPr>
        <w:spacing w:after="0" w:line="259" w:lineRule="auto"/>
        <w:ind w:left="0" w:firstLine="0"/>
      </w:pPr>
      <w:r>
        <w:t xml:space="preserve"> </w:t>
      </w:r>
    </w:p>
    <w:p w14:paraId="7A0A4FE8">
      <w:pPr>
        <w:spacing w:after="69" w:line="259" w:lineRule="auto"/>
        <w:ind w:left="0" w:firstLine="0"/>
      </w:pPr>
      <w:r>
        <w:t xml:space="preserve"> </w:t>
      </w:r>
    </w:p>
    <w:p w14:paraId="78A86499">
      <w:pPr>
        <w:spacing w:after="199" w:line="259" w:lineRule="auto"/>
        <w:ind w:left="0" w:firstLine="0"/>
      </w:pPr>
      <w:r>
        <w:t xml:space="preserve"> </w:t>
      </w:r>
    </w:p>
    <w:p w14:paraId="6F284262">
      <w:pPr>
        <w:spacing w:after="130" w:line="259" w:lineRule="auto"/>
        <w:ind w:left="19"/>
      </w:pPr>
      <w:r>
        <w:rPr>
          <w:rFonts w:ascii="Segoe UI Emoji" w:hAnsi="Segoe UI Emoji" w:eastAsia="Segoe UI Emoji" w:cs="Segoe UI Emoji"/>
          <w:color w:val="0078D5"/>
        </w:rPr>
        <w:t>■</w:t>
      </w:r>
      <w:r>
        <w:rPr>
          <w:rFonts w:ascii="Arial" w:hAnsi="Arial" w:eastAsia="Arial" w:cs="Arial"/>
          <w:color w:val="0078D5"/>
        </w:rPr>
        <w:t xml:space="preserve"> </w:t>
      </w:r>
      <w:r>
        <w:rPr>
          <w:b/>
        </w:rPr>
        <w:t>Stacked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>Bar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>Chart–Gender-wise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>Sales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>across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 xml:space="preserve">Branches </w:t>
      </w:r>
    </w:p>
    <w:p w14:paraId="76878CBB">
      <w:pPr>
        <w:spacing w:after="31" w:line="259" w:lineRule="auto"/>
        <w:ind w:left="19"/>
      </w:pPr>
      <w:r>
        <w:rPr>
          <w:b/>
        </w:rPr>
        <w:t xml:space="preserve">Caption: </w:t>
      </w:r>
    </w:p>
    <w:p w14:paraId="492EC7C3">
      <w:pPr>
        <w:spacing w:after="162"/>
        <w:ind w:left="19"/>
      </w:pPr>
      <w:r>
        <w:t>This</w:t>
      </w:r>
      <w:r>
        <w:rPr>
          <w:rFonts w:hint="default"/>
          <w:lang w:val="en-US"/>
        </w:rPr>
        <w:t xml:space="preserve"> </w:t>
      </w:r>
      <w:r>
        <w:t>stacked</w:t>
      </w:r>
      <w:r>
        <w:rPr>
          <w:rFonts w:hint="default"/>
          <w:lang w:val="en-US"/>
        </w:rPr>
        <w:t xml:space="preserve"> </w:t>
      </w:r>
      <w:r>
        <w:t>bar char</w:t>
      </w:r>
      <w:r>
        <w:rPr>
          <w:rFonts w:hint="default"/>
          <w:lang w:val="en-US"/>
        </w:rPr>
        <w:t xml:space="preserve">t </w:t>
      </w:r>
      <w:r>
        <w:t>compares</w:t>
      </w:r>
      <w:r>
        <w:rPr>
          <w:rFonts w:hint="default"/>
          <w:lang w:val="en-US"/>
        </w:rPr>
        <w:t xml:space="preserve"> </w:t>
      </w:r>
      <w:r>
        <w:t>total sales</w:t>
      </w:r>
      <w:r>
        <w:rPr>
          <w:rFonts w:hint="default"/>
          <w:lang w:val="en-US"/>
        </w:rPr>
        <w:t xml:space="preserve"> </w:t>
      </w:r>
      <w:r>
        <w:t>from</w:t>
      </w:r>
      <w:r>
        <w:rPr>
          <w:rFonts w:hint="default"/>
          <w:lang w:val="en-US"/>
        </w:rPr>
        <w:t xml:space="preserve"> </w:t>
      </w:r>
      <w:r>
        <w:t>male</w:t>
      </w:r>
      <w:r>
        <w:rPr>
          <w:rFonts w:hint="default"/>
          <w:lang w:val="en-US"/>
        </w:rPr>
        <w:t xml:space="preserve"> </w:t>
      </w:r>
      <w:r>
        <w:t>and</w:t>
      </w:r>
      <w:r>
        <w:rPr>
          <w:rFonts w:hint="default"/>
          <w:lang w:val="en-US"/>
        </w:rPr>
        <w:t xml:space="preserve"> </w:t>
      </w:r>
      <w:r>
        <w:t>female</w:t>
      </w:r>
      <w:r>
        <w:rPr>
          <w:rFonts w:hint="default"/>
          <w:lang w:val="en-US"/>
        </w:rPr>
        <w:t xml:space="preserve"> </w:t>
      </w:r>
      <w:r>
        <w:t>customers</w:t>
      </w:r>
      <w:r>
        <w:rPr>
          <w:rFonts w:hint="default"/>
          <w:lang w:val="en-US"/>
        </w:rPr>
        <w:t xml:space="preserve"> </w:t>
      </w:r>
      <w:r>
        <w:t>in</w:t>
      </w:r>
      <w:r>
        <w:rPr>
          <w:rFonts w:hint="default"/>
          <w:lang w:val="en-US"/>
        </w:rPr>
        <w:t xml:space="preserve"> </w:t>
      </w:r>
      <w:r>
        <w:t>each</w:t>
      </w:r>
      <w:r>
        <w:rPr>
          <w:rFonts w:hint="default"/>
          <w:lang w:val="en-US"/>
        </w:rPr>
        <w:t xml:space="preserve"> </w:t>
      </w:r>
      <w:r>
        <w:t>branch(A,B, and</w:t>
      </w:r>
      <w:r>
        <w:rPr>
          <w:rFonts w:hint="default"/>
          <w:lang w:val="en-US"/>
        </w:rPr>
        <w:t xml:space="preserve"> </w:t>
      </w:r>
      <w:r>
        <w:t>C).The</w:t>
      </w:r>
      <w:r>
        <w:rPr>
          <w:rFonts w:hint="default"/>
          <w:lang w:val="en-US"/>
        </w:rPr>
        <w:t xml:space="preserve"> </w:t>
      </w:r>
      <w:r>
        <w:t>height</w:t>
      </w:r>
      <w:r>
        <w:rPr>
          <w:rFonts w:hint="default"/>
          <w:lang w:val="en-US"/>
        </w:rPr>
        <w:t xml:space="preserve"> </w:t>
      </w:r>
      <w:r>
        <w:t>of</w:t>
      </w:r>
      <w:r>
        <w:rPr>
          <w:rFonts w:hint="default"/>
          <w:lang w:val="en-US"/>
        </w:rPr>
        <w:t xml:space="preserve"> </w:t>
      </w:r>
      <w:r>
        <w:t>each</w:t>
      </w:r>
      <w:r>
        <w:rPr>
          <w:rFonts w:hint="default"/>
          <w:lang w:val="en-US"/>
        </w:rPr>
        <w:t xml:space="preserve"> </w:t>
      </w:r>
      <w:r>
        <w:t>bar</w:t>
      </w:r>
      <w:r>
        <w:rPr>
          <w:rFonts w:hint="default"/>
          <w:lang w:val="en-US"/>
        </w:rPr>
        <w:t xml:space="preserve"> </w:t>
      </w:r>
      <w:r>
        <w:t>shows</w:t>
      </w:r>
      <w:r>
        <w:rPr>
          <w:rFonts w:hint="default"/>
          <w:lang w:val="en-US"/>
        </w:rPr>
        <w:t xml:space="preserve"> </w:t>
      </w:r>
      <w:r>
        <w:t>total</w:t>
      </w:r>
      <w:r>
        <w:rPr>
          <w:rFonts w:hint="default"/>
          <w:lang w:val="en-US"/>
        </w:rPr>
        <w:t xml:space="preserve"> </w:t>
      </w:r>
      <w:r>
        <w:t>revenue,</w:t>
      </w:r>
      <w:r>
        <w:rPr>
          <w:rFonts w:hint="default"/>
          <w:lang w:val="en-US"/>
        </w:rPr>
        <w:t xml:space="preserve"> </w:t>
      </w:r>
      <w:r>
        <w:t>while</w:t>
      </w:r>
      <w:r>
        <w:rPr>
          <w:rFonts w:hint="default"/>
          <w:lang w:val="en-US"/>
        </w:rPr>
        <w:t xml:space="preserve"> </w:t>
      </w:r>
      <w:r>
        <w:t>the</w:t>
      </w:r>
      <w:r>
        <w:rPr>
          <w:rFonts w:hint="default"/>
          <w:lang w:val="en-US"/>
        </w:rPr>
        <w:t xml:space="preserve"> </w:t>
      </w:r>
      <w:r>
        <w:t>segments</w:t>
      </w:r>
      <w:r>
        <w:rPr>
          <w:rFonts w:hint="default"/>
          <w:lang w:val="en-US"/>
        </w:rPr>
        <w:t xml:space="preserve"> </w:t>
      </w:r>
      <w:r>
        <w:t>show</w:t>
      </w:r>
      <w:r>
        <w:rPr>
          <w:rFonts w:hint="default"/>
          <w:lang w:val="en-US"/>
        </w:rPr>
        <w:t xml:space="preserve"> </w:t>
      </w:r>
      <w:r>
        <w:t>gender</w:t>
      </w:r>
      <w:r>
        <w:rPr>
          <w:rFonts w:hint="default"/>
          <w:lang w:val="en-US"/>
        </w:rPr>
        <w:t xml:space="preserve"> </w:t>
      </w:r>
      <w:r>
        <w:t xml:space="preserve">contribution. </w:t>
      </w:r>
    </w:p>
    <w:p w14:paraId="22B257FD">
      <w:pPr>
        <w:ind w:left="19"/>
      </w:pPr>
      <w:r>
        <w:rPr>
          <w:i/>
        </w:rPr>
        <w:t>Insight:</w:t>
      </w:r>
      <w:r>
        <w:t>All</w:t>
      </w:r>
      <w:r>
        <w:rPr>
          <w:rFonts w:hint="default"/>
          <w:lang w:val="en-US"/>
        </w:rPr>
        <w:t xml:space="preserve"> </w:t>
      </w:r>
      <w:r>
        <w:t>branches</w:t>
      </w:r>
      <w:r>
        <w:rPr>
          <w:rFonts w:hint="default"/>
          <w:lang w:val="en-US"/>
        </w:rPr>
        <w:t xml:space="preserve"> </w:t>
      </w:r>
      <w:r>
        <w:t>maintain</w:t>
      </w:r>
      <w:r>
        <w:rPr>
          <w:rFonts w:hint="default"/>
          <w:lang w:val="en-US"/>
        </w:rPr>
        <w:t xml:space="preserve"> </w:t>
      </w:r>
      <w:r>
        <w:t>a</w:t>
      </w:r>
      <w:r>
        <w:rPr>
          <w:rFonts w:hint="default"/>
          <w:lang w:val="en-US"/>
        </w:rPr>
        <w:t xml:space="preserve"> </w:t>
      </w:r>
      <w:r>
        <w:t>balanced</w:t>
      </w:r>
      <w:r>
        <w:rPr>
          <w:rFonts w:hint="default"/>
          <w:lang w:val="en-US"/>
        </w:rPr>
        <w:t xml:space="preserve"> </w:t>
      </w:r>
      <w:r>
        <w:t>customer</w:t>
      </w:r>
      <w:r>
        <w:rPr>
          <w:rFonts w:hint="default"/>
          <w:lang w:val="en-US"/>
        </w:rPr>
        <w:t xml:space="preserve"> </w:t>
      </w:r>
      <w:r>
        <w:t>base</w:t>
      </w:r>
      <w:r>
        <w:rPr>
          <w:rFonts w:hint="default"/>
          <w:lang w:val="en-US"/>
        </w:rPr>
        <w:t xml:space="preserve"> </w:t>
      </w:r>
      <w:r>
        <w:t>across</w:t>
      </w:r>
      <w:r>
        <w:rPr>
          <w:rFonts w:hint="default"/>
          <w:lang w:val="en-US"/>
        </w:rPr>
        <w:t xml:space="preserve"> </w:t>
      </w:r>
      <w:r>
        <w:t>genders,</w:t>
      </w:r>
      <w:r>
        <w:rPr>
          <w:rFonts w:hint="default"/>
          <w:lang w:val="en-US"/>
        </w:rPr>
        <w:t xml:space="preserve"> </w:t>
      </w:r>
      <w:r>
        <w:t>with</w:t>
      </w:r>
      <w:r>
        <w:rPr>
          <w:rFonts w:hint="default"/>
          <w:lang w:val="en-US"/>
        </w:rPr>
        <w:t xml:space="preserve"> </w:t>
      </w:r>
      <w:r>
        <w:t>slight</w:t>
      </w:r>
      <w:r>
        <w:rPr>
          <w:rFonts w:hint="default"/>
          <w:lang w:val="en-US"/>
        </w:rPr>
        <w:t xml:space="preserve"> </w:t>
      </w:r>
      <w:r>
        <w:t xml:space="preserve">variances. </w:t>
      </w:r>
    </w:p>
    <w:p w14:paraId="2EE637B7">
      <w:pPr>
        <w:spacing w:after="0" w:line="259" w:lineRule="auto"/>
        <w:ind w:left="0" w:firstLine="0"/>
      </w:pPr>
      <w:r>
        <w:rPr>
          <w:sz w:val="12"/>
        </w:rPr>
        <w:t xml:space="preserve"> </w:t>
      </w:r>
    </w:p>
    <w:p w14:paraId="50F420CD">
      <w:pPr>
        <w:spacing w:after="50" w:line="259" w:lineRule="auto"/>
        <w:ind w:left="24" w:right="-236" w:firstLine="0"/>
      </w:pPr>
      <w:r>
        <w:drawing>
          <wp:inline distT="0" distB="0" distL="0" distR="0">
            <wp:extent cx="5960745" cy="2841625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074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3097">
      <w:pPr>
        <w:spacing w:after="0" w:line="259" w:lineRule="auto"/>
        <w:ind w:left="0" w:firstLine="0"/>
      </w:pPr>
      <w:r>
        <w:t xml:space="preserve"> </w:t>
      </w:r>
    </w:p>
    <w:p w14:paraId="1CA3DBB6">
      <w:pPr>
        <w:spacing w:after="69" w:line="259" w:lineRule="auto"/>
        <w:ind w:left="0" w:firstLine="0"/>
      </w:pPr>
      <w:r>
        <w:t xml:space="preserve"> </w:t>
      </w:r>
    </w:p>
    <w:p w14:paraId="55309A33">
      <w:pPr>
        <w:spacing w:after="132" w:line="259" w:lineRule="auto"/>
        <w:ind w:left="0" w:firstLine="0"/>
      </w:pPr>
      <w:r>
        <w:t xml:space="preserve"> </w:t>
      </w:r>
    </w:p>
    <w:p w14:paraId="44988280">
      <w:pPr>
        <w:spacing w:after="31" w:line="259" w:lineRule="auto"/>
        <w:ind w:left="19"/>
      </w:pPr>
      <w:r>
        <w:rPr>
          <w:rFonts w:ascii="Segoe UI Emoji" w:hAnsi="Segoe UI Emoji" w:eastAsia="Segoe UI Emoji" w:cs="Segoe UI Emoji"/>
        </w:rPr>
        <w:t>■</w:t>
      </w:r>
      <w:r>
        <w:rPr>
          <w:rFonts w:ascii="Segoe UI Emoji" w:hAnsi="Segoe UI Emoji" w:eastAsia="Segoe UI Emoji" w:cs="Segoe UI Emoji"/>
          <w:color w:val="FFFFFF"/>
        </w:rPr>
        <w:t>f</w:t>
      </w:r>
      <w:r>
        <w:rPr>
          <w:b/>
        </w:rPr>
        <w:t>Bubble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>Chart–Rating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>vs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>Gross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 xml:space="preserve">Income Caption: </w:t>
      </w:r>
    </w:p>
    <w:p w14:paraId="29D33886">
      <w:pPr>
        <w:ind w:left="19"/>
      </w:pPr>
      <w:r>
        <w:t>This</w:t>
      </w:r>
      <w:r>
        <w:rPr>
          <w:rFonts w:hint="default"/>
          <w:lang w:val="en-US"/>
        </w:rPr>
        <w:t xml:space="preserve"> </w:t>
      </w:r>
      <w:r>
        <w:t>bubble</w:t>
      </w:r>
      <w:r>
        <w:rPr>
          <w:rFonts w:hint="default"/>
          <w:lang w:val="en-US"/>
        </w:rPr>
        <w:t xml:space="preserve"> </w:t>
      </w:r>
      <w:r>
        <w:t>chart</w:t>
      </w:r>
      <w:r>
        <w:rPr>
          <w:rFonts w:hint="default"/>
          <w:lang w:val="en-US"/>
        </w:rPr>
        <w:t xml:space="preserve"> </w:t>
      </w:r>
      <w:r>
        <w:t>shows</w:t>
      </w:r>
      <w:r>
        <w:rPr>
          <w:rFonts w:hint="default"/>
          <w:lang w:val="en-US"/>
        </w:rPr>
        <w:t xml:space="preserve"> </w:t>
      </w:r>
      <w:r>
        <w:t>the</w:t>
      </w:r>
      <w:r>
        <w:rPr>
          <w:rFonts w:hint="default"/>
          <w:lang w:val="en-US"/>
        </w:rPr>
        <w:t xml:space="preserve"> </w:t>
      </w:r>
      <w:r>
        <w:t>relationship</w:t>
      </w:r>
      <w:r>
        <w:rPr>
          <w:rFonts w:hint="default"/>
          <w:lang w:val="en-US"/>
        </w:rPr>
        <w:t xml:space="preserve"> </w:t>
      </w:r>
      <w:r>
        <w:t>between</w:t>
      </w:r>
      <w:r>
        <w:rPr>
          <w:rFonts w:hint="default"/>
          <w:lang w:val="en-US"/>
        </w:rPr>
        <w:t xml:space="preserve"> </w:t>
      </w:r>
      <w:r>
        <w:t>customer</w:t>
      </w:r>
      <w:r>
        <w:rPr>
          <w:rFonts w:hint="default"/>
          <w:lang w:val="en-US"/>
        </w:rPr>
        <w:t xml:space="preserve"> </w:t>
      </w:r>
      <w:r>
        <w:t>rating</w:t>
      </w:r>
      <w:r>
        <w:rPr>
          <w:rFonts w:hint="default"/>
          <w:lang w:val="en-US"/>
        </w:rPr>
        <w:t xml:space="preserve"> </w:t>
      </w:r>
      <w:r>
        <w:t>and</w:t>
      </w:r>
      <w:r>
        <w:rPr>
          <w:rFonts w:hint="default"/>
          <w:lang w:val="en-US"/>
        </w:rPr>
        <w:t xml:space="preserve"> </w:t>
      </w:r>
      <w:r>
        <w:t>gross</w:t>
      </w:r>
      <w:r>
        <w:rPr>
          <w:rFonts w:hint="default"/>
          <w:lang w:val="en-US"/>
        </w:rPr>
        <w:t xml:space="preserve"> </w:t>
      </w:r>
      <w:r>
        <w:t>income.Bubble</w:t>
      </w:r>
      <w:r>
        <w:rPr>
          <w:rFonts w:hint="default"/>
          <w:lang w:val="en-US"/>
        </w:rPr>
        <w:t xml:space="preserve"> </w:t>
      </w:r>
      <w:r>
        <w:t xml:space="preserve">size represents total transaction value, and colors indicate customer types (Member vs Normal). </w:t>
      </w:r>
    </w:p>
    <w:p w14:paraId="272C4639">
      <w:pPr>
        <w:ind w:left="19"/>
      </w:pPr>
      <w:r>
        <w:rPr>
          <w:i/>
        </w:rPr>
        <w:t>Insight:</w:t>
      </w:r>
      <w:r>
        <w:t>Higher-rated</w:t>
      </w:r>
      <w:r>
        <w:rPr>
          <w:rFonts w:hint="default"/>
          <w:lang w:val="en-US"/>
        </w:rPr>
        <w:t xml:space="preserve"> </w:t>
      </w:r>
      <w:r>
        <w:t>transactions</w:t>
      </w:r>
      <w:r>
        <w:rPr>
          <w:rFonts w:hint="default"/>
          <w:lang w:val="en-US"/>
        </w:rPr>
        <w:t xml:space="preserve"> </w:t>
      </w:r>
      <w:r>
        <w:t>are</w:t>
      </w:r>
      <w:r>
        <w:rPr>
          <w:rFonts w:hint="default"/>
          <w:lang w:val="en-US"/>
        </w:rPr>
        <w:t xml:space="preserve"> </w:t>
      </w:r>
      <w:r>
        <w:t>often associated with</w:t>
      </w:r>
      <w:r>
        <w:rPr>
          <w:rFonts w:hint="default"/>
          <w:lang w:val="en-US"/>
        </w:rPr>
        <w:t xml:space="preserve"> </w:t>
      </w:r>
      <w:r>
        <w:t>higher</w:t>
      </w:r>
      <w:r>
        <w:rPr>
          <w:rFonts w:hint="default"/>
          <w:lang w:val="en-US"/>
        </w:rPr>
        <w:t xml:space="preserve"> </w:t>
      </w:r>
      <w:r>
        <w:t>income and</w:t>
      </w:r>
      <w:r>
        <w:rPr>
          <w:rFonts w:hint="default"/>
          <w:lang w:val="en-US"/>
        </w:rPr>
        <w:t xml:space="preserve"> </w:t>
      </w:r>
      <w:r>
        <w:t>are</w:t>
      </w:r>
      <w:r>
        <w:rPr>
          <w:rFonts w:hint="default"/>
          <w:lang w:val="en-US"/>
        </w:rPr>
        <w:t xml:space="preserve"> </w:t>
      </w:r>
      <w:r>
        <w:t xml:space="preserve">largely from </w:t>
      </w:r>
    </w:p>
    <w:p w14:paraId="688EAE81">
      <w:pPr>
        <w:ind w:left="19"/>
      </w:pPr>
      <w:r>
        <w:t>Member</w:t>
      </w:r>
      <w:r>
        <w:rPr>
          <w:rFonts w:hint="default"/>
          <w:lang w:val="en-US"/>
        </w:rPr>
        <w:t xml:space="preserve"> </w:t>
      </w:r>
      <w:r>
        <w:t>customers.</w:t>
      </w:r>
      <w:r>
        <w:drawing>
          <wp:inline distT="0" distB="0" distL="0" distR="0">
            <wp:extent cx="4533900" cy="2247900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sectPr>
      <w:pgSz w:w="11909" w:h="16838"/>
      <w:pgMar w:top="1400" w:right="1318" w:bottom="3033" w:left="1416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8" w:lineRule="auto"/>
      </w:pPr>
      <w:r>
        <w:separator/>
      </w:r>
    </w:p>
  </w:footnote>
  <w:footnote w:type="continuationSeparator" w:id="1">
    <w:p>
      <w:pPr>
        <w:spacing w:before="0" w:after="0" w:line="25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1F"/>
    <w:rsid w:val="00096633"/>
    <w:rsid w:val="00675CAE"/>
    <w:rsid w:val="007A1DAF"/>
    <w:rsid w:val="00814C1F"/>
    <w:rsid w:val="560B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" w:line="258" w:lineRule="auto"/>
      <w:ind w:left="34" w:hanging="10"/>
    </w:pPr>
    <w:rPr>
      <w:rFonts w:ascii="Calibri" w:hAnsi="Calibri" w:eastAsia="Calibri" w:cs="Calibri"/>
      <w:color w:val="000000"/>
      <w:kern w:val="2"/>
      <w:sz w:val="22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174</Words>
  <Characters>995</Characters>
  <Lines>8</Lines>
  <Paragraphs>2</Paragraphs>
  <TotalTime>18</TotalTime>
  <ScaleCrop>false</ScaleCrop>
  <LinksUpToDate>false</LinksUpToDate>
  <CharactersWithSpaces>1167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2025-06-30T06:50:00Z</dcterms:created>
  <dc:creator>murali dhar</dc:creator>
  <cp:lastModifiedBy>HP</cp:lastModifiedBy>
  <dcterms:modified xsi:type="dcterms:W3CDTF">2025-07-02T03:58:35Z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C676C29E5A074B5E911B79760C309557_12</vt:lpwstr>
  </property>
</Properties>
</file>