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0" w:after="100"/>
        <w:jc w:val="center"/>
      </w:pPr>
      <w:r>
        <w:rPr>
          <w:rFonts w:ascii="Arial" w:cs="Arial" w:eastAsia="Arial" w:hAnsi="Arial"/>
          <w:b/>
          <w:bCs/>
          <w:color w:val="1F4E79"/>
          <w:sz w:val="72"/>
          <w:szCs w:val="72"/>
        </w:rPr>
        <w:t xml:space="preserve">MediGuard AI</w:t>
      </w:r>
    </w:p>
    <w:p>
      <w:pPr>
        <w:spacing w:before="0" w:after="80"/>
        <w:jc w:val="center"/>
      </w:pPr>
      <w:r>
        <w:rPr>
          <w:rFonts w:ascii="Arial" w:cs="Arial" w:eastAsia="Arial" w:hAnsi="Arial"/>
          <w:color w:val="2E75B6"/>
          <w:sz w:val="38"/>
          <w:szCs w:val="38"/>
        </w:rPr>
        <w:t xml:space="preserve">Domain &amp; Business Case</w:t>
      </w:r>
    </w:p>
    <w:p>
      <w:pPr>
        <w:spacing w:before="0" w:after="240"/>
        <w:jc w:val="center"/>
      </w:pPr>
      <w:r>
        <w:rPr>
          <w:rFonts w:ascii="Arial" w:cs="Arial" w:eastAsia="Arial" w:hAnsi="Arial"/>
          <w:color w:val="595959"/>
          <w:sz w:val="24"/>
          <w:szCs w:val="24"/>
        </w:rPr>
        <w:t xml:space="preserve">Healthcare FWA Problem  ·  Market Gap  ·  MediGuard AI Solution  ·  Innovation Roadmap</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Domain &amp; Business Case — Living Document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Version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v1.0  |  March 15,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Ram — Principal Consultant, LTIMindtree (PAHM Certified)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Audience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Domain-focused interviewers  |  Healthcare AI hiring managers  |  LTIMindtree internal pitch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Companion 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Doc 1: Technical Reference  |  Doc 3: Sprint Tracker  |  Doc 4: Positioning &amp; Outreach</w:t>
            </w:r>
          </w:p>
        </w:tc>
      </w:tr>
    </w:tbl>
    <w:p>
      <w:pPr>
        <w:pBdr>
          <w:bottom w:val="single" w:color="2E75B6" w:sz="6"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60"/>
              <w:left w:type="dxa" w:w="280"/>
              <w:bottom w:type="dxa" w:w="80"/>
              <w:right w:type="dxa" w:w="280"/>
            </w:tcMar>
          </w:tcPr>
          <w:p>
            <w:pPr>
              <w:pBdr>
                <w:left w:val="single" w:color="1F4E79" w:sz="18" w:space="8"/>
              </w:pBdr>
              <w:ind w:left="240"/>
            </w:pPr>
            <w:r>
              <w:rPr>
                <w:rFonts w:ascii="Arial" w:cs="Arial" w:eastAsia="Arial" w:hAnsi="Arial"/>
                <w:i/>
                <w:iCs/>
                <w:color w:val="1F4E79"/>
                <w:sz w:val="24"/>
                <w:szCs w:val="24"/>
              </w:rPr>
              <w:t xml:space="preserve">Healthcare fraud costs the US $300 billion annually. Legacy detection tools produce a score. MediGuard AI produces a clinical explanation — and that difference is what the next generation of FWA detection looks like.</w:t>
            </w:r>
          </w:p>
        </w:tc>
      </w:tr>
      <w:tr>
        <w:tc>
          <w:tcPr>
            <w:tcW w:type="dxa" w:w="9360"/>
            <w:tcBorders>
              <w:top w:val="single" w:color="CCCCCC" w:sz="1"/>
              <w:left w:val="single" w:color="CCCCCC" w:sz="1"/>
              <w:bottom w:val="single" w:color="CCCCCC" w:sz="1"/>
              <w:right w:val="single" w:color="CCCCCC" w:sz="1"/>
            </w:tcBorders>
            <w:shd w:fill="DEEAF1" w:val="clear"/>
            <w:tcMar>
              <w:top w:type="dxa" w:w="40"/>
              <w:left w:type="dxa" w:w="560"/>
              <w:bottom w:type="dxa" w:w="120"/>
              <w:right w:type="dxa" w:w="280"/>
            </w:tcMar>
          </w:tcPr>
          <w:p>
            <w:r>
              <w:rPr>
                <w:rFonts w:ascii="Arial" w:cs="Arial" w:eastAsia="Arial" w:hAnsi="Arial"/>
                <w:color w:val="595959"/>
                <w:sz w:val="20"/>
                <w:szCs w:val="20"/>
              </w:rPr>
              <w:t xml:space="preserve">— MediGuard AI — Domain &amp; Business Case v1.0</w:t>
            </w:r>
          </w:p>
        </w:tc>
      </w:tr>
    </w:tbl>
    <w:p>
      <w:r>
        <w:br w:type="page"/>
      </w:r>
    </w:p>
    <w:p>
      <w:pPr>
        <w:pStyle w:val="Heading1"/>
        <w:spacing w:before="360" w:after="160"/>
      </w:pPr>
      <w:r>
        <w:rPr>
          <w:rFonts w:ascii="Arial" w:cs="Arial" w:eastAsia="Arial" w:hAnsi="Arial"/>
          <w:b/>
          <w:bCs/>
          <w:color w:val="1F4E79"/>
          <w:sz w:val="34"/>
          <w:szCs w:val="34"/>
        </w:rPr>
        <w:t xml:space="preserve">1. The Problem — Healthcare FWA in the US</w:t>
      </w:r>
    </w:p>
    <w:p>
      <w:pPr>
        <w:pStyle w:val="Heading2"/>
        <w:spacing w:before="240" w:after="120"/>
      </w:pPr>
      <w:r>
        <w:rPr>
          <w:rFonts w:ascii="Arial" w:cs="Arial" w:eastAsia="Arial" w:hAnsi="Arial"/>
          <w:b/>
          <w:bCs/>
          <w:color w:val="2E75B6"/>
          <w:sz w:val="26"/>
          <w:szCs w:val="26"/>
        </w:rPr>
        <w:t xml:space="preserve">1.1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By the Numbers — US Healthcare Fraud, Waste &amp; Abuse</w:t>
            </w:r>
          </w:p>
        </w:tc>
      </w:tr>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$300 billion    — Estimated annual cost of healthcare fraud in the US (FBI estimate)</w:t>
            </w:r>
          </w:p>
          <w:p>
            <w:pPr>
              <w:spacing w:before="40" w:after="40"/>
            </w:pPr>
            <w:r>
              <w:rPr>
                <w:rFonts w:ascii="Arial" w:cs="Arial" w:eastAsia="Arial" w:hAnsi="Arial"/>
                <w:i w:val="false"/>
                <w:iCs w:val="false"/>
                <w:color w:val="111111"/>
                <w:sz w:val="21"/>
                <w:szCs w:val="21"/>
              </w:rPr>
              <w:t xml:space="preserve">$100+ billion   — Medicare and Medicaid fraud alone per year (CMS/OIG)</w:t>
            </w:r>
          </w:p>
          <w:p>
            <w:pPr>
              <w:spacing w:before="40" w:after="40"/>
            </w:pPr>
            <w:r>
              <w:rPr>
                <w:rFonts w:ascii="Arial" w:cs="Arial" w:eastAsia="Arial" w:hAnsi="Arial"/>
                <w:i w:val="false"/>
                <w:iCs w:val="false"/>
                <w:color w:val="111111"/>
                <w:sz w:val="21"/>
                <w:szCs w:val="21"/>
              </w:rPr>
              <w:t xml:space="preserve">10–15%          — Estimated percentage of all healthcare claims that contain FWA</w:t>
            </w:r>
          </w:p>
          <w:p>
            <w:pPr>
              <w:spacing w:before="40" w:after="40"/>
            </w:pPr>
            <w:r>
              <w:rPr>
                <w:rFonts w:ascii="Arial" w:cs="Arial" w:eastAsia="Arial" w:hAnsi="Arial"/>
                <w:i w:val="false"/>
                <w:iCs w:val="false"/>
                <w:color w:val="111111"/>
                <w:sz w:val="21"/>
                <w:szCs w:val="21"/>
              </w:rPr>
              <w:t xml:space="preserve">89%             — Rise in AI-generated fraudulent medical documents submitted to insurers (2025)</w:t>
            </w:r>
          </w:p>
          <w:p>
            <w:pPr>
              <w:spacing w:before="40" w:after="40"/>
            </w:pPr>
            <w:r>
              <w:rPr>
                <w:rFonts w:ascii="Arial" w:cs="Arial" w:eastAsia="Arial" w:hAnsi="Arial"/>
                <w:i w:val="false"/>
                <w:iCs w:val="false"/>
                <w:color w:val="111111"/>
                <w:sz w:val="21"/>
                <w:szCs w:val="21"/>
              </w:rPr>
              <w:t xml:space="preserve">$1 recovered    — For every $1 invested in anti-fraud programs, CMS recovers $4–$8</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FWA is not a niche problem — it is one of the largest drains on the US healthcare system.</w:t>
            </w:r>
          </w:p>
          <w:p>
            <w:pPr>
              <w:spacing w:before="40" w:after="40"/>
            </w:pPr>
            <w:r>
              <w:rPr>
                <w:rFonts w:ascii="Arial" w:cs="Arial" w:eastAsia="Arial" w:hAnsi="Arial"/>
                <w:i w:val="false"/>
                <w:iCs w:val="false"/>
                <w:color w:val="111111"/>
                <w:sz w:val="21"/>
                <w:szCs w:val="21"/>
              </w:rPr>
              <w:t xml:space="preserve">It directly inflates premiums, reduces care quality, and diverts resources from legitimate patients.</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1.2  Three Categories of FWA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Difficulty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Fraud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Intentional deception for financial gain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Billing for services never rendered (phantom billing)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Hard — requires pattern + intent evidence</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Waste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Unnecessary services with no criminal intent</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Ordering tests that duplicate existing results</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Medium — statistical outlier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Abuse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Improper billing practices, not necessarily fraud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Consistently billing highest E&amp;M code for simple cases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Medium — rule-based + LLM reasoning</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1.3  The Four FWA Patterns MediGuard AI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Clinical Description</w:t>
            </w:r>
          </w:p>
        </w:tc>
        <w:tc>
          <w:tcPr>
            <w:tcW w:type="dxa" w:w="28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Real-World Example</w:t>
            </w:r>
          </w:p>
        </w:tc>
        <w:tc>
          <w:tcPr>
            <w:tcW w:type="dxa" w:w="21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Annual CMS Loss 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Upcoding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Provider bills a higher-complexity service than delivered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99215 (highest E&amp;M) billed for a common cold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$11 billion</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Unbundling</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Billing separately for services included in a bundled code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36415 + 36416 billed together — NCCI violation</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$4 billion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ICD-CPT Mismatch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Procedure code doesn't match the diagnosis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Knee replacement billed with hip stiffness diagnosis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$6 billion</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Medically Unnecessary</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Services with no clinical justification</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Blood draw billed during wellness exam with no lab order</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$9 billion</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1.4  Why This Problem Is Getting Harder to Solve</w:t>
      </w:r>
    </w:p>
    <w:p>
      <w:pPr>
        <w:pStyle w:val="ListParagraph"/>
        <w:numPr>
          <w:ilvl w:val="0"/>
          <w:numId w:val="2"/>
        </w:numPr>
        <w:spacing w:before="40" w:after="40"/>
      </w:pPr>
      <w:r>
        <w:rPr>
          <w:rFonts w:ascii="Arial" w:cs="Arial" w:eastAsia="Arial" w:hAnsi="Arial"/>
          <w:color w:val="111111"/>
          <w:sz w:val="22"/>
          <w:szCs w:val="22"/>
        </w:rPr>
        <w:t xml:space="preserve">Fraudsters are adopting AI faster than detection systems can adapt — 89% rise in AI-generated medical documents in 2025</w:t>
      </w:r>
    </w:p>
    <w:p>
      <w:pPr>
        <w:pStyle w:val="ListParagraph"/>
        <w:numPr>
          <w:ilvl w:val="0"/>
          <w:numId w:val="2"/>
        </w:numPr>
        <w:spacing w:before="40" w:after="40"/>
      </w:pPr>
      <w:r>
        <w:rPr>
          <w:rFonts w:ascii="Arial" w:cs="Arial" w:eastAsia="Arial" w:hAnsi="Arial"/>
          <w:color w:val="111111"/>
          <w:sz w:val="22"/>
          <w:szCs w:val="22"/>
        </w:rPr>
        <w:t xml:space="preserve">Healthcare data volume is growing exponentially — FHIR APIs will expose billions of claims by 2027</w:t>
      </w:r>
    </w:p>
    <w:p>
      <w:pPr>
        <w:pStyle w:val="ListParagraph"/>
        <w:numPr>
          <w:ilvl w:val="0"/>
          <w:numId w:val="2"/>
        </w:numPr>
        <w:spacing w:before="40" w:after="40"/>
      </w:pPr>
      <w:r>
        <w:rPr>
          <w:rFonts w:ascii="Arial" w:cs="Arial" w:eastAsia="Arial" w:hAnsi="Arial"/>
          <w:color w:val="111111"/>
          <w:sz w:val="22"/>
          <w:szCs w:val="22"/>
        </w:rPr>
        <w:t xml:space="preserve">Legacy rule-based systems generate too many false positives — investigators are drowning in noise</w:t>
      </w:r>
    </w:p>
    <w:p>
      <w:pPr>
        <w:pStyle w:val="ListParagraph"/>
        <w:numPr>
          <w:ilvl w:val="0"/>
          <w:numId w:val="2"/>
        </w:numPr>
        <w:spacing w:before="40" w:after="40"/>
      </w:pPr>
      <w:r>
        <w:rPr>
          <w:rFonts w:ascii="Arial" w:cs="Arial" w:eastAsia="Arial" w:hAnsi="Arial"/>
          <w:color w:val="111111"/>
          <w:sz w:val="22"/>
          <w:szCs w:val="22"/>
        </w:rPr>
        <w:t xml:space="preserve">Investigator shortage — SIU teams need pre-built cases, not raw flags, to prosecute effectively</w:t>
      </w:r>
    </w:p>
    <w:p>
      <w:pPr>
        <w:pStyle w:val="ListParagraph"/>
        <w:numPr>
          <w:ilvl w:val="0"/>
          <w:numId w:val="2"/>
        </w:numPr>
        <w:spacing w:before="40" w:after="40"/>
      </w:pPr>
      <w:r>
        <w:rPr>
          <w:rFonts w:ascii="Arial" w:cs="Arial" w:eastAsia="Arial" w:hAnsi="Arial"/>
          <w:color w:val="111111"/>
          <w:sz w:val="22"/>
          <w:szCs w:val="22"/>
        </w:rPr>
        <w:t xml:space="preserve">Coordinated fraud rings are becoming more sophisticated — individual claim analysis misses scheme-level patterns</w:t>
      </w:r>
    </w:p>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2. Market Landscape — Who's Playing and Where the Gaps Are</w:t>
      </w:r>
    </w:p>
    <w:p>
      <w:pPr>
        <w:pStyle w:val="Heading2"/>
        <w:spacing w:before="240" w:after="120"/>
      </w:pPr>
      <w:r>
        <w:rPr>
          <w:rFonts w:ascii="Arial" w:cs="Arial" w:eastAsia="Arial" w:hAnsi="Arial"/>
          <w:b/>
          <w:bCs/>
          <w:color w:val="2E75B6"/>
          <w:sz w:val="26"/>
          <w:szCs w:val="26"/>
        </w:rPr>
        <w:t xml:space="preserve">2.1  Established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Position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Approach</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Known Weakness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Cotiviti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Dominant — serves 70%+ of US commercial payers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Rules engine + statistical models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No AI explainability; black-box scores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Optum Insight</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Enterprise — UnitedHealth Group subsidiary</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Claims editing + predictive analytics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Proprietary lock-in; limited FHIR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Gainwell / HMS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Government programs — Medicaid focus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Rules-based with some 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Legacy architecture; slow to adopt GenAI</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Change Healthcare</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Transaction processing + fraud detection</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Network analytics + rules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Post-cyberattack reputation risk (2024)</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2.2  AI-Native Challengers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4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Funding</w:t>
            </w:r>
          </w:p>
        </w:tc>
        <w:tc>
          <w:tcPr>
            <w:tcW w:type="dxa" w:w="3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Differentiation</w:t>
            </w:r>
          </w:p>
        </w:tc>
        <w:tc>
          <w:tcPr>
            <w:tcW w:type="dxa" w:w="29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Gap vs. MediGuard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Codoxo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$35M Series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GenAI narratives (recent addition), behavioral analytics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Our narratives have deeper clinical reasoning; open FHIR architecture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Alivia Analytics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Series B</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AI-native, real-time claim scoring</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No plain-English SIU-ready case narrative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Healthcare Fraud Shield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Growth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Pharmacy focus, network analysis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Limited to pharmacy; no FHIR-native design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GDIT (CMS contract)</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Government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Processes 4.5M claims/day for CMS</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Infrastructure play; no GenAI narrative layer</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2.3  The Gap MediGuard AI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What Nobody Does End-to-End Yet</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Current state of the market:</w:t>
            </w:r>
          </w:p>
          <w:p>
            <w:pPr>
              <w:spacing w:before="40" w:after="40"/>
            </w:pPr>
            <w:r>
              <w:rPr>
                <w:rFonts w:ascii="Arial" w:cs="Arial" w:eastAsia="Arial" w:hAnsi="Arial"/>
                <w:i w:val="false"/>
                <w:iCs w:val="false"/>
                <w:color w:val="111111"/>
                <w:sz w:val="20"/>
                <w:szCs w:val="20"/>
              </w:rPr>
              <w:t xml:space="preserve">  • Legacy vendors:      Rules + scores. No explanation. Investigators still interpret manually.</w:t>
            </w:r>
          </w:p>
          <w:p>
            <w:pPr>
              <w:spacing w:before="40" w:after="40"/>
            </w:pPr>
            <w:r>
              <w:rPr>
                <w:rFonts w:ascii="Arial" w:cs="Arial" w:eastAsia="Arial" w:hAnsi="Arial"/>
                <w:i w:val="false"/>
                <w:iCs w:val="false"/>
                <w:color w:val="111111"/>
                <w:sz w:val="20"/>
                <w:szCs w:val="20"/>
              </w:rPr>
              <w:t xml:space="preserve">  • AI challengers:      Better scores. Some narrative. But not FHIR-native and not scheme-level.</w:t>
            </w:r>
          </w:p>
          <w:p>
            <w:pPr>
              <w:spacing w:before="40" w:after="40"/>
            </w:pPr>
            <w:r>
              <w:rPr>
                <w:rFonts w:ascii="Arial" w:cs="Arial" w:eastAsia="Arial" w:hAnsi="Arial"/>
                <w:i w:val="false"/>
                <w:iCs w:val="false"/>
                <w:color w:val="111111"/>
                <w:sz w:val="20"/>
                <w:szCs w:val="20"/>
              </w:rPr>
              <w:t xml:space="preserve">  • Nobody:              Plain-English clinical narrative + scheme detection + persona-adaptive reports</w:t>
            </w:r>
          </w:p>
          <w:p>
            <w:pPr>
              <w:spacing w:before="40" w:after="40"/>
            </w:pPr>
            <w:r>
              <w:rPr>
                <w:rFonts w:ascii="Arial" w:cs="Arial" w:eastAsia="Arial" w:hAnsi="Arial"/>
                <w:i w:val="false"/>
                <w:iCs w:val="false"/>
                <w:color w:val="111111"/>
                <w:sz w:val="20"/>
                <w:szCs w:val="20"/>
              </w:rPr>
              <w:t xml:space="preserve">                         + counter-GenAI detection — all in one FHIR-compliant pipeline.</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MediGuard AI's position:</w:t>
            </w:r>
          </w:p>
          <w:p>
            <w:pPr>
              <w:spacing w:before="40" w:after="40"/>
            </w:pPr>
            <w:r>
              <w:rPr>
                <w:rFonts w:ascii="Arial" w:cs="Arial" w:eastAsia="Arial" w:hAnsi="Arial"/>
                <w:i w:val="false"/>
                <w:iCs w:val="false"/>
                <w:color w:val="111111"/>
                <w:sz w:val="20"/>
                <w:szCs w:val="20"/>
              </w:rPr>
              <w:t xml:space="preserve">  The architecture is already built. The narrative layer is already producing 87/100 risk scores</w:t>
            </w:r>
          </w:p>
          <w:p>
            <w:pPr>
              <w:spacing w:before="40" w:after="40"/>
            </w:pPr>
            <w:r>
              <w:rPr>
                <w:rFonts w:ascii="Arial" w:cs="Arial" w:eastAsia="Arial" w:hAnsi="Arial"/>
                <w:i w:val="false"/>
                <w:iCs w:val="false"/>
                <w:color w:val="111111"/>
                <w:sz w:val="20"/>
                <w:szCs w:val="20"/>
              </w:rPr>
              <w:t xml:space="preserve">  with zero false positives on a FHIR R4 pipeline. The roadmap closes every remaining gap.</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0"/>
                <w:szCs w:val="20"/>
              </w:rPr>
              <w:t xml:space="preserve">  This is not a concept. It ran successfully on March 15, 2026.</w:t>
            </w:r>
          </w:p>
        </w:tc>
      </w:tr>
    </w:tbl>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3. Regulatory &amp; Enforcement Context</w:t>
      </w:r>
    </w:p>
    <w:p>
      <w:pPr>
        <w:pStyle w:val="Heading2"/>
        <w:spacing w:before="240" w:after="120"/>
      </w:pPr>
      <w:r>
        <w:rPr>
          <w:rFonts w:ascii="Arial" w:cs="Arial" w:eastAsia="Arial" w:hAnsi="Arial"/>
          <w:b/>
          <w:bCs/>
          <w:color w:val="2E75B6"/>
          <w:sz w:val="26"/>
          <w:szCs w:val="26"/>
        </w:rPr>
        <w:t xml:space="preserve">3.1  CMS-0057-F Final Rule — The FHIR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Why FHIR Is the Single Most Important Tailwind for MediGuard AI</w:t>
            </w:r>
          </w:p>
        </w:tc>
      </w:tr>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Effective January 2027:</w:t>
            </w:r>
          </w:p>
          <w:p>
            <w:pPr>
              <w:spacing w:before="40" w:after="40"/>
            </w:pPr>
            <w:r>
              <w:rPr>
                <w:rFonts w:ascii="Arial" w:cs="Arial" w:eastAsia="Arial" w:hAnsi="Arial"/>
                <w:i w:val="false"/>
                <w:iCs w:val="false"/>
                <w:color w:val="111111"/>
                <w:sz w:val="20"/>
                <w:szCs w:val="20"/>
              </w:rPr>
              <w:t xml:space="preserve">  All Medicare Advantage and Medicaid payers must expose FHIR R4 APIs for claims data.</w:t>
            </w:r>
          </w:p>
          <w:p>
            <w:pPr>
              <w:spacing w:before="40" w:after="40"/>
            </w:pPr>
            <w:r>
              <w:rPr>
                <w:rFonts w:ascii="Arial" w:cs="Arial" w:eastAsia="Arial" w:hAnsi="Arial"/>
                <w:i w:val="false"/>
                <w:iCs w:val="false"/>
                <w:color w:val="111111"/>
                <w:sz w:val="20"/>
                <w:szCs w:val="20"/>
              </w:rPr>
              <w:t xml:space="preserve">  CMS estimates this will make claims data accessible at a scale never seen before.</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What this means for FWA detection:</w:t>
            </w:r>
          </w:p>
          <w:p>
            <w:pPr>
              <w:spacing w:before="40" w:after="40"/>
            </w:pPr>
            <w:r>
              <w:rPr>
                <w:rFonts w:ascii="Arial" w:cs="Arial" w:eastAsia="Arial" w:hAnsi="Arial"/>
                <w:i w:val="false"/>
                <w:iCs w:val="false"/>
                <w:color w:val="111111"/>
                <w:sz w:val="20"/>
                <w:szCs w:val="20"/>
              </w:rPr>
              <w:t xml:space="preserve">  Every payer will be legally required to provide FHIR-formatted claims data.</w:t>
            </w:r>
          </w:p>
          <w:p>
            <w:pPr>
              <w:spacing w:before="40" w:after="40"/>
            </w:pPr>
            <w:r>
              <w:rPr>
                <w:rFonts w:ascii="Arial" w:cs="Arial" w:eastAsia="Arial" w:hAnsi="Arial"/>
                <w:i w:val="false"/>
                <w:iCs w:val="false"/>
                <w:color w:val="111111"/>
                <w:sz w:val="20"/>
                <w:szCs w:val="20"/>
              </w:rPr>
              <w:t xml:space="preserve">  Any FWA tool that cannot consume FHIR natively will be obsolete by 2027.</w:t>
            </w:r>
          </w:p>
          <w:p>
            <w:pPr>
              <w:spacing w:before="40" w:after="40"/>
            </w:pPr>
            <w:r>
              <w:rPr>
                <w:rFonts w:ascii="Arial" w:cs="Arial" w:eastAsia="Arial" w:hAnsi="Arial"/>
                <w:i w:val="false"/>
                <w:iCs w:val="false"/>
                <w:color w:val="111111"/>
                <w:sz w:val="20"/>
                <w:szCs w:val="20"/>
              </w:rPr>
              <w:t xml:space="preserve">  MediGuard AI is FHIR-native from day one — we built to this standard intentionally.</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Competitive positioning:</w:t>
            </w:r>
          </w:p>
          <w:p>
            <w:pPr>
              <w:spacing w:before="40" w:after="40"/>
            </w:pPr>
            <w:r>
              <w:rPr>
                <w:rFonts w:ascii="Arial" w:cs="Arial" w:eastAsia="Arial" w:hAnsi="Arial"/>
                <w:i w:val="false"/>
                <w:iCs w:val="false"/>
                <w:color w:val="111111"/>
                <w:sz w:val="20"/>
                <w:szCs w:val="20"/>
              </w:rPr>
              <w:t xml:space="preserve">  Cotiviti and Optum are retrofitting FHIR onto legacy architectures.</w:t>
            </w:r>
          </w:p>
          <w:p>
            <w:pPr>
              <w:spacing w:before="40" w:after="40"/>
            </w:pPr>
            <w:r>
              <w:rPr>
                <w:rFonts w:ascii="Arial" w:cs="Arial" w:eastAsia="Arial" w:hAnsi="Arial"/>
                <w:i w:val="false"/>
                <w:iCs w:val="false"/>
                <w:color w:val="111111"/>
                <w:sz w:val="20"/>
                <w:szCs w:val="20"/>
              </w:rPr>
              <w:t xml:space="preserve">  MediGuard AI was designed for FHIR first. No retrofit needed.</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3.2  OIG Work Plan — Current Enforcement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OIG Priority Area</w:t>
            </w:r>
          </w:p>
        </w:tc>
        <w:tc>
          <w:tcPr>
            <w:tcW w:type="dxa" w:w="24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MediGuard AI Detection</w:t>
            </w:r>
          </w:p>
        </w:tc>
        <w:tc>
          <w:tcPr>
            <w:tcW w:type="dxa" w:w="39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E&amp;M Upcoding — physician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1"/>
                <w:szCs w:val="21"/>
              </w:rPr>
              <w:t xml:space="preserve">✅ UPCODING detection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CPT 99215 billed for low-acuity diagnoses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Medically unnecessary procedures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75623"/>
                <w:sz w:val="21"/>
                <w:szCs w:val="21"/>
              </w:rPr>
              <w:t xml:space="preserve">✅ MEDICALLY_UNNECESSARY detection</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Services without clinical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Unbundling of surgical/lab codes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1"/>
                <w:szCs w:val="21"/>
              </w:rPr>
              <w:t xml:space="preserve">✅ NCCI UNBUNDLING detection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Billing separately for bundled codes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Diagnosis-procedure inconsistencies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75623"/>
                <w:sz w:val="21"/>
                <w:szCs w:val="21"/>
              </w:rPr>
              <w:t xml:space="preserve">✅ ICD-CPT MISMATCH detection</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Procedure code doesn't match diagnosis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AI-generated fraudulent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 Counter-GenAI (roadmap)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Stylistic anomalies in synthetic claims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Coordinated billing rings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 Scheme-level narratives (roadmap)</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Cross-provider pattern detection</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3.3  PAHM Certification — Domain Credibility</w:t>
      </w:r>
    </w:p>
    <w:p>
      <w:pPr>
        <w:spacing w:before="60" w:after="60"/>
      </w:pPr>
      <w:r>
        <w:rPr>
          <w:rFonts w:ascii="Arial" w:cs="Arial" w:eastAsia="Arial" w:hAnsi="Arial"/>
          <w:color w:val="111111"/>
          <w:sz w:val="22"/>
          <w:szCs w:val="22"/>
        </w:rPr>
        <w:t xml:space="preserve">Ram holds Professional, Academy for Healthcare Management (PAHM) certification combined with 12+ years of US healthcare domain experience at LTIMindtree. This is not a technology project built without healthcare context — it is built by a domain expert who understands payer operations, claims adjudication, and the clinical nuances that make FWA detection clinically accurate rather than just statistically anomalous.</w:t>
      </w:r>
    </w:p>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4. The MediGuard AI Solution</w:t>
      </w:r>
    </w:p>
    <w:p>
      <w:pPr>
        <w:pStyle w:val="Heading2"/>
        <w:spacing w:before="240" w:after="120"/>
      </w:pPr>
      <w:r>
        <w:rPr>
          <w:rFonts w:ascii="Arial" w:cs="Arial" w:eastAsia="Arial" w:hAnsi="Arial"/>
          <w:b/>
          <w:bCs/>
          <w:color w:val="2E75B6"/>
          <w:sz w:val="26"/>
          <w:szCs w:val="26"/>
        </w:rPr>
        <w:t xml:space="preserve">4.1  What Makes It Different — The Narrative Layer</w:t>
      </w:r>
    </w:p>
    <w:p>
      <w:pPr>
        <w:spacing w:before="60" w:after="60"/>
      </w:pPr>
      <w:r>
        <w:rPr>
          <w:rFonts w:ascii="Arial" w:cs="Arial" w:eastAsia="Arial" w:hAnsi="Arial"/>
          <w:color w:val="111111"/>
          <w:sz w:val="22"/>
          <w:szCs w:val="22"/>
        </w:rPr>
        <w:t xml:space="preserve">Every FWA tool in the market produces a risk score. MediGuard AI produces a clinical explanation.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60"/>
              <w:left w:type="dxa" w:w="280"/>
              <w:bottom w:type="dxa" w:w="80"/>
              <w:right w:type="dxa" w:w="280"/>
            </w:tcMar>
          </w:tcPr>
          <w:p>
            <w:pPr>
              <w:pBdr>
                <w:left w:val="single" w:color="1F4E79" w:sz="18" w:space="8"/>
              </w:pBdr>
              <w:ind w:left="240"/>
            </w:pPr>
            <w:r>
              <w:rPr>
                <w:rFonts w:ascii="Arial" w:cs="Arial" w:eastAsia="Arial" w:hAnsi="Arial"/>
                <w:i/>
                <w:iCs/>
                <w:color w:val="1F4E79"/>
                <w:sz w:val="24"/>
                <w:szCs w:val="24"/>
              </w:rPr>
              <w:t xml:space="preserve">"The claim exhibits a confirmed upcoding pattern, where a high-complexity office visit (CPT 99215) is billed for a patient with acute upper respiratory infection (ICD J06.9), a condition that typically requires a lower-level office visit. This discrepancy suggests that the provider may be inflating the complexity of services to increase reimbursement."</w:t>
            </w:r>
          </w:p>
        </w:tc>
      </w:tr>
      <w:tr>
        <w:tc>
          <w:tcPr>
            <w:tcW w:type="dxa" w:w="9360"/>
            <w:tcBorders>
              <w:top w:val="single" w:color="CCCCCC" w:sz="1"/>
              <w:left w:val="single" w:color="CCCCCC" w:sz="1"/>
              <w:bottom w:val="single" w:color="CCCCCC" w:sz="1"/>
              <w:right w:val="single" w:color="CCCCCC" w:sz="1"/>
            </w:tcBorders>
            <w:shd w:fill="DEEAF1" w:val="clear"/>
            <w:tcMar>
              <w:top w:type="dxa" w:w="40"/>
              <w:left w:type="dxa" w:w="560"/>
              <w:bottom w:type="dxa" w:w="120"/>
              <w:right w:type="dxa" w:w="280"/>
            </w:tcMar>
          </w:tcPr>
          <w:p>
            <w:r>
              <w:rPr>
                <w:rFonts w:ascii="Arial" w:cs="Arial" w:eastAsia="Arial" w:hAnsi="Arial"/>
                <w:color w:val="595959"/>
                <w:sz w:val="20"/>
                <w:szCs w:val="20"/>
              </w:rPr>
              <w:t xml:space="preserve">— Groq llama-3.3-70b-versatile  |  MediGuard AI  |  March 2026  |  Risk: 85/100  |  REFER_TO_SIU</w:t>
            </w:r>
          </w:p>
        </w:tc>
      </w:tr>
    </w:tbl>
    <w:p>
      <w:pPr>
        <w:spacing w:before="80" w:after="80"/>
      </w:pPr>
      <w:r>
        <w:t xml:space="preserve"/>
      </w:r>
    </w:p>
    <w:p>
      <w:pPr>
        <w:spacing w:before="60" w:after="60"/>
      </w:pPr>
      <w:r>
        <w:rPr>
          <w:rFonts w:ascii="Arial" w:cs="Arial" w:eastAsia="Arial" w:hAnsi="Arial"/>
          <w:color w:val="111111"/>
          <w:sz w:val="22"/>
          <w:szCs w:val="22"/>
        </w:rPr>
        <w:t xml:space="preserve">This narrative was generated autonomously by the LLM — it was not told that 99215 + J06.9 is suspicious. It derived the clinical reasoning independently from the claim data and rule engine findings. That is the differentiator.</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4.2  The Three-Checkpoint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Checkpoint 1
Rule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OIG rules + NCCI edits + MUE limits + ICD-CPT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Known violations — deterministic, auditable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Rule flags with severity scores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Checkpoint 2
ML Anomaly</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Isolation Forest — unsupervised anomaly detection</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Statistical outliers — unknown patterns</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Anomaly score 0–100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Checkpoint 3
Gen AI Reason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Groq LLM — llama-3.3-70b-versatile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Clinical reasoning — why it's suspicious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Narrative + recommendation + category</w:t>
            </w:r>
          </w:p>
        </w:tc>
      </w:tr>
    </w:tbl>
    <w:p>
      <w:pPr>
        <w:spacing w:before="80" w:after="80"/>
      </w:pPr>
      <w:r>
        <w:t xml:space="preserve"/>
      </w:r>
    </w:p>
    <w:p>
      <w:pPr>
        <w:spacing w:before="60" w:after="60"/>
      </w:pPr>
      <w:r>
        <w:rPr>
          <w:rFonts w:ascii="Arial" w:cs="Arial" w:eastAsia="Arial" w:hAnsi="Arial"/>
          <w:color w:val="111111"/>
          <w:sz w:val="22"/>
          <w:szCs w:val="22"/>
        </w:rPr>
        <w:t xml:space="preserve">The three checkpoints complement each other. The rule engine catches known violations with certainty. The ML layer catches unknown patterns the rules miss. The LLM explains both in language an investigator can act on.</w:t>
      </w:r>
    </w:p>
    <w:p>
      <w:pPr>
        <w:spacing w:before="100" w:after="100"/>
      </w:pPr>
      <w:r>
        <w:t xml:space="preserve"/>
      </w:r>
    </w:p>
    <w:p>
      <w:pPr>
        <w:pStyle w:val="Heading2"/>
        <w:spacing w:before="240" w:after="120"/>
      </w:pPr>
      <w:r>
        <w:rPr>
          <w:rFonts w:ascii="Arial" w:cs="Arial" w:eastAsia="Arial" w:hAnsi="Arial"/>
          <w:b/>
          <w:bCs/>
          <w:color w:val="2E75B6"/>
          <w:sz w:val="26"/>
          <w:szCs w:val="26"/>
        </w:rPr>
        <w:t xml:space="preserve">4.3  Confirmed Results — March 15, 2026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3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FWA detection 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100% (15/15 flagged claims)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All four injected fraud patterns caught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False positive rate</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0% (0/30 clean claims flagged)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Precision matters as much as recall for SIU workload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AI risk score avg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87/100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All claims correctly referred to SIU</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Narrative quality</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Clinical, specific, actionable</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Groq identified reasoning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FHIR 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Full FHIR R4 ExplanationOfBenefit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Ready for real payer API integration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Processing speed</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2.7 seconds per claim</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Enterprise-scale throughput feasible</w:t>
            </w:r>
          </w:p>
        </w:tc>
      </w:tr>
    </w:tbl>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5. Innovation Roadmap — Four Ideas That Advance the Field</w:t>
      </w:r>
    </w:p>
    <w:p>
      <w:pPr>
        <w:spacing w:before="60" w:after="60"/>
      </w:pPr>
      <w:r>
        <w:rPr>
          <w:rFonts w:ascii="Arial" w:cs="Arial" w:eastAsia="Arial" w:hAnsi="Arial"/>
          <w:color w:val="111111"/>
          <w:sz w:val="22"/>
          <w:szCs w:val="22"/>
        </w:rPr>
        <w:t xml:space="preserve">These four innovations extend MediGuard AI from a detection engine into a platform that addresses emerging threats and operational gaps no current vendor has fully closed.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Idea 1 — Persona-Adaptive Investigation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One Claim. Three Simultaneous Outputs. Zero Extra Work.</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The problem it solves:</w:t>
            </w:r>
          </w:p>
          <w:p>
            <w:pPr>
              <w:spacing w:before="40" w:after="40"/>
            </w:pPr>
            <w:r>
              <w:rPr>
                <w:rFonts w:ascii="Arial" w:cs="Arial" w:eastAsia="Arial" w:hAnsi="Arial"/>
                <w:i w:val="false"/>
                <w:iCs w:val="false"/>
                <w:color w:val="111111"/>
                <w:sz w:val="20"/>
                <w:szCs w:val="20"/>
              </w:rPr>
              <w:t xml:space="preserve">  An SIU investigator needs forensic evidence bullets.</w:t>
            </w:r>
          </w:p>
          <w:p>
            <w:pPr>
              <w:spacing w:before="40" w:after="40"/>
            </w:pPr>
            <w:r>
              <w:rPr>
                <w:rFonts w:ascii="Arial" w:cs="Arial" w:eastAsia="Arial" w:hAnsi="Arial"/>
                <w:i w:val="false"/>
                <w:iCs w:val="false"/>
                <w:color w:val="111111"/>
                <w:sz w:val="20"/>
                <w:szCs w:val="20"/>
              </w:rPr>
              <w:t xml:space="preserve">  A compliance officer needs the CMS/OIG regulation citation.</w:t>
            </w:r>
          </w:p>
          <w:p>
            <w:pPr>
              <w:spacing w:before="40" w:after="40"/>
            </w:pPr>
            <w:r>
              <w:rPr>
                <w:rFonts w:ascii="Arial" w:cs="Arial" w:eastAsia="Arial" w:hAnsi="Arial"/>
                <w:i w:val="false"/>
                <w:iCs w:val="false"/>
                <w:color w:val="111111"/>
                <w:sz w:val="20"/>
                <w:szCs w:val="20"/>
              </w:rPr>
              <w:t xml:space="preserve">  A legal team needs a structured case summary for the referral packet.</w:t>
            </w:r>
          </w:p>
          <w:p>
            <w:pPr>
              <w:spacing w:before="40" w:after="40"/>
            </w:pPr>
            <w:r>
              <w:rPr>
                <w:rFonts w:ascii="Arial" w:cs="Arial" w:eastAsia="Arial" w:hAnsi="Arial"/>
                <w:i w:val="false"/>
                <w:iCs w:val="false"/>
                <w:color w:val="111111"/>
                <w:sz w:val="20"/>
                <w:szCs w:val="20"/>
              </w:rPr>
              <w:t xml:space="preserve">  Today: they each get the same generic flag report and reinterpret it themselves.</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What MediGuard AI produces:</w:t>
            </w:r>
          </w:p>
          <w:p>
            <w:pPr>
              <w:spacing w:before="40" w:after="40"/>
            </w:pPr>
            <w:r>
              <w:rPr>
                <w:rFonts w:ascii="Arial" w:cs="Arial" w:eastAsia="Arial" w:hAnsi="Arial"/>
                <w:i w:val="false"/>
                <w:iCs w:val="false"/>
                <w:color w:val="111111"/>
                <w:sz w:val="20"/>
                <w:szCs w:val="20"/>
              </w:rPr>
              <w:t xml:space="preserve">  SIU Investigator    → Evidence chain, red flags, suggested interview questions, next steps</w:t>
            </w:r>
          </w:p>
          <w:p>
            <w:pPr>
              <w:spacing w:before="40" w:after="40"/>
            </w:pPr>
            <w:r>
              <w:rPr>
                <w:rFonts w:ascii="Arial" w:cs="Arial" w:eastAsia="Arial" w:hAnsi="Arial"/>
                <w:i w:val="false"/>
                <w:iCs w:val="false"/>
                <w:color w:val="111111"/>
                <w:sz w:val="20"/>
                <w:szCs w:val="20"/>
              </w:rPr>
              <w:t xml:space="preserve">  Compliance Officer  → Specific regulation violated, penalty range, remediation guidance</w:t>
            </w:r>
          </w:p>
          <w:p>
            <w:pPr>
              <w:spacing w:before="40" w:after="40"/>
            </w:pPr>
            <w:r>
              <w:rPr>
                <w:rFonts w:ascii="Arial" w:cs="Arial" w:eastAsia="Arial" w:hAnsi="Arial"/>
                <w:i w:val="false"/>
                <w:iCs w:val="false"/>
                <w:color w:val="111111"/>
                <w:sz w:val="20"/>
                <w:szCs w:val="20"/>
              </w:rPr>
              <w:t xml:space="preserve">  Legal / Audit       → Case summary formatted for SIU referral, admissible evidence structure</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Why nobody does this:</w:t>
            </w:r>
          </w:p>
          <w:p>
            <w:pPr>
              <w:spacing w:before="40" w:after="40"/>
            </w:pPr>
            <w:r>
              <w:rPr>
                <w:rFonts w:ascii="Arial" w:cs="Arial" w:eastAsia="Arial" w:hAnsi="Arial"/>
                <w:i w:val="false"/>
                <w:iCs w:val="false"/>
                <w:color w:val="111111"/>
                <w:sz w:val="20"/>
                <w:szCs w:val="20"/>
              </w:rPr>
              <w:t xml:space="preserve">  Existing tools are detection engines, not case preparation assistants.</w:t>
            </w:r>
          </w:p>
          <w:p>
            <w:pPr>
              <w:spacing w:before="40" w:after="40"/>
            </w:pPr>
            <w:r>
              <w:rPr>
                <w:rFonts w:ascii="Arial" w:cs="Arial" w:eastAsia="Arial" w:hAnsi="Arial"/>
                <w:i w:val="false"/>
                <w:iCs w:val="false"/>
                <w:color w:val="111111"/>
                <w:sz w:val="20"/>
                <w:szCs w:val="20"/>
              </w:rPr>
              <w:t xml:space="preserve">  The GenAI layer makes this trivial — a single additional structured prompt per claim.</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Implementation: Month 2  |  Technical lift: Low  |  Demo impact: Very High</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Idea 2 — Scheme-Level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From Individual Claim Anomalies to Prosecutable Fraud Schemes</w:t>
            </w:r>
          </w:p>
        </w:tc>
      </w:tr>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The problem it solves:</w:t>
            </w:r>
          </w:p>
          <w:p>
            <w:pPr>
              <w:spacing w:before="40" w:after="40"/>
            </w:pPr>
            <w:r>
              <w:rPr>
                <w:rFonts w:ascii="Arial" w:cs="Arial" w:eastAsia="Arial" w:hAnsi="Arial"/>
                <w:i w:val="false"/>
                <w:iCs w:val="false"/>
                <w:color w:val="111111"/>
                <w:sz w:val="20"/>
                <w:szCs w:val="20"/>
              </w:rPr>
              <w:t xml:space="preserve">  Every existing FWA tool flags individual claims.</w:t>
            </w:r>
          </w:p>
          <w:p>
            <w:pPr>
              <w:spacing w:before="40" w:after="40"/>
            </w:pPr>
            <w:r>
              <w:rPr>
                <w:rFonts w:ascii="Arial" w:cs="Arial" w:eastAsia="Arial" w:hAnsi="Arial"/>
                <w:i w:val="false"/>
                <w:iCs w:val="false"/>
                <w:color w:val="111111"/>
                <w:sz w:val="20"/>
                <w:szCs w:val="20"/>
              </w:rPr>
              <w:t xml:space="preserve">  Real fraud is rarely a single claim — it is a coordinated scheme across providers,</w:t>
            </w:r>
          </w:p>
          <w:p>
            <w:pPr>
              <w:spacing w:before="40" w:after="40"/>
            </w:pPr>
            <w:r>
              <w:rPr>
                <w:rFonts w:ascii="Arial" w:cs="Arial" w:eastAsia="Arial" w:hAnsi="Arial"/>
                <w:i w:val="false"/>
                <w:iCs w:val="false"/>
                <w:color w:val="111111"/>
                <w:sz w:val="20"/>
                <w:szCs w:val="20"/>
              </w:rPr>
              <w:t xml:space="preserve">  billers, and beneficiaries, often running for months.</w:t>
            </w:r>
          </w:p>
          <w:p>
            <w:pPr>
              <w:spacing w:before="40" w:after="40"/>
            </w:pPr>
            <w:r>
              <w:rPr>
                <w:rFonts w:ascii="Arial" w:cs="Arial" w:eastAsia="Arial" w:hAnsi="Arial"/>
                <w:i w:val="false"/>
                <w:iCs w:val="false"/>
                <w:color w:val="111111"/>
                <w:sz w:val="20"/>
                <w:szCs w:val="20"/>
              </w:rPr>
              <w:t xml:space="preserve">  SIU investigators currently connect these dots manually — it takes weeks.</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What MediGuard AI produces:</w:t>
            </w:r>
          </w:p>
          <w:p>
            <w:pPr>
              <w:spacing w:before="40" w:after="40"/>
            </w:pPr>
            <w:r>
              <w:rPr>
                <w:rFonts w:ascii="Arial" w:cs="Arial" w:eastAsia="Arial" w:hAnsi="Arial"/>
                <w:i w:val="false"/>
                <w:iCs w:val="false"/>
                <w:color w:val="111111"/>
                <w:sz w:val="20"/>
                <w:szCs w:val="20"/>
              </w:rPr>
              <w:t xml:space="preserve">  'Provider A, Biller B, and 14 beneficiaries appear to be part of a coordinated home</w:t>
            </w:r>
          </w:p>
          <w:p>
            <w:pPr>
              <w:spacing w:before="40" w:after="40"/>
            </w:pPr>
            <w:r>
              <w:rPr>
                <w:rFonts w:ascii="Arial" w:cs="Arial" w:eastAsia="Arial" w:hAnsi="Arial"/>
                <w:i w:val="false"/>
                <w:iCs w:val="false"/>
                <w:color w:val="111111"/>
                <w:sz w:val="20"/>
                <w:szCs w:val="20"/>
              </w:rPr>
              <w:t xml:space="preserve">  health upcoding ring. Claims cluster in a 45-day window, all billed at the 99215</w:t>
            </w:r>
          </w:p>
          <w:p>
            <w:pPr>
              <w:spacing w:before="40" w:after="40"/>
            </w:pPr>
            <w:r>
              <w:rPr>
                <w:rFonts w:ascii="Arial" w:cs="Arial" w:eastAsia="Arial" w:hAnsi="Arial"/>
                <w:i w:val="false"/>
                <w:iCs w:val="false"/>
                <w:color w:val="111111"/>
                <w:sz w:val="20"/>
                <w:szCs w:val="20"/>
              </w:rPr>
              <w:t xml:space="preserve">  level across 5 ZIP codes with the same billing address. The timeline suggests a</w:t>
            </w:r>
          </w:p>
          <w:p>
            <w:pPr>
              <w:spacing w:before="40" w:after="40"/>
            </w:pPr>
            <w:r>
              <w:rPr>
                <w:rFonts w:ascii="Arial" w:cs="Arial" w:eastAsia="Arial" w:hAnsi="Arial"/>
                <w:i w:val="false"/>
                <w:iCs w:val="false"/>
                <w:color w:val="111111"/>
                <w:sz w:val="20"/>
                <w:szCs w:val="20"/>
              </w:rPr>
              <w:t xml:space="preserve">  systematic pattern beginning on [date]. Here is the evidence chain...'</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Foundation: NetworkX provider relationship graph (already on Month 2 roadmap).</w:t>
            </w:r>
          </w:p>
          <w:p>
            <w:pPr>
              <w:spacing w:before="40" w:after="40"/>
            </w:pPr>
            <w:r>
              <w:rPr>
                <w:rFonts w:ascii="Arial" w:cs="Arial" w:eastAsia="Arial" w:hAnsi="Arial"/>
                <w:i w:val="false"/>
                <w:iCs w:val="false"/>
                <w:color w:val="111111"/>
                <w:sz w:val="21"/>
                <w:szCs w:val="21"/>
              </w:rPr>
              <w:t xml:space="preserve">Groq writes the scheme narrative across the graph output — no additional model needed.</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Implementation: Month 2  |  Technical lift: Medium  |  Demo impact: Very High</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Idea 3 — Detect AI-Generated Fraud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Counter-GenAI: The Most Urgent Emerging Threat in Healthcare Fraud</w:t>
            </w:r>
          </w:p>
        </w:tc>
      </w:tr>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The problem it solves:</w:t>
            </w:r>
          </w:p>
          <w:p>
            <w:pPr>
              <w:spacing w:before="40" w:after="40"/>
            </w:pPr>
            <w:r>
              <w:rPr>
                <w:rFonts w:ascii="Arial" w:cs="Arial" w:eastAsia="Arial" w:hAnsi="Arial"/>
                <w:i w:val="false"/>
                <w:iCs w:val="false"/>
                <w:color w:val="111111"/>
                <w:sz w:val="20"/>
                <w:szCs w:val="20"/>
              </w:rPr>
              <w:t xml:space="preserve">  89% rise in AI-generated fraudulent medical documents submitted to insurers in 2025.</w:t>
            </w:r>
          </w:p>
          <w:p>
            <w:pPr>
              <w:spacing w:before="40" w:after="40"/>
            </w:pPr>
            <w:r>
              <w:rPr>
                <w:rFonts w:ascii="Arial" w:cs="Arial" w:eastAsia="Arial" w:hAnsi="Arial"/>
                <w:i w:val="false"/>
                <w:iCs w:val="false"/>
                <w:color w:val="111111"/>
                <w:sz w:val="20"/>
                <w:szCs w:val="20"/>
              </w:rPr>
              <w:t xml:space="preserve">  Fraudsters are using LLMs to generate synthetic clinical notes, lab results, and entire</w:t>
            </w:r>
          </w:p>
          <w:p>
            <w:pPr>
              <w:spacing w:before="40" w:after="40"/>
            </w:pPr>
            <w:r>
              <w:rPr>
                <w:rFonts w:ascii="Arial" w:cs="Arial" w:eastAsia="Arial" w:hAnsi="Arial"/>
                <w:i w:val="false"/>
                <w:iCs w:val="false"/>
                <w:color w:val="111111"/>
                <w:sz w:val="20"/>
                <w:szCs w:val="20"/>
              </w:rPr>
              <w:t xml:space="preserve">  claim histories that pass traditional rule-based checks.</w:t>
            </w:r>
          </w:p>
          <w:p>
            <w:pPr>
              <w:spacing w:before="40" w:after="40"/>
            </w:pPr>
            <w:r>
              <w:rPr>
                <w:rFonts w:ascii="Arial" w:cs="Arial" w:eastAsia="Arial" w:hAnsi="Arial"/>
                <w:i w:val="false"/>
                <w:iCs w:val="false"/>
                <w:color w:val="111111"/>
                <w:sz w:val="20"/>
                <w:szCs w:val="20"/>
              </w:rPr>
              <w:t xml:space="preserve">  No major FWA vendor has a deployed counter-GenAI detection layer yet.</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What MediGuard AI detects:</w:t>
            </w:r>
          </w:p>
          <w:p>
            <w:pPr>
              <w:spacing w:before="40" w:after="40"/>
            </w:pPr>
            <w:r>
              <w:rPr>
                <w:rFonts w:ascii="Arial" w:cs="Arial" w:eastAsia="Arial" w:hAnsi="Arial"/>
                <w:i w:val="false"/>
                <w:iCs w:val="false"/>
                <w:color w:val="111111"/>
                <w:sz w:val="20"/>
                <w:szCs w:val="20"/>
              </w:rPr>
              <w:t xml:space="preserve">  • Stylistic anomalies: AI-generated clinical notes have unnaturally consistent language</w:t>
            </w:r>
          </w:p>
          <w:p>
            <w:pPr>
              <w:spacing w:before="40" w:after="40"/>
            </w:pPr>
            <w:r>
              <w:rPr>
                <w:rFonts w:ascii="Arial" w:cs="Arial" w:eastAsia="Arial" w:hAnsi="Arial"/>
                <w:i w:val="false"/>
                <w:iCs w:val="false"/>
                <w:color w:val="111111"/>
                <w:sz w:val="20"/>
                <w:szCs w:val="20"/>
              </w:rPr>
              <w:t xml:space="preserve">  • Code perfection: Real claims have variance; AI-generated claims have 'too clean' patterns</w:t>
            </w:r>
          </w:p>
          <w:p>
            <w:pPr>
              <w:spacing w:before="40" w:after="40"/>
            </w:pPr>
            <w:r>
              <w:rPr>
                <w:rFonts w:ascii="Arial" w:cs="Arial" w:eastAsia="Arial" w:hAnsi="Arial"/>
                <w:i w:val="false"/>
                <w:iCs w:val="false"/>
                <w:color w:val="111111"/>
                <w:sz w:val="20"/>
                <w:szCs w:val="20"/>
              </w:rPr>
              <w:t xml:space="preserve">  • Round-number clustering: Fraudulent AI-generated amounts lack natural variance</w:t>
            </w:r>
          </w:p>
          <w:p>
            <w:pPr>
              <w:spacing w:before="40" w:after="40"/>
            </w:pPr>
            <w:r>
              <w:rPr>
                <w:rFonts w:ascii="Arial" w:cs="Arial" w:eastAsia="Arial" w:hAnsi="Arial"/>
                <w:i w:val="false"/>
                <w:iCs w:val="false"/>
                <w:color w:val="111111"/>
                <w:sz w:val="20"/>
                <w:szCs w:val="20"/>
              </w:rPr>
              <w:t xml:space="preserve">  • Zero-variance billing: Real providers vary; AI-generated schemes repeat identically</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The positioning angle:</w:t>
            </w:r>
          </w:p>
          <w:p>
            <w:pPr>
              <w:spacing w:before="40" w:after="40"/>
            </w:pPr>
            <w:r>
              <w:rPr>
                <w:rFonts w:ascii="Arial" w:cs="Arial" w:eastAsia="Arial" w:hAnsi="Arial"/>
                <w:i w:val="false"/>
                <w:iCs w:val="false"/>
                <w:color w:val="111111"/>
                <w:sz w:val="20"/>
                <w:szCs w:val="20"/>
              </w:rPr>
              <w:t xml:space="preserve">  'We use AI to catch AI-generated fraud.'</w:t>
            </w:r>
          </w:p>
          <w:p>
            <w:pPr>
              <w:spacing w:before="40" w:after="40"/>
            </w:pPr>
            <w:r>
              <w:rPr>
                <w:rFonts w:ascii="Arial" w:cs="Arial" w:eastAsia="Arial" w:hAnsi="Arial"/>
                <w:i w:val="false"/>
                <w:iCs w:val="false"/>
                <w:color w:val="111111"/>
                <w:sz w:val="20"/>
                <w:szCs w:val="20"/>
              </w:rPr>
              <w:t xml:space="preserve">  This is a single sentence that stops a hiring manager or payer CTO cold.</w:t>
            </w:r>
          </w:p>
          <w:p>
            <w:pPr>
              <w:spacing w:before="40" w:after="40"/>
            </w:pPr>
            <w:r>
              <w:rPr>
                <w:rFonts w:ascii="Arial" w:cs="Arial" w:eastAsia="Arial" w:hAnsi="Arial"/>
                <w:i w:val="false"/>
                <w:iCs w:val="false"/>
                <w:color w:val="111111"/>
                <w:sz w:val="20"/>
                <w:szCs w:val="20"/>
              </w:rPr>
              <w:t xml:space="preserve">  It is directly relevant to CMS and OIG enforcement priorities for 2025-2026.</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Implementation: Month 2-3  |  Technical lift: Medium  |  Demo impact: Extreme</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Idea 4 — Medical Knowledge Graph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Clinical Coherence Checking — Closing the Gap Pure ML Cannot Close</w:t>
            </w:r>
          </w:p>
        </w:tc>
      </w:tr>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spacing w:before="40" w:after="40"/>
            </w:pPr>
            <w:r>
              <w:rPr>
                <w:rFonts w:ascii="Arial" w:cs="Arial" w:eastAsia="Arial" w:hAnsi="Arial"/>
                <w:i w:val="false"/>
                <w:iCs w:val="false"/>
                <w:color w:val="111111"/>
                <w:sz w:val="21"/>
                <w:szCs w:val="21"/>
              </w:rPr>
              <w:t xml:space="preserve">The problem it solves:</w:t>
            </w:r>
          </w:p>
          <w:p>
            <w:pPr>
              <w:spacing w:before="40" w:after="40"/>
            </w:pPr>
            <w:r>
              <w:rPr>
                <w:rFonts w:ascii="Arial" w:cs="Arial" w:eastAsia="Arial" w:hAnsi="Arial"/>
                <w:i w:val="false"/>
                <w:iCs w:val="false"/>
                <w:color w:val="111111"/>
                <w:sz w:val="20"/>
                <w:szCs w:val="20"/>
              </w:rPr>
              <w:t xml:space="preserve">  Published gap in the academic literature: ML models detect statistical anomalies,</w:t>
            </w:r>
          </w:p>
          <w:p>
            <w:pPr>
              <w:spacing w:before="40" w:after="40"/>
            </w:pPr>
            <w:r>
              <w:rPr>
                <w:rFonts w:ascii="Arial" w:cs="Arial" w:eastAsia="Arial" w:hAnsi="Arial"/>
                <w:i w:val="false"/>
                <w:iCs w:val="false"/>
                <w:color w:val="111111"/>
                <w:sz w:val="20"/>
                <w:szCs w:val="20"/>
              </w:rPr>
              <w:t xml:space="preserve">  but cannot determine if a clinical combination is medically implausible.</w:t>
            </w:r>
          </w:p>
          <w:p>
            <w:pPr>
              <w:spacing w:before="40" w:after="40"/>
            </w:pPr>
            <w:r>
              <w:rPr>
                <w:rFonts w:ascii="Arial" w:cs="Arial" w:eastAsia="Arial" w:hAnsi="Arial"/>
                <w:i w:val="false"/>
                <w:iCs w:val="false"/>
                <w:color w:val="111111"/>
                <w:sz w:val="20"/>
                <w:szCs w:val="20"/>
              </w:rPr>
              <w:t xml:space="preserve">  A model can flag that CPT 27447 is unusual — but it cannot say WHY it is</w:t>
            </w:r>
          </w:p>
          <w:p>
            <w:pPr>
              <w:spacing w:before="40" w:after="40"/>
            </w:pPr>
            <w:r>
              <w:rPr>
                <w:rFonts w:ascii="Arial" w:cs="Arial" w:eastAsia="Arial" w:hAnsi="Arial"/>
                <w:i w:val="false"/>
                <w:iCs w:val="false"/>
                <w:color w:val="111111"/>
                <w:sz w:val="20"/>
                <w:szCs w:val="20"/>
              </w:rPr>
              <w:t xml:space="preserve">  clinically impossible for this specific patient profile.</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What MediGuard AI produces with a knowledge graph layer:</w:t>
            </w:r>
          </w:p>
          <w:p>
            <w:pPr>
              <w:spacing w:before="40" w:after="40"/>
            </w:pPr>
            <w:r>
              <w:rPr>
                <w:rFonts w:ascii="Arial" w:cs="Arial" w:eastAsia="Arial" w:hAnsi="Arial"/>
                <w:i w:val="false"/>
                <w:iCs w:val="false"/>
                <w:color w:val="111111"/>
                <w:sz w:val="20"/>
                <w:szCs w:val="20"/>
              </w:rPr>
              <w:t xml:space="preserve">  'Total knee replacement (CPT 27447) is billed for a 34-year-old patient with no</w:t>
            </w:r>
          </w:p>
          <w:p>
            <w:pPr>
              <w:spacing w:before="40" w:after="40"/>
            </w:pPr>
            <w:r>
              <w:rPr>
                <w:rFonts w:ascii="Arial" w:cs="Arial" w:eastAsia="Arial" w:hAnsi="Arial"/>
                <w:i w:val="false"/>
                <w:iCs w:val="false"/>
                <w:color w:val="111111"/>
                <w:sz w:val="20"/>
                <w:szCs w:val="20"/>
              </w:rPr>
              <w:t xml:space="preserve">  prior knee diagnosis in the 12-month claims history. The procedure is clinically</w:t>
            </w:r>
          </w:p>
          <w:p>
            <w:pPr>
              <w:spacing w:before="40" w:after="40"/>
            </w:pPr>
            <w:r>
              <w:rPr>
                <w:rFonts w:ascii="Arial" w:cs="Arial" w:eastAsia="Arial" w:hAnsi="Arial"/>
                <w:i w:val="false"/>
                <w:iCs w:val="false"/>
                <w:color w:val="111111"/>
                <w:sz w:val="20"/>
                <w:szCs w:val="20"/>
              </w:rPr>
              <w:t xml:space="preserve">  inconsistent with the billed DRG and age-acuity profile for this diagnosis.'</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Technology: SNOMED-CT and RxNorm — both open standards, freely accessible.</w:t>
            </w:r>
          </w:p>
          <w:p>
            <w:pPr>
              <w:spacing w:before="40" w:after="40"/>
            </w:pPr>
            <w:r>
              <w:rPr>
                <w:rFonts w:ascii="Arial" w:cs="Arial" w:eastAsia="Arial" w:hAnsi="Arial"/>
                <w:i w:val="false"/>
                <w:iCs w:val="false"/>
                <w:color w:val="111111"/>
                <w:sz w:val="21"/>
                <w:szCs w:val="21"/>
              </w:rPr>
              <w:t xml:space="preserve">This adds a layer of clinical credibility that no pure-statistical system can match.</w:t>
            </w:r>
          </w:p>
          <w:p>
            <w:pPr>
              <w:spacing w:before="40" w:after="40"/>
            </w:pPr>
            <w:r>
              <w:rPr>
                <w:rFonts w:ascii="Arial" w:cs="Arial" w:eastAsia="Arial" w:hAnsi="Arial"/>
                <w:i w:val="false"/>
                <w:iCs w:val="false"/>
                <w:color w:val="111111"/>
                <w:sz w:val="21"/>
                <w:szCs w:val="21"/>
              </w:rPr>
              <w:t xml:space="preserve">Strongest differentiator in technical architecture interviews and research discussions.</w:t>
            </w:r>
          </w:p>
          <w:p>
            <w:pPr>
              <w:spacing w:before="40" w:after="40"/>
            </w:pPr>
            <w:r>
              <w:rPr>
                <w:rFonts w:ascii="Arial" w:cs="Arial" w:eastAsia="Arial" w:hAnsi="Arial"/>
                <w:i w:val="false"/>
                <w:iCs w:val="false"/>
                <w:color w:val="FFFFFF"/>
                <w:sz w:val="21"/>
                <w:szCs w:val="21"/>
              </w:rPr>
              <w:t xml:space="preserve"/>
            </w:r>
          </w:p>
          <w:p>
            <w:pPr>
              <w:spacing w:before="40" w:after="40"/>
            </w:pPr>
            <w:r>
              <w:rPr>
                <w:rFonts w:ascii="Arial" w:cs="Arial" w:eastAsia="Arial" w:hAnsi="Arial"/>
                <w:i w:val="false"/>
                <w:iCs w:val="false"/>
                <w:color w:val="111111"/>
                <w:sz w:val="21"/>
                <w:szCs w:val="21"/>
              </w:rPr>
              <w:t xml:space="preserve">Implementation: Month 3  |  Technical lift: High  |  Demo impact: High (story value)</w:t>
            </w:r>
          </w:p>
        </w:tc>
      </w:tr>
    </w:tbl>
    <w:p>
      <w:pPr>
        <w:spacing w:before="100" w:after="100"/>
      </w:pPr>
      <w:r>
        <w:t xml:space="preserve"/>
      </w:r>
    </w:p>
    <w:p>
      <w:pPr>
        <w:pStyle w:val="Heading2"/>
        <w:spacing w:before="240" w:after="120"/>
      </w:pPr>
      <w:r>
        <w:rPr>
          <w:rFonts w:ascii="Arial" w:cs="Arial" w:eastAsia="Arial" w:hAnsi="Arial"/>
          <w:b/>
          <w:bCs/>
          <w:color w:val="2E75B6"/>
          <w:sz w:val="26"/>
          <w:szCs w:val="26"/>
        </w:rPr>
        <w:t xml:space="preserve">5.5  Innovation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900"/>
        <w:gridCol w:w="1200"/>
        <w:gridCol w:w="14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Lift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Competitive 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Persona-Adaptive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SIU/compliance/legal each need different output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Month 2 Wk 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Very 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No off-the-shelf tool does this end-to-end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Scheme-Level Narratives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Individual flags don't build prosecutable cases</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Month 2 Wk 6-7</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Medium</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Very High</w:t>
            </w:r>
          </w:p>
        </w:tc>
        <w:tc>
          <w:tcPr>
            <w:tcW w:type="dxa" w:w="1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Connects the dots investigators do manually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Counter-GenAI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89% rise in AI-generated fraudulent 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Month 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Extreme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'Use AI to catch AI fraud' — no competitor</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Knowledge Graph</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ML can't check clinical plausibility</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Month 3</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High</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High</w:t>
            </w:r>
          </w:p>
        </w:tc>
        <w:tc>
          <w:tcPr>
            <w:tcW w:type="dxa" w:w="1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Published academic gap — closes it</w:t>
            </w:r>
          </w:p>
        </w:tc>
      </w:tr>
    </w:tbl>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6. Domain Glossary</w:t>
      </w:r>
    </w:p>
    <w:p>
      <w:pPr>
        <w:spacing w:before="60" w:after="60"/>
      </w:pPr>
      <w:r>
        <w:rPr>
          <w:rFonts w:ascii="Arial" w:cs="Arial" w:eastAsia="Arial" w:hAnsi="Arial"/>
          <w:color w:val="111111"/>
          <w:sz w:val="22"/>
          <w:szCs w:val="22"/>
        </w:rPr>
        <w:t xml:space="preserve">For interview preparation and client conversations — plain-English definitions of all key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2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Plain-English Definition</w:t>
            </w:r>
          </w:p>
        </w:tc>
        <w:tc>
          <w:tcPr>
            <w:tcW w:type="dxa" w:w="35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Why It Matters to MediGuard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FWA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Fraud, Waste &amp; Abuse — three categories of improper billing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The problem we solve</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CPT Code</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Current Procedural Terminology — 5-digit code for every medical service</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Primary detection signal in every claim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ICD-10-CM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International disease classification — diagnosis codes (e.g. J06.9 = common cold)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Cross-referenced against CPT for mismatch detection</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NCCI</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National Correct Coding Initiative — CMS rules on which CPT pairs cannot be billed together</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Foundation of unbundling detection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Medically Unlikely Edit — CMS limit on service units per day per CPT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Catches impossible billing volumes</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POS</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Place of Service — where care was delivered (Office, Inpatient, ER)</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Critical for clinical plausibility scoring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EOB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Explanation of Benefits — the claim document from insurer to patient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The FHIR resource we parse</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FHIR R4</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Fast Healthcare Interoperability Resources — modern healthcare data standard</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Our interoperability layer; CMS mandate by 2027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CMS BCDA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Beneficiary Claims Data API — CMS's live FHIR claims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Month 2 real data integration target</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SynPUF</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Synthetic Public Use File — CMS's free synthetic Medicare claims CSV</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Month 2 claims data replacement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SIU</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Special Investigations Unit — payer fraud investigation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Primary end user of MediGuard AI output</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OIG</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Office of Inspector General — federal healthcare fraud enforcement</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Our Work Plan maps to their priorities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Upcoding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Billing a higher-complexity service than actually delivered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Most common and costly FWA pattern</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Unbundling</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Billing separately for services that should be billed together at lower reimbursement</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Detected via NCCI edits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Isolation Forest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Unsupervised ML algorithm for anomaly detection — no labeled data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Layer 2 of our pipeline — finds unknown patterns</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Groq</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Cloud LLM inference provider — ultra-fast API for large language models</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Our Gen AI narrative layer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LLM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Large Language Model — AI that generates and reasons over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The engine behind MediGuard AI's clinical narratives</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PAHM</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Professional, Academy for Healthcare Management — payer operations certification</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11111"/>
                <w:sz w:val="21"/>
                <w:szCs w:val="21"/>
              </w:rPr>
              <w:t xml:space="preserve">Ram's domain credibility credential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BAA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Business Associate Agreement — HIPAA contract required before handling real patient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Required for Phase 3 real claims integration</w:t>
            </w:r>
          </w:p>
        </w:tc>
      </w:tr>
    </w:tbl>
    <w:p>
      <w:pPr>
        <w:spacing w:before="100" w:after="100"/>
      </w:pPr>
      <w:r>
        <w:t xml:space="preserve"/>
      </w:r>
    </w:p>
    <w:p>
      <w:r>
        <w:br w:type="page"/>
      </w:r>
    </w:p>
    <w:p>
      <w:pPr>
        <w:pStyle w:val="Heading1"/>
        <w:spacing w:before="360" w:after="160"/>
      </w:pPr>
      <w:r>
        <w:rPr>
          <w:rFonts w:ascii="Arial" w:cs="Arial" w:eastAsia="Arial" w:hAnsi="Arial"/>
          <w:b/>
          <w:bCs/>
          <w:color w:val="1F4E79"/>
          <w:sz w:val="34"/>
          <w:szCs w:val="34"/>
        </w:rPr>
        <w:t xml:space="preserve">7. Key Positioning Statements</w:t>
      </w:r>
    </w:p>
    <w:p>
      <w:pPr>
        <w:spacing w:before="60" w:after="60"/>
      </w:pPr>
      <w:r>
        <w:rPr>
          <w:rFonts w:ascii="Arial" w:cs="Arial" w:eastAsia="Arial" w:hAnsi="Arial"/>
          <w:color w:val="111111"/>
          <w:sz w:val="22"/>
          <w:szCs w:val="22"/>
        </w:rPr>
        <w:t xml:space="preserve">Pre-crafted statements for use in interviews, LinkedIn posts, and client conversations. Each is grounded in documented results.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7.1  The Core Differentiator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60"/>
              <w:left w:type="dxa" w:w="280"/>
              <w:bottom w:type="dxa" w:w="80"/>
              <w:right w:type="dxa" w:w="280"/>
            </w:tcMar>
          </w:tcPr>
          <w:p>
            <w:pPr>
              <w:pBdr>
                <w:left w:val="single" w:color="1F4E79" w:sz="18" w:space="8"/>
              </w:pBdr>
              <w:ind w:left="240"/>
            </w:pPr>
            <w:r>
              <w:rPr>
                <w:rFonts w:ascii="Arial" w:cs="Arial" w:eastAsia="Arial" w:hAnsi="Arial"/>
                <w:i/>
                <w:iCs/>
                <w:color w:val="1F4E79"/>
                <w:sz w:val="24"/>
                <w:szCs w:val="24"/>
              </w:rPr>
              <w:t xml:space="preserve">Legacy FWA vendors produce a risk score. MediGuard AI produces a clinical explanation. That is the difference between a number an investigator has to interpret and a narrative they can act on.</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7.2  The FHIR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80"/>
              <w:bottom w:type="dxa" w:w="80"/>
              <w:right w:type="dxa" w:w="280"/>
            </w:tcMar>
          </w:tcPr>
          <w:p>
            <w:pPr>
              <w:pBdr>
                <w:left w:val="single" w:color="375623" w:sz="18" w:space="8"/>
              </w:pBdr>
              <w:ind w:left="240"/>
            </w:pPr>
            <w:r>
              <w:rPr>
                <w:rFonts w:ascii="Arial" w:cs="Arial" w:eastAsia="Arial" w:hAnsi="Arial"/>
                <w:i/>
                <w:iCs/>
                <w:color w:val="375623"/>
                <w:sz w:val="24"/>
                <w:szCs w:val="24"/>
              </w:rPr>
              <w:t xml:space="preserve">CMS-0057-F requires every payer to expose FHIR APIs by January 2027. MediGuard AI was designed for that world from day one. The architecture doesn't need to adapt — it was already built for what's coming.</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7.3  The Counter-GenAI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80"/>
              <w:bottom w:type="dxa" w:w="80"/>
              <w:right w:type="dxa" w:w="280"/>
            </w:tcMar>
          </w:tcPr>
          <w:p>
            <w:pPr>
              <w:pBdr>
                <w:left w:val="single" w:color="843C0C" w:sz="18" w:space="8"/>
              </w:pBdr>
              <w:ind w:left="240"/>
            </w:pPr>
            <w:r>
              <w:rPr>
                <w:rFonts w:ascii="Arial" w:cs="Arial" w:eastAsia="Arial" w:hAnsi="Arial"/>
                <w:i/>
                <w:iCs/>
                <w:color w:val="843C0C"/>
                <w:sz w:val="24"/>
                <w:szCs w:val="24"/>
              </w:rPr>
              <w:t xml:space="preserve">Fraudsters are already using AI to generate synthetic claims. We built an AI layer that detects AI-generated fraud. The same technology that creates the problem is the technology that solves it.</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7.4  The Results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60"/>
              <w:left w:type="dxa" w:w="280"/>
              <w:bottom w:type="dxa" w:w="80"/>
              <w:right w:type="dxa" w:w="280"/>
            </w:tcMar>
          </w:tcPr>
          <w:p>
            <w:pPr>
              <w:pBdr>
                <w:left w:val="single" w:color="1D6A72" w:sz="18" w:space="8"/>
              </w:pBdr>
              <w:ind w:left="240"/>
            </w:pPr>
            <w:r>
              <w:rPr>
                <w:rFonts w:ascii="Arial" w:cs="Arial" w:eastAsia="Arial" w:hAnsi="Arial"/>
                <w:i/>
                <w:iCs/>
                <w:color w:val="1D6A72"/>
                <w:sz w:val="24"/>
                <w:szCs w:val="24"/>
              </w:rPr>
              <w:t xml:space="preserve">In the March 2026 run: 100% detection rate on all four FWA patterns, zero false positives on 30 clean claims, 87/100 average AI risk score, 2.7 seconds per claim. This is not a concept — it ran.</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7.5  The Credentials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80"/>
              <w:bottom w:type="dxa" w:w="80"/>
              <w:right w:type="dxa" w:w="280"/>
            </w:tcMar>
          </w:tcPr>
          <w:p>
            <w:pPr>
              <w:pBdr>
                <w:left w:val="single" w:color="375623" w:sz="18" w:space="8"/>
              </w:pBdr>
              <w:ind w:left="240"/>
            </w:pPr>
            <w:r>
              <w:rPr>
                <w:rFonts w:ascii="Arial" w:cs="Arial" w:eastAsia="Arial" w:hAnsi="Arial"/>
                <w:i/>
                <w:iCs/>
                <w:color w:val="375623"/>
                <w:sz w:val="24"/>
                <w:szCs w:val="24"/>
              </w:rPr>
              <w:t xml:space="preserve">12 years of US payer operations experience, PAHM certified, Principal Consultant at LTIMindtree. This is not a technology project built without healthcare context. The clinical reasoning in the AI layer reflects domain knowledge, not just code.</w:t>
            </w:r>
          </w:p>
        </w:tc>
      </w:tr>
    </w:tbl>
    <w:p>
      <w:pPr>
        <w:spacing w:before="100" w:after="100"/>
      </w:pPr>
      <w:r>
        <w:t xml:space="preserve"/>
      </w:r>
    </w:p>
    <w:p>
      <w:pPr>
        <w:pBdr>
          <w:bottom w:val="single" w:color="2E75B6" w:sz="6" w:space="1"/>
        </w:pBdr>
        <w:spacing w:before="120" w:after="120"/>
      </w:pPr>
      <w:r>
        <w:t xml:space="preserve"/>
      </w:r>
    </w:p>
    <w:p>
      <w:pPr>
        <w:spacing w:before="120" w:after="60"/>
        <w:jc w:val="center"/>
      </w:pPr>
      <w:r>
        <w:rPr>
          <w:rFonts w:ascii="Arial" w:cs="Arial" w:eastAsia="Arial" w:hAnsi="Arial"/>
          <w:color w:val="595959"/>
          <w:sz w:val="18"/>
          <w:szCs w:val="18"/>
        </w:rPr>
        <w:t xml:space="preserve">MediGuard AI  |  Domain &amp; Business Case v1.0  |  March 15, 2026  |  Ram — LTIMindtree Principal Consultant</w:t>
      </w:r>
    </w:p>
    <w:p>
      <w:pPr>
        <w:spacing w:before="40" w:after="80"/>
        <w:jc w:val="center"/>
      </w:pPr>
      <w:r>
        <w:rPr>
          <w:rFonts w:ascii="Arial" w:cs="Arial" w:eastAsia="Arial" w:hAnsi="Arial"/>
          <w:i/>
          <w:iCs/>
          <w:color w:val="595959"/>
          <w:sz w:val="18"/>
          <w:szCs w:val="18"/>
        </w:rPr>
        <w:t xml:space="preserve">LIVING DOCUMENT — Updated each sprint session. Versioned snapshots preserved at each major milestone.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2026-03-14T21:29:20.824Z</dcterms:created>
  <dcterms:modified xsi:type="dcterms:W3CDTF">2026-03-14T21:29:20.825Z</dcterms:modified>
</cp:coreProperties>
</file>

<file path=docProps/custom.xml><?xml version="1.0" encoding="utf-8"?>
<Properties xmlns="http://schemas.openxmlformats.org/officeDocument/2006/custom-properties" xmlns:vt="http://schemas.openxmlformats.org/officeDocument/2006/docPropsVTypes"/>
</file>