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MediGuard AI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Elevator Pitch &amp; 90-Day Roadmap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FHIR-Native FWA Detection with GenAI Clinical Reasoning</w:t>
      </w:r>
    </w:p>
    <w:p>
      <w:pPr>
        <w:spacing w:before="0" w:after="40"/>
      </w:pPr>
      <w:r>
        <w:rPr>
          <w:rFonts w:ascii="Arial" w:cs="Arial" w:eastAsia="Arial" w:hAnsi="Arial"/>
          <w:color w:val="D0D7E3"/>
          <w:sz w:val="20"/>
          <w:szCs w:val="20"/>
        </w:rPr>
        <w:t xml:space="preserve">Ram  |  Principal Consultant, LTIMindtree  |  PAHM Certified  |  March 2026</w:t>
      </w:r>
    </w:p>
    <w:p>
      <w:pPr>
        <w:pBdr>
          <w:bottom w:val="single" w:color="0D7377" w:sz="12" w:space="4"/>
        </w:pBdr>
        <w:spacing w:before="120" w:after="28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Elevator Pitch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Problem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 healthcare loses an estimated $100B+ annually to fraud, waste, and abuse. The tools most payers use today — Cotiviti, Optum, HMS — are rule engines built in the 2000s. They flag claims. They do not explain them. A human investigator still has to open each flagged claim, read the codes, look up the clinical context, and decide. That process is slow, expensive, and inconsistent.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What MediGuard AI Does Differently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MediGuard AI adds a plain-English AI reasoning layer on top of the rule engine. Instead of handing an investigator a claim flagged as ICD_CPT_MISMATCH, it hands them a finding:</w:t>
      </w:r>
    </w:p>
    <w:p>
      <w:pPr>
        <w:spacing w:before="0" w:after="80"/>
      </w:pPr>
      <w:r>
        <w:t xml:space="preserve"/>
      </w:r>
    </w:p>
    <w:p>
      <w:pPr>
        <w:pBdr>
          <w:left w:val="single" w:color="0D7377" w:sz="14" w:space="8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0D7377"/>
          <w:sz w:val="22"/>
          <w:szCs w:val="22"/>
        </w:rPr>
        <w:t xml:space="preserve">“A total knee replacement was billed with a diagnosis of right hip stiffness — a different anatomical site. This does not meet CMS medical necessity criteria for CPT 27447 and warrants SIU referral.”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That is the difference between a flag and a finding. The AI narrative layer is what legacy vendors like Cotiviti are spending millions trying to retrofit. MediGuard AI was designed with it from the ground up.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What Has Been Built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fully working end-to-end POC in Python — four stages running in sequence: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fhir_sample_generator.py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FHIR R4 data layer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Generates synthetic ExplanationOfBenefit JSONs mirroring CMS BCDA API output. CMS-0057-F mandates this format from all MA/Medicaid payers by January 2027.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fhir_converter.py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Interoperability layer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3-layer POS resolution: FHIR location field (primary) → CPT range inference (fallback) → RAG/ChromaDB (Month 2). Zero hardcoded CPT lookup tables.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fwa_data_pipeline.py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Rule engine + ML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OIG/NCCI rules (unbundling, ICD-CPT mismatch, upcoding, medically unnecessary) + Isolation Forest anomaly detection. All comparisons run through data.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fwa_langchain_reasoning.py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GenAI narrative layer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Groq LLaMA 3.3 70B generates plain-English clinical reasoning per claim in ~1.3s. Rule engine findings are the primary anchor.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Current Pipeline Metrics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Claims processed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55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50 FHIR EOBs + 5 NCCI expansion rows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FWA patterns covered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Upcoding, Unbundling, ICD-CPT Mismatch, Medically Unnecessary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0%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Zero clean claims in flagged set after ICD_REFERENCE expansion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review queue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15 claims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genuine FWA — no CLEAN claims queued for Groq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Groq response time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~1.3s / claim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llama-3.3-70b-versatile on free Groq tier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FHIR compatibility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CMS BCDA API</w:t>
            </w:r>
          </w:p>
        </w:tc>
        <w:tc>
          <w:tcPr>
            <w:tcW w:type="dxa" w:w="5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ExplanationOfBenefit R4 format — production-ready structure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Market Angle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Codoxo raised $35M Series C to add GenAI narratives to FWA detection. They just got there. MediGuard AI is being built at exactly that intersection — FHIR interoperability plus GenAI explainability — by someone with 12 years of US healthcare domain knowledge and PAHM certification. That combination does not walk through the door often.</w:t>
      </w:r>
    </w:p>
    <w:p>
      <w:pPr>
        <w:spacing w:before="0" w:after="8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CMS-0057-F mandate requiring FHIR APIs from all Medicare Advantage and Medicaid payers by January 2027 means the entire industry is about to generate a flood of FHIR data. MediGuard AI is positioned to consume it natively on day one.</w:t>
      </w:r>
    </w:p>
    <w:p>
      <w:pPr>
        <w:pBdr>
          <w:bottom w:val="single" w:color="D0D7E3" w:sz="2" w:space="1"/>
        </w:pBdr>
        <w:spacing w:before="120" w:after="16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90-Day Sprint — Next Steps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sprint is structured in three phases: Build (Month 1), Package (Month 2), Position (Month 3). Week 1 and the FHIR interoperability layer are complete. The pipeline runs end-to-end with zero false positives and live Groq narratives.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Build — Complete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FHIR R4 pipeline ✓  |  OIG/NCCI rule engine ✓  |  Isolation Forest ✓  |  Groq GenAI narratives ✓  |  Zero false positives ✓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Build — Remaining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full 34-claim queue through Groq (set MAX_CLAIMS=34). Save representative Groq narratives for use in LinkedIn article and POC deck.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Streamlit Dashboard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Interactive UI: claim table, provider risk heatmap, AI narrative viewer. Enterprise SaaS aesthetic. The artifact that makes the demo real — a hiring manager can click through it.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NetworkX Provider Graph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Provider relationship graph: shared patients, shared billing patterns, co-billing on same date of service. Third detection layer beyond rules and ML.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RAG Layer (ChromaDB)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Embed CMS POS-CPT reference table as a vector store. Replace CPT range inference with LLM retrieval. Scales to all 10,000+ CPT codes without a lookup table.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Evaluation Metrics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Precision, recall, F1 against fraud_label ground truth. Confusion matrix. Document what degrades in production and why.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A00"/>
                <w:sz w:val="19"/>
                <w:szCs w:val="19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Portfolio Packaging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GitHub README with architecture diagram and one-command demo setup. 3-4 minute screen-recording demo. LinkedIn article on where Cotiviti falls short.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4A00"/>
                <w:sz w:val="19"/>
                <w:szCs w:val="19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Role Targeting</w:t>
            </w:r>
          </w:p>
        </w:tc>
        <w:tc>
          <w:tcPr>
            <w:tcW w:type="dxa" w:w="5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LTIMindtree internal POC deck for payer accounts. Target: Director Healthcare AI, VP Analytics, Principal AI Architect. Outreach to Codoxo, Alivia Analytics, GDIT.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The Positioning Thesis</w:t>
      </w:r>
    </w:p>
    <w:p>
      <w:pPr>
        <w:pBdr>
          <w:left w:val="single" w:color="1B3A6B" w:sz="14" w:space="8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“I did not just read about FHIR + GenAI in FWA detection. I built it, debugged it down to the NCCI unbundling edge case level, and I understand exactly where the legacy vendors are weak.”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Target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Codoxo —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$35M Series C, GenAI FWA narratives. Most comparable to MediGuard AI architecture.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Directly competes with the positioning thesis. A warm conversation starter.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Alivia Analytics —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AI-native FWA, actively expanding headcount.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GDIT —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Processes 4.5M claims/day for CMS. FHIR mandate transition is a major contract opportunity.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Healthcare Fraud Shield —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Boutique FWA firm. Values deep domain expertise over pedigree.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LTIMindtree (internal) —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Position MediGuard AI as a client offering for payer and health plan accounts.</w:t>
      </w:r>
    </w:p>
    <w:p>
      <w:pPr>
        <w:pBdr>
          <w:bottom w:val="single" w:color="D0D7E3" w:sz="2" w:space="1"/>
        </w:pBdr>
        <w:spacing w:before="120"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D0D7E3"/>
          <w:sz w:val="18"/>
          <w:szCs w:val="18"/>
        </w:rPr>
        <w:t xml:space="preserve">MediGuard AI  |  Personal POC  |  March 2026  |  Ram, Principal Consultant, LTIMindtree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2026-03-13T20:33:38.796Z</dcterms:created>
  <dcterms:modified xsi:type="dcterms:W3CDTF">2026-03-13T20:33:38.797Z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