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MediGuard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563EB"/>
          <w:sz w:val="44"/>
          <w:szCs w:val="44"/>
        </w:rPr>
        <w:t xml:space="preserve">Interview Talking Points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v1.0  |  April 6, 2026  |  LIVING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Owner:    Ramachandran Kumar | Principal Consultant, LTIMindtree | PAHM Certified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Project:  MediGuard AI — AI-Native FWA Detection POC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Purpose:  Curated talking points for interviews, networking, and recruiter conversations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GitHub:   https://github.com/Ramachandran-Kumar/mediaguard-ai</w:t>
            </w:r>
          </w:p>
        </w:tc>
      </w:tr>
    </w:tbl>
    <w:p>
      <w:pPr>
        <w:spacing w:after="0" w:before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How to Frame the Project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this framing in every conversation — it sets expectations correctly and shows commercial judgment: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2"/>
              <w:left w:val="single" w:color="2563EB" w:sz="16"/>
              <w:bottom w:val="single" w:color="DBEAFE" w:sz="2"/>
              <w:right w:val="single" w:color="DBEAFE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"I built a working Gen AI POC to explore how open-source medical LLMs can explain healthcare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fraud patterns — wanted to validate the architecture before proposing it to clients."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Why this works: Accurate, confident, shows commercial judgment. Interviewers at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Principal/Director level appreciate intellectual honesty far more than inflated claims.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 NOT to say: 'I built an FWA detection system.' That oversells it. The POC framing is stronger.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 /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30-sec casual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MediGuard AI is a Gen AI POC for healthcare fraud detection. Most FWA tools give you a risk score — mine gives you a clinical explanation in plain English. Built on real CMS data, FHIR R4 compliant, 0% false positive rate in testing.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Recruiter 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have 14+ years of US payer experience (PAHM certified) and I've spent the last month building an AI-native FWA system. The GitHub repo is public — happy to share the architecture.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wanted to validate whether a Gen AI explanation layer could close the gap between FWA detection and SIU investigation. The POC runs end-to-end on real CMS data with Groq LLM narratives. I'd propose this architecture to your payer clients.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The FHIR Mandate — Why This Matters Now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is the single most powerful market timing argument. Use it whenever the conversation turns to 'why now?'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2"/>
              <w:left w:val="single" w:color="2563EB" w:sz="16"/>
              <w:bottom w:val="single" w:color="DBEAFE" w:sz="2"/>
              <w:right w:val="single" w:color="DBEAFE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"MediGuard AI ingests native FHIR R4 ExplanationOfBenefit resources — the same format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that payers are now mandated to expose under CMS-0057-F. Our FHIR converter normalizes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claims into the analysis pipeline, meaning MediGuard AI is ready to plug directly into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any CMS-compliant payer API by January 2027."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This sentence separates you from every consultant who knows FWA but doesn't understand FHIR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— and from every FHIR engineer who doesn't understand FWA.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CMS-0057-F mandates FHIR APIs from all Medicare Advantage and Medicaid payers by January 2027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Every payer is right now scrambling to convert claims data into FHIR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MediGuard AI is positioned to consume native FHIR on day one — no conversion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Legacy FWA vendors like Cotiviti are retrofitting FHIR onto existing architecture — MediGuard AI started with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CMS expects $15B in savings over 10 years as prior authorization goes digital via FHIR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 /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'Why FHIR?'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CMS-0057-F requires all MA and Medicaid payers to expose FHIR APIs by January 2027. Every health plan is building this now. MediGuard AI is built natively on FHIR R4 ExplanationOfBenefit — no adapter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'Why now?'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entire industry is generating FHIR data at scale for the first time. MediGuard AI is positioned at exactly that inflection point — built on the standard that is about to be everywhere.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Technical round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 parse FHIR R4 EOB resources — the same JSON format CMS BCDA returns. The converter normalizes it into our pipeline. The LLM layer is FHIR-agnostic — swapping in a live payer API is a configuration change, not a rewrite.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Architecture Talking 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these when asked to walk through the technical design. Lead with the two-layer principle.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2"/>
              <w:left w:val="single" w:color="2563EB" w:sz="16"/>
              <w:bottom w:val="single" w:color="DBEAFE" w:sz="2"/>
              <w:right w:val="single" w:color="DBEAFE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"The architecture separates detection from description. The rule engine detects FWA patterns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with certainty. The ML layer catches unknown patterns the rules miss. The LLM explains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both in language an investigator can act on."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The Four-Layer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Layer 1 — FHIR Parsing: Converts FHIR R4 EOB JSON to normalized claims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Layer 2 — ChromaDB RAG: CPT-to-POS resolution via vector similarity search (66 embeddings, all-MiniLM-L6-v2)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Layer 3 — Rule Engine: NCCI bundling, MUE limits, ICD-CPT mismatch, PFS cost outlier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Layer 4 — Groq LLM: Clinical narrative generation via LangChain — 4.5 seconds per claim, llama-3.3-70b-versatile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Key Design Decisions — Interview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 /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'Why SQLite?'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setup, built into Python, no server required. For a POC consuming 9,222 CMS PFS rates, 131,611 NCCI pairs, and 74,719 ICD-10 codes — SQLite handles it with millisecond lookups. Production would swap to PostgreSQL — same query logic, different driver.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'Why Groq?'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Ultra-fast inference — 4.5 seconds per claim vs. minutes with other providers. Free API tier for a POC. llama-3.3-70b-versatile produces clinical-grade narratives without fine-tuning. The framework is LLM-agnostic — swapping to Claude or GPT-4 is one config 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'Why ChromaDB?'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Semantic nearest-neighbor search for CPT codes we've never seen before. SQLite does exact lookups — ChromaDB handles the 'what's the closest match?' problem. Both serve different roles in the architecture.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'How does it scale?'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pipeline runs on a laptop today. The architecture is cloud-ready — swap SQLite for RDS, ChromaDB for Pinecone, add a Kafka queue in front of the rule engine. The logic doesn't change. Only the infrastructure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'What about false positives?'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0% on our synthetic dataset. The two-layer architecture helps — rules only fire on confirmed CMS violations, not statistical anomalies alone. Production would tune thresholds against labeled historical claims.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The AI Layer — What Makes It Different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2"/>
              <w:left w:val="single" w:color="2563EB" w:sz="16"/>
              <w:bottom w:val="single" w:color="DBEAFE" w:sz="2"/>
              <w:right w:val="single" w:color="DBEAFE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"Most FWA tools give you a risk score. MediGuard AI gives you the paragraph a senior SIU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investigator would write — with the overpayment estimate, the records to request, 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the next investigation step. In 4.5 seconds per claim."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Groq Narrative vs. Human Investigator — The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Investigator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Groq LLM (MediGuard 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Regulatory citation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Specific — NCCI Chapter, MBPM Ch.15, LCD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General — 'CMS guidelines'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Deep — MDM thresholds, 12-month lookback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Moderate — pattern recognition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Overpayment estimate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Precise — correct code substitution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Real CMS PFS rates (9,222 codes)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Specific records, next steps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Now included — records + next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Plain English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Dense — requires domain expertise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Any stakeholder can read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Hours per claim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4.5 seconds per claim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Scale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Limited by workforce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Unlimited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Prompt Anchoring — The Key Design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2"/>
              <w:left w:val="single" w:color="2563EB" w:sz="16"/>
              <w:bottom w:val="single" w:color="DBEAFE" w:sz="2"/>
              <w:right w:val="single" w:color="DBEAFE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"Without anchoring, the LLM re-classifies claims based on its own clinical interpretation.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We inject a ★ CONFIRMED FRAUD PATTERN block before the rule flags — the LLM must use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the confirmed category. Result: 0% mis-classification across all four FWA types."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CMS PFS Rates — The Overpayment Story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2"/>
              <w:left w:val="single" w:color="2563EB" w:sz="16"/>
              <w:bottom w:val="single" w:color="DBEAFE" w:sz="2"/>
              <w:right w:val="single" w:color="DBEAFE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"We use actual 2026 CMS PFS rates calculated from RVUs × conversion factor — not billed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charges — so our overpayment estimates are defensible under Medicare payment policy.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9,222 real physician payment rates from RVU26A, loaded directly from CMS."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Payment formula: (Work RVU + Non-Facility PE RVU + Malpractice RVU) × 33.4009 (2026 CF)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9,222 active CPT codes loaded (Status A only — separately payable under Medicare)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CPT 99215: $192.39 real CMS rate vs. $225.00 billed — overpayment calculable per claim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CPT 27447: $1,159.35 real physician payment — vs. $12,500 hospital facility charge (different audiences, different numbers)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2"/>
              <w:left w:val="single" w:color="2563EB" w:sz="16"/>
              <w:bottom w:val="single" w:color="DBEAFE" w:sz="2"/>
              <w:right w:val="single" w:color="DBEAFE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Important nuance for UPCODING: Overpayment isn't price vs. benchmark — it's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difference between what was billed and what SHOULD have been billed (e.g., 99215 vs. 99213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for a URI). That's a clinical determination. We surface this gap explicitly so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investigator knows what to calculate. That's honest, sophisticated system design.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Competitive Positioning — Complement vs. Compete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2"/>
              <w:left w:val="single" w:color="2563EB" w:sz="16"/>
              <w:bottom w:val="single" w:color="DBEAFE" w:sz="2"/>
              <w:right w:val="single" w:color="DBEAFE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"MediGuard AI complements what large payers already have and competes where they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don't have anything yet. It's not trying to beat Cotiviti at processing 4.5 million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claims a day. The battle MediGuard AI wins is the last mile — turning flagged claims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into cases."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 /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Large payer (UHC, Aetna)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Complementary narrative layer — plug in on top of existing AI scoring. They flag, we explain. No rip-and-replace.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Mid-market payer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replacement — detection + explanation in one system. No existing AI to displace.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FWA vendors (Codoxo, Alivia)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Competitive alternative with deeper clinical reasoning and FHIR-native architecture.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Consulting firm (LTIMindtree)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Accelerator — bring to payer client engagements as a differentiated AI offering.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If asked about Cotiviti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Cotiviti processes volume at scale — that's an infrastructure battle. MediGuard AI wins the last mile: turning flagged claims into actionable investigation cases with clinical narrative.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Counter-GenAI Detection — The Headline Stopper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2"/>
              <w:left w:val="single" w:color="2563EB" w:sz="16"/>
              <w:bottom w:val="single" w:color="DBEAFE" w:sz="2"/>
              <w:right w:val="single" w:color="DBEAFE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"We use AI to catch AI-generated fraud."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One sentence. Stops a hiring manager or payer CTO cold.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89% rise in AI-generated fraudulent medical documents submitted to insurers in 2025.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Almost no FWA vendor has a counter-GenAI layer deployed yet.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Fraudsters are using LLMs to generate synthetic clinical notes, lab results, and entire claim histories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Traditional rule-based checks cannot detect stylistically perfect AI-generated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MediGuard AI roadmap: detect stylistic anomalies, 'too perfect' ICD-10 combinations, round-number billing, zero-variance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is Innovation Idea 3 — planned for Month 2-3 build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FWA Detection — Technical Specifics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these when a technical interviewer digs into the rule engine: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FWA 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Logic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Soundbite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UPCODING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Billed amount &gt; 2x CMS PFS benchmark for same CPT. Now uses real 2026 PFS rates (9,222 codes).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We catch providers billing Level 5 E&amp;M for a common cold — the PFS benchmark flags it instantly.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UNBUNDLING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CPT pair found in NCCI hard edit table (131,611 pairs, Indicator A only). No modifier override permitted.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NCCI hard edits are non-negotiable — CPT 00100 + 99215 same day is always unbundling, no exceptions.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ICD-CPT MISMATCH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ICD-10 diagnosis doesn't justify CPT procedure per 56 domain-curated icd_cpt_rules. NCCI -B rows excluded to prevent double-flagging.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Hip stiffness billed as total knee replacement — the diagnosis and procedure are anatomically incompatible.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MEDICALLY UNNECESSARY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MUE limit exceeded (12,453 limits) or CPT/specialty combination implausible per clinical rules.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Venipuncture billed under a wellness exam with no abnormal findings — Z00.00 by definition means no disease.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Data Sources — Real CMS Data Story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2"/>
              <w:left w:val="single" w:color="2563EB" w:sz="16"/>
              <w:bottom w:val="single" w:color="DBEAFE" w:sz="2"/>
              <w:right w:val="single" w:color="DBEAFE" w:sz="2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"Every reference table in MediGuard AI comes from real CMS published data — not made-up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 numbers. The same data CMS uses to adjudicate $750B in Medicare claims annually."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CMS NCCI PTP 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131,611 pairs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Unbundling — CPT codes that cannot be billed together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CMS MUE Limits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12,453 limits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Medically unnecessary — frequency exceeds CMS per-day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CMS ICD-10-CM Tabular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74,719 codes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Diagnosis code validation and ICD-CPT mismatch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CMS PFS RVU26A (2026)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9,222 active CPTs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outlier — billed amount vs. real Medicare payment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CMS GEM Crosswalk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14,145 mappings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ICD-9 to ICD-10 legacy code translation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Domain icd_cpt_rules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56 curated rules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Clinical coherence — diagnosis must justify procedure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CMS SynPUF Carrier Claims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991 real Medicare claims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billing patterns including real anomalies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Likely Interview Questions &amp; Quick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 /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Walk me through MediGuard AI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Four-layer pipeline: FHIR parsing → ChromaDB RAG → rule engine (NCCI/MUE/ICD-CPT/PFS) → Groq LLM narrative. 17/17 completions, 89/100 avg risk score, 0% false positives, $64,639 flagged.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is FHIR important?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CMS-0057-F mandates FHIR APIs by January 2027. Every payer is building this now. MediGuard AI started FHIR-native — legacy vendors are retrofitting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makes this different from Cotiviti?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Cotiviti processes volume. MediGuard AI wins the last mile — clinical narratives that are investigation-ready, not just risk scores. Built after LLMs exist, not retrofitted.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does the AI layer work?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 engine confirms the fraud pattern. Groq LLM explains it in plain English with overpayment estimate, records to request, and next investigation step. 4.5 seconds per claim.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about hallucinations?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anchoring — a ★ CONFIRMED FRAUD PATTERN block forces the LLM to use the rule engine's category, not its own inference. The LLM explains; it doesn't detect. 0% mis-classification.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Can it handle 10,000 CPT codes?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ChromaDB RAG layer does semantic nearest-neighbor search for any CPT code, including ones never seen before. SQLite handles exact lookups for known codes. Two-layer graceful degradation.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What's the production path?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Swap SQLite for RDS, ChromaDB for Pinecone, add Kafka queue. The logic doesn't change — only the infrastructure. The architecture is cloud-ready by design.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do you know it's accurate?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Tested against CMS-published ground truth: 131,611 NCCI pairs, 12,453 MUE limits, 9,222 PFS rates. Not made-up data — the same tables CMS uses for adjudication.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would you do differently?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with the full PFS file earlier — we initially had only 37 CPT codes, upgraded to 9,222. Also: policy RAG layer for regulatory citations is the next build.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Where does it fit in our stack?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 a narrative layer on top of your existing detection. We take your flagged claims and produce investigation-ready case summaries. No rip-and-replace required.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pBdr>
          <w:top w:val="single" w:color="2563EB" w:sz="4" w:space="1"/>
        </w:pBdr>
        <w:spacing w:after="80" w:before="2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MediGuard AI  |  Interview Talking Points v1.0  |  April 6, 2026  |  LIVING DOCUMENT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Ramachandran Kumar  |  Principal Consultant, LTIMindtree  |  PAHM Certified  |  14+ years US Healthcare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2026-04-06T12:54:53.674Z</dcterms:created>
  <dcterms:modified xsi:type="dcterms:W3CDTF">2026-04-06T12:54:53.675Z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