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1C61" w14:textId="07EE8AEA" w:rsidR="00931DD9" w:rsidRDefault="00931DD9" w:rsidP="00931DD9">
      <w:pPr>
        <w:rPr>
          <w:b/>
          <w:bCs/>
        </w:rPr>
      </w:pPr>
      <w:r w:rsidRPr="00931DD9">
        <w:rPr>
          <w:b/>
          <w:bCs/>
        </w:rPr>
        <w:t>Understanding High Loss Against Strong Accuracy in Fine-Grained Image Classification</w:t>
      </w:r>
      <w:r>
        <w:rPr>
          <w:b/>
          <w:bCs/>
        </w:rPr>
        <w:t>:</w:t>
      </w:r>
    </w:p>
    <w:p w14:paraId="59088237" w14:textId="77777777" w:rsidR="00931DD9" w:rsidRDefault="00931DD9" w:rsidP="00931DD9">
      <w:pPr>
        <w:rPr>
          <w:b/>
          <w:bCs/>
        </w:rPr>
      </w:pPr>
    </w:p>
    <w:p w14:paraId="4152122D" w14:textId="100790FA" w:rsidR="00931DD9" w:rsidRDefault="00931DD9" w:rsidP="00931DD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</w:t>
      </w:r>
    </w:p>
    <w:p w14:paraId="73AFA441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t>Abstract</w:t>
      </w:r>
    </w:p>
    <w:p w14:paraId="343D5411" w14:textId="77777777" w:rsidR="00931DD9" w:rsidRPr="00931DD9" w:rsidRDefault="00931DD9" w:rsidP="00931DD9">
      <w:r w:rsidRPr="00931DD9">
        <w:t xml:space="preserve">In fine-grained image classification, models often exhibit a mismatch between validation accuracy and categorical </w:t>
      </w:r>
      <w:proofErr w:type="spellStart"/>
      <w:r w:rsidRPr="00931DD9">
        <w:t>crossentropy</w:t>
      </w:r>
      <w:proofErr w:type="spellEnd"/>
      <w:r w:rsidRPr="00931DD9">
        <w:t xml:space="preserve"> loss. This paper explores this phenomenon through experimental evaluation of multiple CNN architectures trained on the Stanford Dogs dataset (120 classes). Despite achieving over 60% validation accuracy, models report high validation loss values (~2.5+). We analyze the root causes and architectural behaviors contributing to this pattern and recommend practical solutions for future fine-grained tasks.</w:t>
      </w:r>
    </w:p>
    <w:p w14:paraId="2FCECCCB" w14:textId="77777777" w:rsidR="00931DD9" w:rsidRPr="00931DD9" w:rsidRDefault="00931DD9" w:rsidP="00931DD9">
      <w:r w:rsidRPr="00931DD9">
        <w:pict w14:anchorId="73095DE4">
          <v:rect id="_x0000_i1079" style="width:0;height:1.5pt" o:hralign="center" o:hrstd="t" o:hr="t" fillcolor="#a0a0a0" stroked="f"/>
        </w:pict>
      </w:r>
    </w:p>
    <w:p w14:paraId="2B935F90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t>1. Introduction</w:t>
      </w:r>
    </w:p>
    <w:p w14:paraId="4FC5ECA8" w14:textId="77777777" w:rsidR="00931DD9" w:rsidRPr="00931DD9" w:rsidRDefault="00931DD9" w:rsidP="00931DD9">
      <w:r w:rsidRPr="00931DD9">
        <w:t>Fine-grained classification involves distinguishing between visually similar classes (e.g., dog breeds), requiring models to extract subtle, localized patterns. This introduces challenges such as class imbalance, overfitting, and weak generalization — especially with limited data per class. Traditional evaluation using only accuracy may not reflect the full picture, as high loss can still occur even when accuracy appears reasonable.</w:t>
      </w:r>
    </w:p>
    <w:p w14:paraId="7714BE99" w14:textId="77777777" w:rsidR="00931DD9" w:rsidRPr="00931DD9" w:rsidRDefault="00931DD9" w:rsidP="00931DD9">
      <w:r w:rsidRPr="00931DD9">
        <w:pict w14:anchorId="4963F621">
          <v:rect id="_x0000_i1080" style="width:0;height:1.5pt" o:hralign="center" o:hrstd="t" o:hr="t" fillcolor="#a0a0a0" stroked="f"/>
        </w:pict>
      </w:r>
    </w:p>
    <w:p w14:paraId="71E0DE0D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t>2. Dataset Overview</w:t>
      </w:r>
    </w:p>
    <w:p w14:paraId="5AB39D45" w14:textId="77777777" w:rsidR="00931DD9" w:rsidRPr="00931DD9" w:rsidRDefault="00931DD9" w:rsidP="00931DD9">
      <w:pPr>
        <w:numPr>
          <w:ilvl w:val="0"/>
          <w:numId w:val="2"/>
        </w:numPr>
      </w:pPr>
      <w:r w:rsidRPr="00931DD9">
        <w:rPr>
          <w:b/>
          <w:bCs/>
        </w:rPr>
        <w:t>Stanford Dogs Dataset</w:t>
      </w:r>
    </w:p>
    <w:p w14:paraId="37A54658" w14:textId="77777777" w:rsidR="00931DD9" w:rsidRPr="00931DD9" w:rsidRDefault="00931DD9" w:rsidP="00931DD9">
      <w:pPr>
        <w:numPr>
          <w:ilvl w:val="0"/>
          <w:numId w:val="2"/>
        </w:numPr>
      </w:pPr>
      <w:r w:rsidRPr="00931DD9">
        <w:t>120 classes with class imbalance (some classes &lt;100 samples)</w:t>
      </w:r>
    </w:p>
    <w:p w14:paraId="5A88757C" w14:textId="77777777" w:rsidR="00931DD9" w:rsidRPr="00931DD9" w:rsidRDefault="00931DD9" w:rsidP="00931DD9">
      <w:pPr>
        <w:numPr>
          <w:ilvl w:val="0"/>
          <w:numId w:val="2"/>
        </w:numPr>
      </w:pPr>
      <w:r w:rsidRPr="00931DD9">
        <w:t>Image sizes normalized and augmented</w:t>
      </w:r>
    </w:p>
    <w:p w14:paraId="400FF5E1" w14:textId="77777777" w:rsidR="00931DD9" w:rsidRPr="00931DD9" w:rsidRDefault="00931DD9" w:rsidP="00931DD9">
      <w:pPr>
        <w:numPr>
          <w:ilvl w:val="0"/>
          <w:numId w:val="2"/>
        </w:numPr>
      </w:pPr>
      <w:r w:rsidRPr="00931DD9">
        <w:t>Different training/validation splits tested:</w:t>
      </w:r>
    </w:p>
    <w:p w14:paraId="3F589ECA" w14:textId="77777777" w:rsidR="00931DD9" w:rsidRPr="00931DD9" w:rsidRDefault="00931DD9" w:rsidP="00931DD9">
      <w:pPr>
        <w:numPr>
          <w:ilvl w:val="1"/>
          <w:numId w:val="2"/>
        </w:numPr>
      </w:pPr>
      <w:r w:rsidRPr="00931DD9">
        <w:t>80-10-10 → early plateau in validation</w:t>
      </w:r>
    </w:p>
    <w:p w14:paraId="45D0945B" w14:textId="77777777" w:rsidR="00931DD9" w:rsidRPr="00931DD9" w:rsidRDefault="00931DD9" w:rsidP="00931DD9">
      <w:pPr>
        <w:numPr>
          <w:ilvl w:val="1"/>
          <w:numId w:val="2"/>
        </w:numPr>
      </w:pPr>
      <w:r w:rsidRPr="00931DD9">
        <w:t>70-20-10 → slight improvement</w:t>
      </w:r>
    </w:p>
    <w:p w14:paraId="6DD85341" w14:textId="77777777" w:rsidR="00931DD9" w:rsidRPr="00931DD9" w:rsidRDefault="00931DD9" w:rsidP="00931DD9">
      <w:pPr>
        <w:numPr>
          <w:ilvl w:val="1"/>
          <w:numId w:val="2"/>
        </w:numPr>
      </w:pPr>
      <w:r w:rsidRPr="00931DD9">
        <w:t>60-30-10 → most stable generalization</w:t>
      </w:r>
    </w:p>
    <w:p w14:paraId="1EFEC98B" w14:textId="77777777" w:rsidR="00931DD9" w:rsidRPr="00931DD9" w:rsidRDefault="00931DD9" w:rsidP="00931DD9">
      <w:r w:rsidRPr="00931DD9">
        <w:pict w14:anchorId="1AE62509">
          <v:rect id="_x0000_i1081" style="width:0;height:1.5pt" o:hralign="center" o:hrstd="t" o:hr="t" fillcolor="#a0a0a0" stroked="f"/>
        </w:pict>
      </w:r>
    </w:p>
    <w:p w14:paraId="2F86A6C0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lastRenderedPageBreak/>
        <w:t>3. Models and Techniques</w:t>
      </w:r>
    </w:p>
    <w:p w14:paraId="5BB7D1A4" w14:textId="77777777" w:rsidR="00931DD9" w:rsidRPr="00931DD9" w:rsidRDefault="00931DD9" w:rsidP="00931DD9">
      <w:pPr>
        <w:rPr>
          <w:b/>
          <w:bCs/>
        </w:rPr>
      </w:pPr>
      <w:r w:rsidRPr="00931DD9">
        <w:rPr>
          <w:rFonts w:ascii="Segoe UI Emoji" w:hAnsi="Segoe UI Emoji" w:cs="Segoe UI Emoji"/>
          <w:b/>
          <w:bCs/>
        </w:rPr>
        <w:t>📌</w:t>
      </w:r>
      <w:r w:rsidRPr="00931DD9">
        <w:rPr>
          <w:b/>
          <w:bCs/>
        </w:rPr>
        <w:t xml:space="preserve"> Tested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344"/>
        <w:gridCol w:w="1658"/>
        <w:gridCol w:w="4061"/>
      </w:tblGrid>
      <w:tr w:rsidR="00931DD9" w:rsidRPr="00931DD9" w14:paraId="2FC051D9" w14:textId="77777777" w:rsidTr="00931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25BC4" w14:textId="77777777" w:rsidR="00931DD9" w:rsidRPr="00931DD9" w:rsidRDefault="00931DD9" w:rsidP="00931DD9">
            <w:pPr>
              <w:rPr>
                <w:b/>
                <w:bCs/>
              </w:rPr>
            </w:pPr>
            <w:r w:rsidRPr="00931DD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DB74A37" w14:textId="77777777" w:rsidR="00931DD9" w:rsidRPr="00931DD9" w:rsidRDefault="00931DD9" w:rsidP="00931DD9">
            <w:pPr>
              <w:rPr>
                <w:b/>
                <w:bCs/>
              </w:rPr>
            </w:pPr>
            <w:r w:rsidRPr="00931DD9">
              <w:rPr>
                <w:b/>
                <w:bCs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6BA6FBEA" w14:textId="77777777" w:rsidR="00931DD9" w:rsidRPr="00931DD9" w:rsidRDefault="00931DD9" w:rsidP="00931DD9">
            <w:pPr>
              <w:rPr>
                <w:b/>
                <w:bCs/>
              </w:rPr>
            </w:pPr>
            <w:r w:rsidRPr="00931DD9">
              <w:rPr>
                <w:b/>
                <w:bCs/>
              </w:rPr>
              <w:t>Validation Accuracy</w:t>
            </w:r>
          </w:p>
        </w:tc>
        <w:tc>
          <w:tcPr>
            <w:tcW w:w="0" w:type="auto"/>
            <w:vAlign w:val="center"/>
            <w:hideMark/>
          </w:tcPr>
          <w:p w14:paraId="001B3B58" w14:textId="77777777" w:rsidR="00931DD9" w:rsidRPr="00931DD9" w:rsidRDefault="00931DD9" w:rsidP="00931DD9">
            <w:pPr>
              <w:rPr>
                <w:b/>
                <w:bCs/>
              </w:rPr>
            </w:pPr>
            <w:r w:rsidRPr="00931DD9">
              <w:rPr>
                <w:b/>
                <w:bCs/>
              </w:rPr>
              <w:t>Notes</w:t>
            </w:r>
          </w:p>
        </w:tc>
      </w:tr>
      <w:tr w:rsidR="00931DD9" w:rsidRPr="00931DD9" w14:paraId="028538B1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B220" w14:textId="77777777" w:rsidR="00931DD9" w:rsidRPr="00931DD9" w:rsidRDefault="00931DD9" w:rsidP="00931DD9">
            <w:r w:rsidRPr="00931DD9">
              <w:t>MobileNetV2</w:t>
            </w:r>
          </w:p>
        </w:tc>
        <w:tc>
          <w:tcPr>
            <w:tcW w:w="0" w:type="auto"/>
            <w:vAlign w:val="center"/>
            <w:hideMark/>
          </w:tcPr>
          <w:p w14:paraId="1B8E31A5" w14:textId="77777777" w:rsidR="00931DD9" w:rsidRPr="00931DD9" w:rsidRDefault="00931DD9" w:rsidP="00931DD9">
            <w:r w:rsidRPr="00931DD9">
              <w:t>~10%</w:t>
            </w:r>
          </w:p>
        </w:tc>
        <w:tc>
          <w:tcPr>
            <w:tcW w:w="0" w:type="auto"/>
            <w:vAlign w:val="center"/>
            <w:hideMark/>
          </w:tcPr>
          <w:p w14:paraId="39134D60" w14:textId="77777777" w:rsidR="00931DD9" w:rsidRPr="00931DD9" w:rsidRDefault="00931DD9" w:rsidP="00931DD9">
            <w:r w:rsidRPr="00931DD9">
              <w:t>~9%</w:t>
            </w:r>
          </w:p>
        </w:tc>
        <w:tc>
          <w:tcPr>
            <w:tcW w:w="0" w:type="auto"/>
            <w:vAlign w:val="center"/>
            <w:hideMark/>
          </w:tcPr>
          <w:p w14:paraId="348C3976" w14:textId="77777777" w:rsidR="00931DD9" w:rsidRPr="00931DD9" w:rsidRDefault="00931DD9" w:rsidP="00931DD9">
            <w:r w:rsidRPr="00931DD9">
              <w:t>Underfits heavily</w:t>
            </w:r>
          </w:p>
        </w:tc>
      </w:tr>
      <w:tr w:rsidR="00931DD9" w:rsidRPr="00931DD9" w14:paraId="3DBA7B59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8317" w14:textId="77777777" w:rsidR="00931DD9" w:rsidRPr="00931DD9" w:rsidRDefault="00931DD9" w:rsidP="00931DD9">
            <w:r w:rsidRPr="00931DD9">
              <w:t>EfficientNetB0</w:t>
            </w:r>
          </w:p>
        </w:tc>
        <w:tc>
          <w:tcPr>
            <w:tcW w:w="0" w:type="auto"/>
            <w:vAlign w:val="center"/>
            <w:hideMark/>
          </w:tcPr>
          <w:p w14:paraId="659DEA50" w14:textId="77777777" w:rsidR="00931DD9" w:rsidRPr="00931DD9" w:rsidRDefault="00931DD9" w:rsidP="00931DD9">
            <w:r w:rsidRPr="00931DD9">
              <w:t>~40%</w:t>
            </w:r>
          </w:p>
        </w:tc>
        <w:tc>
          <w:tcPr>
            <w:tcW w:w="0" w:type="auto"/>
            <w:vAlign w:val="center"/>
            <w:hideMark/>
          </w:tcPr>
          <w:p w14:paraId="7632F18D" w14:textId="77777777" w:rsidR="00931DD9" w:rsidRPr="00931DD9" w:rsidRDefault="00931DD9" w:rsidP="00931DD9">
            <w:r w:rsidRPr="00931DD9">
              <w:t>~36%</w:t>
            </w:r>
          </w:p>
        </w:tc>
        <w:tc>
          <w:tcPr>
            <w:tcW w:w="0" w:type="auto"/>
            <w:vAlign w:val="center"/>
            <w:hideMark/>
          </w:tcPr>
          <w:p w14:paraId="1B699D0B" w14:textId="77777777" w:rsidR="00931DD9" w:rsidRPr="00931DD9" w:rsidRDefault="00931DD9" w:rsidP="00931DD9">
            <w:r w:rsidRPr="00931DD9">
              <w:t>Balanced, limited feature depth</w:t>
            </w:r>
          </w:p>
        </w:tc>
      </w:tr>
      <w:tr w:rsidR="00931DD9" w:rsidRPr="00931DD9" w14:paraId="6F16BFF6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E2B2" w14:textId="77777777" w:rsidR="00931DD9" w:rsidRPr="00931DD9" w:rsidRDefault="00931DD9" w:rsidP="00931DD9">
            <w:r w:rsidRPr="00931DD9">
              <w:t>ResNet50</w:t>
            </w:r>
          </w:p>
        </w:tc>
        <w:tc>
          <w:tcPr>
            <w:tcW w:w="0" w:type="auto"/>
            <w:vAlign w:val="center"/>
            <w:hideMark/>
          </w:tcPr>
          <w:p w14:paraId="40778694" w14:textId="77777777" w:rsidR="00931DD9" w:rsidRPr="00931DD9" w:rsidRDefault="00931DD9" w:rsidP="00931DD9">
            <w:r w:rsidRPr="00931DD9">
              <w:t>~60%</w:t>
            </w:r>
          </w:p>
        </w:tc>
        <w:tc>
          <w:tcPr>
            <w:tcW w:w="0" w:type="auto"/>
            <w:vAlign w:val="center"/>
            <w:hideMark/>
          </w:tcPr>
          <w:p w14:paraId="4472B348" w14:textId="77777777" w:rsidR="00931DD9" w:rsidRPr="00931DD9" w:rsidRDefault="00931DD9" w:rsidP="00931DD9">
            <w:r w:rsidRPr="00931DD9">
              <w:t>~41%</w:t>
            </w:r>
          </w:p>
        </w:tc>
        <w:tc>
          <w:tcPr>
            <w:tcW w:w="0" w:type="auto"/>
            <w:vAlign w:val="center"/>
            <w:hideMark/>
          </w:tcPr>
          <w:p w14:paraId="7F54B0FC" w14:textId="77777777" w:rsidR="00931DD9" w:rsidRPr="00931DD9" w:rsidRDefault="00931DD9" w:rsidP="00931DD9">
            <w:r w:rsidRPr="00931DD9">
              <w:t>Stable but saturates</w:t>
            </w:r>
          </w:p>
        </w:tc>
      </w:tr>
      <w:tr w:rsidR="00931DD9" w:rsidRPr="00931DD9" w14:paraId="778BF671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297E" w14:textId="77777777" w:rsidR="00931DD9" w:rsidRPr="00931DD9" w:rsidRDefault="00931DD9" w:rsidP="00931DD9">
            <w:r w:rsidRPr="00931DD9">
              <w:rPr>
                <w:b/>
                <w:bCs/>
              </w:rPr>
              <w:t>DenseNet121</w:t>
            </w:r>
          </w:p>
        </w:tc>
        <w:tc>
          <w:tcPr>
            <w:tcW w:w="0" w:type="auto"/>
            <w:vAlign w:val="center"/>
            <w:hideMark/>
          </w:tcPr>
          <w:p w14:paraId="64779A9E" w14:textId="77777777" w:rsidR="00931DD9" w:rsidRPr="00931DD9" w:rsidRDefault="00931DD9" w:rsidP="00931DD9">
            <w:r w:rsidRPr="00931DD9">
              <w:rPr>
                <w:b/>
                <w:bCs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5B73830D" w14:textId="77777777" w:rsidR="00931DD9" w:rsidRPr="00931DD9" w:rsidRDefault="00931DD9" w:rsidP="00931DD9">
            <w:r w:rsidRPr="00931DD9">
              <w:rPr>
                <w:b/>
                <w:bCs/>
              </w:rPr>
              <w:t>60–69%</w:t>
            </w:r>
          </w:p>
        </w:tc>
        <w:tc>
          <w:tcPr>
            <w:tcW w:w="0" w:type="auto"/>
            <w:vAlign w:val="center"/>
            <w:hideMark/>
          </w:tcPr>
          <w:p w14:paraId="797779E3" w14:textId="77777777" w:rsidR="00931DD9" w:rsidRPr="00931DD9" w:rsidRDefault="00931DD9" w:rsidP="00931DD9">
            <w:r w:rsidRPr="00931DD9">
              <w:t>Best performer, skip connections improve reuse and generalization</w:t>
            </w:r>
          </w:p>
        </w:tc>
      </w:tr>
    </w:tbl>
    <w:p w14:paraId="4F7A4C5A" w14:textId="77777777" w:rsidR="00931DD9" w:rsidRPr="00931DD9" w:rsidRDefault="00931DD9" w:rsidP="00931DD9">
      <w:r w:rsidRPr="00931DD9">
        <w:pict w14:anchorId="0A2783F8">
          <v:rect id="_x0000_i1082" style="width:0;height:1.5pt" o:hralign="center" o:hrstd="t" o:hr="t" fillcolor="#a0a0a0" stroked="f"/>
        </w:pict>
      </w:r>
    </w:p>
    <w:p w14:paraId="21D009EA" w14:textId="77777777" w:rsidR="00931DD9" w:rsidRPr="00931DD9" w:rsidRDefault="00931DD9" w:rsidP="00931DD9">
      <w:pPr>
        <w:rPr>
          <w:b/>
          <w:bCs/>
        </w:rPr>
      </w:pPr>
      <w:r w:rsidRPr="00931DD9">
        <w:rPr>
          <w:rFonts w:ascii="Segoe UI Emoji" w:hAnsi="Segoe UI Emoji" w:cs="Segoe UI Emoji"/>
          <w:b/>
          <w:bCs/>
        </w:rPr>
        <w:t>🔧</w:t>
      </w:r>
      <w:r w:rsidRPr="00931DD9">
        <w:rPr>
          <w:b/>
          <w:bCs/>
        </w:rPr>
        <w:t xml:space="preserve"> Training Techniques</w:t>
      </w:r>
    </w:p>
    <w:p w14:paraId="45191B17" w14:textId="77777777" w:rsidR="00931DD9" w:rsidRPr="00931DD9" w:rsidRDefault="00931DD9" w:rsidP="00931DD9">
      <w:pPr>
        <w:numPr>
          <w:ilvl w:val="0"/>
          <w:numId w:val="3"/>
        </w:numPr>
      </w:pPr>
      <w:r w:rsidRPr="00931DD9">
        <w:t>Data Augmentation (flip, zoom, rotation)</w:t>
      </w:r>
    </w:p>
    <w:p w14:paraId="6F312D53" w14:textId="77777777" w:rsidR="00931DD9" w:rsidRPr="00931DD9" w:rsidRDefault="00931DD9" w:rsidP="00931DD9">
      <w:pPr>
        <w:numPr>
          <w:ilvl w:val="0"/>
          <w:numId w:val="3"/>
        </w:numPr>
      </w:pPr>
      <w:r w:rsidRPr="00931DD9">
        <w:t>Fine-Tuning (last 20 layers unfrozen)</w:t>
      </w:r>
    </w:p>
    <w:p w14:paraId="4CA4BF8A" w14:textId="77777777" w:rsidR="00931DD9" w:rsidRPr="00931DD9" w:rsidRDefault="00931DD9" w:rsidP="00931DD9">
      <w:pPr>
        <w:numPr>
          <w:ilvl w:val="0"/>
          <w:numId w:val="3"/>
        </w:numPr>
      </w:pPr>
      <w:r w:rsidRPr="00931DD9">
        <w:t>Regularization (L2 penalty at λ = 0.001)</w:t>
      </w:r>
    </w:p>
    <w:p w14:paraId="6754EAAC" w14:textId="77777777" w:rsidR="00931DD9" w:rsidRPr="00931DD9" w:rsidRDefault="00931DD9" w:rsidP="00931DD9">
      <w:pPr>
        <w:numPr>
          <w:ilvl w:val="0"/>
          <w:numId w:val="3"/>
        </w:numPr>
      </w:pPr>
      <w:r w:rsidRPr="00931DD9">
        <w:t>Dropout (less effective)</w:t>
      </w:r>
    </w:p>
    <w:p w14:paraId="3FBBA4A6" w14:textId="77777777" w:rsidR="00931DD9" w:rsidRPr="00931DD9" w:rsidRDefault="00931DD9" w:rsidP="00931DD9">
      <w:pPr>
        <w:numPr>
          <w:ilvl w:val="0"/>
          <w:numId w:val="3"/>
        </w:numPr>
      </w:pPr>
      <w:r w:rsidRPr="00931DD9">
        <w:t>Early Stopping (based on validation loss)</w:t>
      </w:r>
    </w:p>
    <w:p w14:paraId="1CA837D1" w14:textId="77777777" w:rsidR="00931DD9" w:rsidRPr="00931DD9" w:rsidRDefault="00931DD9" w:rsidP="00931DD9">
      <w:r w:rsidRPr="00931DD9">
        <w:pict w14:anchorId="28FE6F54">
          <v:rect id="_x0000_i1083" style="width:0;height:1.5pt" o:hralign="center" o:hrstd="t" o:hr="t" fillcolor="#a0a0a0" stroked="f"/>
        </w:pict>
      </w:r>
    </w:p>
    <w:p w14:paraId="7C7219A6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t>4. Observations</w:t>
      </w:r>
    </w:p>
    <w:p w14:paraId="404EF582" w14:textId="77777777" w:rsidR="00931DD9" w:rsidRPr="00931DD9" w:rsidRDefault="00931DD9" w:rsidP="00931DD9">
      <w:pPr>
        <w:rPr>
          <w:b/>
          <w:bCs/>
        </w:rPr>
      </w:pPr>
      <w:r w:rsidRPr="00931DD9">
        <w:rPr>
          <w:rFonts w:ascii="Segoe UI Emoji" w:hAnsi="Segoe UI Emoji" w:cs="Segoe UI Emoji"/>
          <w:b/>
          <w:bCs/>
        </w:rPr>
        <w:t>🔍</w:t>
      </w:r>
      <w:r w:rsidRPr="00931DD9">
        <w:rPr>
          <w:b/>
          <w:bCs/>
        </w:rPr>
        <w:t xml:space="preserve"> Why Does Loss Remain High Despite Good Accuracy?</w:t>
      </w:r>
    </w:p>
    <w:p w14:paraId="302D4DFA" w14:textId="77777777" w:rsidR="00931DD9" w:rsidRPr="00931DD9" w:rsidRDefault="00931DD9" w:rsidP="00931DD9">
      <w:pPr>
        <w:numPr>
          <w:ilvl w:val="0"/>
          <w:numId w:val="4"/>
        </w:numPr>
      </w:pPr>
      <w:r w:rsidRPr="00931DD9">
        <w:rPr>
          <w:b/>
          <w:bCs/>
        </w:rPr>
        <w:t xml:space="preserve">Categorical </w:t>
      </w:r>
      <w:proofErr w:type="spellStart"/>
      <w:r w:rsidRPr="00931DD9">
        <w:rPr>
          <w:b/>
          <w:bCs/>
        </w:rPr>
        <w:t>Crossentropy</w:t>
      </w:r>
      <w:proofErr w:type="spellEnd"/>
      <w:r w:rsidRPr="00931DD9">
        <w:rPr>
          <w:b/>
          <w:bCs/>
        </w:rPr>
        <w:t xml:space="preserve"> Nature</w:t>
      </w:r>
      <w:r w:rsidRPr="00931DD9">
        <w:t>:</w:t>
      </w:r>
      <w:r w:rsidRPr="00931DD9">
        <w:br/>
        <w:t>Penalizes even slightly low-confidence correct predictions, which are common in 120-class problems.</w:t>
      </w:r>
    </w:p>
    <w:p w14:paraId="551529D0" w14:textId="77777777" w:rsidR="00931DD9" w:rsidRPr="00931DD9" w:rsidRDefault="00931DD9" w:rsidP="00931DD9">
      <w:pPr>
        <w:numPr>
          <w:ilvl w:val="0"/>
          <w:numId w:val="4"/>
        </w:numPr>
      </w:pPr>
      <w:r w:rsidRPr="00931DD9">
        <w:rPr>
          <w:b/>
          <w:bCs/>
        </w:rPr>
        <w:t>Regularization Impact (L2)</w:t>
      </w:r>
      <w:r w:rsidRPr="00931DD9">
        <w:t>:</w:t>
      </w:r>
      <w:r w:rsidRPr="00931DD9">
        <w:br/>
        <w:t>Increases the total loss by adding a penalty term to avoid overfitting — accuracy improves, but loss does not necessarily drop.</w:t>
      </w:r>
    </w:p>
    <w:p w14:paraId="27F20108" w14:textId="77777777" w:rsidR="00931DD9" w:rsidRPr="00931DD9" w:rsidRDefault="00931DD9" w:rsidP="00931DD9">
      <w:pPr>
        <w:numPr>
          <w:ilvl w:val="0"/>
          <w:numId w:val="4"/>
        </w:numPr>
      </w:pPr>
      <w:r w:rsidRPr="00931DD9">
        <w:rPr>
          <w:b/>
          <w:bCs/>
        </w:rPr>
        <w:t>Model Confidence vs. Correctness</w:t>
      </w:r>
      <w:r w:rsidRPr="00931DD9">
        <w:t>:</w:t>
      </w:r>
      <w:r w:rsidRPr="00931DD9">
        <w:br/>
        <w:t>A correct prediction with 60% confidence still incurs a noticeable penalty.</w:t>
      </w:r>
    </w:p>
    <w:p w14:paraId="0A1E5C09" w14:textId="77777777" w:rsidR="00931DD9" w:rsidRPr="00931DD9" w:rsidRDefault="00931DD9" w:rsidP="00931DD9">
      <w:pPr>
        <w:numPr>
          <w:ilvl w:val="0"/>
          <w:numId w:val="4"/>
        </w:numPr>
      </w:pPr>
      <w:r w:rsidRPr="00931DD9">
        <w:rPr>
          <w:b/>
          <w:bCs/>
        </w:rPr>
        <w:lastRenderedPageBreak/>
        <w:t>Data Limitations</w:t>
      </w:r>
      <w:r w:rsidRPr="00931DD9">
        <w:t>:</w:t>
      </w:r>
      <w:r w:rsidRPr="00931DD9">
        <w:br/>
        <w:t>Many classes have too few samples. The model ends up memorizing rather than generalizing, especially in early epochs.</w:t>
      </w:r>
    </w:p>
    <w:p w14:paraId="49BD8DBA" w14:textId="77777777" w:rsidR="00931DD9" w:rsidRPr="00931DD9" w:rsidRDefault="00931DD9" w:rsidP="00931DD9">
      <w:r w:rsidRPr="00931DD9">
        <w:pict w14:anchorId="44019FC4">
          <v:rect id="_x0000_i1084" style="width:0;height:1.5pt" o:hralign="center" o:hrstd="t" o:hr="t" fillcolor="#a0a0a0" stroked="f"/>
        </w:pict>
      </w:r>
    </w:p>
    <w:p w14:paraId="07F2E4DA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t>5. Case Study – DenseNet121</w:t>
      </w:r>
    </w:p>
    <w:p w14:paraId="0C422F3A" w14:textId="77777777" w:rsidR="00931DD9" w:rsidRPr="00931DD9" w:rsidRDefault="00931DD9" w:rsidP="00931DD9">
      <w:pPr>
        <w:rPr>
          <w:b/>
          <w:bCs/>
        </w:rPr>
      </w:pPr>
      <w:r w:rsidRPr="00931DD9">
        <w:rPr>
          <w:rFonts w:ascii="Segoe UI Emoji" w:hAnsi="Segoe UI Emoji" w:cs="Segoe UI Emoji"/>
          <w:b/>
          <w:bCs/>
        </w:rPr>
        <w:t>🧠</w:t>
      </w:r>
      <w:r w:rsidRPr="00931DD9">
        <w:rPr>
          <w:b/>
          <w:bCs/>
        </w:rPr>
        <w:t xml:space="preserve"> Epoch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5928"/>
      </w:tblGrid>
      <w:tr w:rsidR="00931DD9" w:rsidRPr="00931DD9" w14:paraId="071C2FA3" w14:textId="77777777" w:rsidTr="00931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A881A" w14:textId="77777777" w:rsidR="00931DD9" w:rsidRPr="00931DD9" w:rsidRDefault="00931DD9" w:rsidP="00931DD9">
            <w:pPr>
              <w:rPr>
                <w:b/>
                <w:bCs/>
              </w:rPr>
            </w:pPr>
            <w:r w:rsidRPr="00931DD9">
              <w:rPr>
                <w:b/>
                <w:bCs/>
              </w:rPr>
              <w:t>Epoch Range</w:t>
            </w:r>
          </w:p>
        </w:tc>
        <w:tc>
          <w:tcPr>
            <w:tcW w:w="0" w:type="auto"/>
            <w:vAlign w:val="center"/>
            <w:hideMark/>
          </w:tcPr>
          <w:p w14:paraId="2EE44AF4" w14:textId="77777777" w:rsidR="00931DD9" w:rsidRPr="00931DD9" w:rsidRDefault="00931DD9" w:rsidP="00931DD9">
            <w:pPr>
              <w:rPr>
                <w:b/>
                <w:bCs/>
              </w:rPr>
            </w:pPr>
            <w:r w:rsidRPr="00931DD9">
              <w:rPr>
                <w:b/>
                <w:bCs/>
              </w:rPr>
              <w:t>Behavior</w:t>
            </w:r>
          </w:p>
        </w:tc>
      </w:tr>
      <w:tr w:rsidR="00931DD9" w:rsidRPr="00931DD9" w14:paraId="6D1733EF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2E25" w14:textId="77777777" w:rsidR="00931DD9" w:rsidRPr="00931DD9" w:rsidRDefault="00931DD9" w:rsidP="00931DD9">
            <w:r w:rsidRPr="00931DD9">
              <w:t>1–4</w:t>
            </w:r>
          </w:p>
        </w:tc>
        <w:tc>
          <w:tcPr>
            <w:tcW w:w="0" w:type="auto"/>
            <w:vAlign w:val="center"/>
            <w:hideMark/>
          </w:tcPr>
          <w:p w14:paraId="6E63288A" w14:textId="77777777" w:rsidR="00931DD9" w:rsidRPr="00931DD9" w:rsidRDefault="00931DD9" w:rsidP="00931DD9">
            <w:r w:rsidRPr="00931DD9">
              <w:t>Accuracy jumps from 29% to 63% (augmentation helped)</w:t>
            </w:r>
          </w:p>
        </w:tc>
      </w:tr>
      <w:tr w:rsidR="00931DD9" w:rsidRPr="00931DD9" w14:paraId="6FB5BE8D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5721" w14:textId="77777777" w:rsidR="00931DD9" w:rsidRPr="00931DD9" w:rsidRDefault="00931DD9" w:rsidP="00931DD9">
            <w:r w:rsidRPr="00931DD9">
              <w:t>5–10</w:t>
            </w:r>
          </w:p>
        </w:tc>
        <w:tc>
          <w:tcPr>
            <w:tcW w:w="0" w:type="auto"/>
            <w:vAlign w:val="center"/>
            <w:hideMark/>
          </w:tcPr>
          <w:p w14:paraId="0F8B57D8" w14:textId="77777777" w:rsidR="00931DD9" w:rsidRPr="00931DD9" w:rsidRDefault="00931DD9" w:rsidP="00931DD9">
            <w:r w:rsidRPr="00931DD9">
              <w:t>Steady accuracy climb; loss decreased gradually</w:t>
            </w:r>
          </w:p>
        </w:tc>
      </w:tr>
      <w:tr w:rsidR="00931DD9" w:rsidRPr="00931DD9" w14:paraId="5E5D2BD9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1332" w14:textId="77777777" w:rsidR="00931DD9" w:rsidRPr="00931DD9" w:rsidRDefault="00931DD9" w:rsidP="00931DD9">
            <w:r w:rsidRPr="00931DD9">
              <w:t>11–13</w:t>
            </w:r>
          </w:p>
        </w:tc>
        <w:tc>
          <w:tcPr>
            <w:tcW w:w="0" w:type="auto"/>
            <w:vAlign w:val="center"/>
            <w:hideMark/>
          </w:tcPr>
          <w:p w14:paraId="29593544" w14:textId="77777777" w:rsidR="00931DD9" w:rsidRPr="00931DD9" w:rsidRDefault="00931DD9" w:rsidP="00931DD9">
            <w:r w:rsidRPr="00931DD9">
              <w:t>Peak validation accuracy at 69.84%, ~75% train accuracy</w:t>
            </w:r>
          </w:p>
        </w:tc>
      </w:tr>
      <w:tr w:rsidR="00931DD9" w:rsidRPr="00931DD9" w14:paraId="657CC78B" w14:textId="77777777" w:rsidTr="00931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FBE0" w14:textId="77777777" w:rsidR="00931DD9" w:rsidRPr="00931DD9" w:rsidRDefault="00931DD9" w:rsidP="00931DD9">
            <w:r w:rsidRPr="00931DD9">
              <w:t>14–16</w:t>
            </w:r>
          </w:p>
        </w:tc>
        <w:tc>
          <w:tcPr>
            <w:tcW w:w="0" w:type="auto"/>
            <w:vAlign w:val="center"/>
            <w:hideMark/>
          </w:tcPr>
          <w:p w14:paraId="2B368443" w14:textId="77777777" w:rsidR="00931DD9" w:rsidRPr="00931DD9" w:rsidRDefault="00931DD9" w:rsidP="00931DD9">
            <w:r w:rsidRPr="00931DD9">
              <w:t xml:space="preserve">Slight </w:t>
            </w:r>
            <w:proofErr w:type="spellStart"/>
            <w:r w:rsidRPr="00931DD9">
              <w:t>val</w:t>
            </w:r>
            <w:proofErr w:type="spellEnd"/>
            <w:r w:rsidRPr="00931DD9">
              <w:t xml:space="preserve"> dip; early stopping avoided overfitting</w:t>
            </w:r>
          </w:p>
        </w:tc>
      </w:tr>
    </w:tbl>
    <w:p w14:paraId="7F000B17" w14:textId="77777777" w:rsidR="00931DD9" w:rsidRPr="00931DD9" w:rsidRDefault="00931DD9" w:rsidP="00931DD9">
      <w:r w:rsidRPr="00931DD9">
        <w:t xml:space="preserve">Even at this performance level, validation loss stayed around </w:t>
      </w:r>
      <w:r w:rsidRPr="00931DD9">
        <w:rPr>
          <w:b/>
          <w:bCs/>
        </w:rPr>
        <w:t>2.5+</w:t>
      </w:r>
      <w:r w:rsidRPr="00931DD9">
        <w:t>, due to L2 penalties and prediction confidence issues.</w:t>
      </w:r>
    </w:p>
    <w:p w14:paraId="3FB66B44" w14:textId="77777777" w:rsidR="00931DD9" w:rsidRPr="00931DD9" w:rsidRDefault="00931DD9" w:rsidP="00931DD9">
      <w:r w:rsidRPr="00931DD9">
        <w:pict w14:anchorId="0D5AE92A">
          <v:rect id="_x0000_i1085" style="width:0;height:1.5pt" o:hralign="center" o:hrstd="t" o:hr="t" fillcolor="#a0a0a0" stroked="f"/>
        </w:pict>
      </w:r>
    </w:p>
    <w:p w14:paraId="543DD78F" w14:textId="77777777" w:rsidR="00931DD9" w:rsidRPr="00931DD9" w:rsidRDefault="00931DD9" w:rsidP="00931DD9">
      <w:pPr>
        <w:rPr>
          <w:b/>
          <w:bCs/>
        </w:rPr>
      </w:pPr>
      <w:r w:rsidRPr="00931DD9">
        <w:rPr>
          <w:b/>
          <w:bCs/>
        </w:rPr>
        <w:t>6. Conclusion</w:t>
      </w:r>
    </w:p>
    <w:p w14:paraId="63836A34" w14:textId="77777777" w:rsidR="00931DD9" w:rsidRPr="00931DD9" w:rsidRDefault="00931DD9" w:rsidP="00931DD9">
      <w:r w:rsidRPr="00931DD9">
        <w:t xml:space="preserve">Despite the common perception that high loss = poor performance, this project shows that </w:t>
      </w:r>
      <w:r w:rsidRPr="00931DD9">
        <w:rPr>
          <w:b/>
          <w:bCs/>
        </w:rPr>
        <w:t>context matters</w:t>
      </w:r>
      <w:r w:rsidRPr="00931DD9">
        <w:t>. When dealing with:</w:t>
      </w:r>
    </w:p>
    <w:p w14:paraId="438E4440" w14:textId="77777777" w:rsidR="00931DD9" w:rsidRPr="00931DD9" w:rsidRDefault="00931DD9" w:rsidP="00931DD9">
      <w:pPr>
        <w:numPr>
          <w:ilvl w:val="0"/>
          <w:numId w:val="5"/>
        </w:numPr>
      </w:pPr>
      <w:r w:rsidRPr="00931DD9">
        <w:t>Fine-grained data</w:t>
      </w:r>
    </w:p>
    <w:p w14:paraId="43DD32A7" w14:textId="77777777" w:rsidR="00931DD9" w:rsidRPr="00931DD9" w:rsidRDefault="00931DD9" w:rsidP="00931DD9">
      <w:pPr>
        <w:numPr>
          <w:ilvl w:val="0"/>
          <w:numId w:val="5"/>
        </w:numPr>
      </w:pPr>
      <w:r w:rsidRPr="00931DD9">
        <w:t>Many classes</w:t>
      </w:r>
    </w:p>
    <w:p w14:paraId="17ECFD9F" w14:textId="77777777" w:rsidR="00931DD9" w:rsidRPr="00931DD9" w:rsidRDefault="00931DD9" w:rsidP="00931DD9">
      <w:pPr>
        <w:numPr>
          <w:ilvl w:val="0"/>
          <w:numId w:val="5"/>
        </w:numPr>
      </w:pPr>
      <w:r w:rsidRPr="00931DD9">
        <w:t>Regularization</w:t>
      </w:r>
    </w:p>
    <w:p w14:paraId="79CA8524" w14:textId="77777777" w:rsidR="00931DD9" w:rsidRPr="00931DD9" w:rsidRDefault="00931DD9" w:rsidP="00931DD9">
      <w:pPr>
        <w:numPr>
          <w:ilvl w:val="0"/>
          <w:numId w:val="5"/>
        </w:numPr>
      </w:pPr>
      <w:r w:rsidRPr="00931DD9">
        <w:t>High penalty loss functions</w:t>
      </w:r>
    </w:p>
    <w:p w14:paraId="6962A1BF" w14:textId="77777777" w:rsidR="00931DD9" w:rsidRPr="00931DD9" w:rsidRDefault="00931DD9" w:rsidP="00931DD9">
      <w:r w:rsidRPr="00931DD9">
        <w:t xml:space="preserve">…a </w:t>
      </w:r>
      <w:r w:rsidRPr="00931DD9">
        <w:rPr>
          <w:b/>
          <w:bCs/>
        </w:rPr>
        <w:t>high loss value can still accompany strong generalization</w:t>
      </w:r>
      <w:r w:rsidRPr="00931DD9">
        <w:t>. DenseNet121, with feature reuse and skip connections, proved to be the most reliable model under these constraints.</w:t>
      </w:r>
    </w:p>
    <w:p w14:paraId="25E9057C" w14:textId="77777777" w:rsidR="00931DD9" w:rsidRPr="00931DD9" w:rsidRDefault="00931DD9" w:rsidP="00931DD9"/>
    <w:p w14:paraId="7684421B" w14:textId="77777777" w:rsidR="0068228D" w:rsidRDefault="0068228D"/>
    <w:sectPr w:rsidR="0068228D" w:rsidSect="00015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0A25"/>
    <w:multiLevelType w:val="multilevel"/>
    <w:tmpl w:val="DD2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52A63"/>
    <w:multiLevelType w:val="multilevel"/>
    <w:tmpl w:val="A65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A2DD3"/>
    <w:multiLevelType w:val="multilevel"/>
    <w:tmpl w:val="5232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13A9B"/>
    <w:multiLevelType w:val="multilevel"/>
    <w:tmpl w:val="F8A4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E18A3"/>
    <w:multiLevelType w:val="multilevel"/>
    <w:tmpl w:val="C326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9890">
    <w:abstractNumId w:val="4"/>
  </w:num>
  <w:num w:numId="2" w16cid:durableId="1574849035">
    <w:abstractNumId w:val="2"/>
  </w:num>
  <w:num w:numId="3" w16cid:durableId="1569269164">
    <w:abstractNumId w:val="1"/>
  </w:num>
  <w:num w:numId="4" w16cid:durableId="1812167150">
    <w:abstractNumId w:val="3"/>
  </w:num>
  <w:num w:numId="5" w16cid:durableId="99195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D9"/>
    <w:rsid w:val="000123AD"/>
    <w:rsid w:val="00015445"/>
    <w:rsid w:val="0052743B"/>
    <w:rsid w:val="0068228D"/>
    <w:rsid w:val="00931DD9"/>
    <w:rsid w:val="00933A8F"/>
    <w:rsid w:val="00A6273D"/>
    <w:rsid w:val="00B0136A"/>
    <w:rsid w:val="00C7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6B"/>
  <w15:chartTrackingRefBased/>
  <w15:docId w15:val="{DB433A0A-6B88-4E56-B199-B1CCE664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Zaki</dc:creator>
  <cp:keywords/>
  <dc:description/>
  <cp:lastModifiedBy>Abdallah Zaki</cp:lastModifiedBy>
  <cp:revision>1</cp:revision>
  <dcterms:created xsi:type="dcterms:W3CDTF">2025-05-30T08:47:00Z</dcterms:created>
  <dcterms:modified xsi:type="dcterms:W3CDTF">2025-05-30T08:48:00Z</dcterms:modified>
</cp:coreProperties>
</file>