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021205" cy="673735"/>
                    </a:xfrm>
                    <a:prstGeom prst="rect">
                      <a:avLst/>
                    </a:prstGeom>
                    <a:noFill/>
                    <a:ln>
                      <a:noFill/>
                    </a:ln>
                  </pic:spPr>
                </pic:pic>
              </a:graphicData>
            </a:graphic>
          </wp:inline>
        </w:drawing>
      </w:r>
    </w:p>
    <w:p w14:paraId="112E3B16">
      <w:pPr>
        <w:rPr>
          <w:rFonts w:hint="default"/>
          <w:lang w:val="fr-FR"/>
        </w:rPr>
      </w:pPr>
      <w:r>
        <w:rPr>
          <w:rFonts w:ascii="Times New Roman" w:hAnsi="Times New Roman" w:cs="Times New Roman"/>
        </w:rPr>
        <mc:AlternateContent>
          <mc:Choice Requires="wps">
            <w:drawing>
              <wp:anchor distT="18415" distB="18415" distL="18415" distR="18415" simplePos="0" relativeHeight="251659264"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59264;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5"/>
                    <a:stretch>
                      <a:fillRect/>
                    </a:stretch>
                  </pic:blipFill>
                  <pic:spPr>
                    <a:xfrm>
                      <a:off x="0" y="0"/>
                      <a:ext cx="1143000" cy="1045845"/>
                    </a:xfrm>
                    <a:prstGeom prst="rect">
                      <a:avLst/>
                    </a:prstGeom>
                  </pic:spPr>
                </pic:pic>
              </a:graphicData>
            </a:graphic>
          </wp:inline>
        </w:drawing>
      </w:r>
    </w:p>
    <w:p w14:paraId="55306B38">
      <w:pPr>
        <w:spacing w:line="36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ind w:firstLine="105" w:firstLineChars="50"/>
        <w:jc w:val="both"/>
        <w:rPr>
          <w:rFonts w:hint="default"/>
          <w:lang w:val="fr-FR"/>
        </w:rPr>
      </w:pPr>
    </w:p>
    <w:p w14:paraId="4B4993B9">
      <w:pPr>
        <w:bidi w:val="0"/>
        <w:ind w:firstLine="105" w:firstLineChars="50"/>
        <w:jc w:val="both"/>
        <w:rPr>
          <w:rFonts w:hint="default"/>
          <w:lang w:val="fr-FR"/>
        </w:rPr>
      </w:pPr>
    </w:p>
    <w:p w14:paraId="3BBAB9FD">
      <w:pPr>
        <w:bidi w:val="0"/>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1312;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ind w:firstLine="105" w:firstLineChars="50"/>
        <w:jc w:val="both"/>
        <w:rPr>
          <w:rFonts w:hint="default"/>
          <w:lang w:val="fr-FR"/>
        </w:rPr>
      </w:pPr>
    </w:p>
    <w:p w14:paraId="3848BEFD">
      <w:pPr>
        <w:bidi w:val="0"/>
        <w:ind w:firstLine="105" w:firstLineChars="50"/>
        <w:jc w:val="both"/>
        <w:rPr>
          <w:rFonts w:hint="default"/>
          <w:lang w:val="fr-FR"/>
        </w:rPr>
      </w:pPr>
    </w:p>
    <w:p w14:paraId="2C7F498B">
      <w:pPr>
        <w:bidi w:val="0"/>
        <w:ind w:firstLine="105" w:firstLineChars="50"/>
        <w:jc w:val="both"/>
        <w:rPr>
          <w:rFonts w:hint="default"/>
          <w:lang w:val="fr-FR"/>
        </w:rPr>
      </w:pPr>
    </w:p>
    <w:p w14:paraId="4DD1C4EA">
      <w:pPr>
        <w:bidi w:val="0"/>
        <w:ind w:firstLine="105" w:firstLineChars="50"/>
        <w:jc w:val="both"/>
        <w:rPr>
          <w:rFonts w:hint="default"/>
          <w:lang w:val="fr-FR"/>
        </w:rPr>
      </w:pPr>
      <w:r>
        <w:rPr>
          <w:sz w:val="21"/>
        </w:rPr>
        <mc:AlternateContent>
          <mc:Choice Requires="wps">
            <w:drawing>
              <wp:anchor distT="0" distB="0" distL="114300" distR="114300" simplePos="0" relativeHeight="251660288"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0288;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ind w:firstLine="105" w:firstLineChars="50"/>
        <w:jc w:val="both"/>
        <w:rPr>
          <w:rFonts w:hint="default"/>
          <w:lang w:val="fr-FR"/>
        </w:rPr>
      </w:pPr>
    </w:p>
    <w:p w14:paraId="5052E52D">
      <w:pPr>
        <w:bidi w:val="0"/>
        <w:ind w:firstLine="105" w:firstLineChars="50"/>
        <w:jc w:val="both"/>
        <w:rPr>
          <w:rFonts w:hint="default"/>
          <w:lang w:val="fr-FR"/>
        </w:rPr>
      </w:pPr>
    </w:p>
    <w:p w14:paraId="04AFF3BD">
      <w:pPr>
        <w:bidi w:val="0"/>
        <w:ind w:firstLine="105" w:firstLineChars="50"/>
        <w:jc w:val="both"/>
        <w:rPr>
          <w:rFonts w:hint="default"/>
          <w:lang w:val="fr-FR"/>
        </w:rPr>
      </w:pPr>
    </w:p>
    <w:p w14:paraId="7D78141B">
      <w:pPr>
        <w:bidi w:val="0"/>
        <w:ind w:firstLine="105" w:firstLineChars="50"/>
        <w:jc w:val="both"/>
        <w:rPr>
          <w:rFonts w:hint="default"/>
          <w:lang w:val="fr-FR"/>
        </w:rPr>
      </w:pPr>
    </w:p>
    <w:p w14:paraId="68DAD399">
      <w:pPr>
        <w:bidi w:val="0"/>
        <w:jc w:val="both"/>
        <w:rPr>
          <w:rFonts w:hint="default"/>
          <w:lang w:val="fr-FR"/>
        </w:rPr>
      </w:pPr>
    </w:p>
    <w:p w14:paraId="51941637">
      <w:pPr>
        <w:bidi w:val="0"/>
        <w:jc w:val="both"/>
        <w:rPr>
          <w:rFonts w:hint="default"/>
          <w:lang w:val="fr-FR"/>
        </w:rPr>
      </w:pPr>
    </w:p>
    <w:p w14:paraId="5925C3A1">
      <w:pPr>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36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360" w:lineRule="auto"/>
        <w:jc w:val="center"/>
        <w:rPr>
          <w:rFonts w:hint="default" w:ascii="Times New Roman" w:hAnsi="Times New Roman"/>
          <w:b w:val="0"/>
          <w:bCs w:val="0"/>
          <w:sz w:val="24"/>
          <w:szCs w:val="24"/>
          <w:lang w:val="fr-FR"/>
        </w:rPr>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Style w:val="15"/>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8"/>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30EADFD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524E01B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D203B7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1B195A8">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A92D1C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45BB34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8B1218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1EE6EB4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6DE0729A">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8E1D91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4C2AAB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392375B">
      <w:pPr>
        <w:pStyle w:val="2"/>
        <w:bidi w:val="0"/>
        <w:rPr>
          <w:rFonts w:hint="default" w:ascii="Times New Roman" w:hAnsi="Times New Roman" w:cs="Times New Roman"/>
          <w:sz w:val="28"/>
          <w:szCs w:val="28"/>
        </w:rPr>
      </w:pPr>
      <w:r>
        <w:rPr>
          <w:rFonts w:hint="default" w:ascii="Times New Roman" w:hAnsi="Times New Roman" w:cs="Times New Roman"/>
          <w:sz w:val="28"/>
          <w:szCs w:val="28"/>
        </w:rPr>
        <w:t>Partie 1 – Sensing Layer : Collecte et mesure de consommation</w:t>
      </w:r>
    </w:p>
    <w:p w14:paraId="289D693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03C53D0B">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la couche de perception est responsable de l’acquisition des données brutes depuis les capteurs (présence, RFID, etc.). Ces données doivent être collectées de manière fiable tout en minimisant la consommation d’énergie, en particulier pour des dispositifs fonctionnant sur batterie. L’objectif de cette première partie est de :</w:t>
      </w:r>
    </w:p>
    <w:p w14:paraId="1FAF3BC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jeu de données public.</w:t>
      </w:r>
    </w:p>
    <w:p w14:paraId="27954FD9">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70425FBD">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1AF0B7FA">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3D052042">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E397ECE">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le jeu de données </w:t>
      </w:r>
      <w:r>
        <w:rPr>
          <w:rStyle w:val="8"/>
          <w:rFonts w:hint="default" w:ascii="Times New Roman" w:hAnsi="Times New Roman" w:eastAsia="Segoe UI" w:cs="Times New Roman"/>
          <w:b/>
          <w:bCs/>
          <w:i w:val="0"/>
          <w:iCs w:val="0"/>
          <w:caps w:val="0"/>
          <w:color w:val="0F1115"/>
          <w:spacing w:val="0"/>
          <w:sz w:val="24"/>
          <w:szCs w:val="24"/>
          <w:shd w:val="clear" w:fill="FFFFFF"/>
        </w:rPr>
        <w:t>N</w:t>
      </w:r>
      <w:r>
        <w:rPr>
          <w:rStyle w:val="8"/>
          <w:rFonts w:hint="default" w:ascii="Times New Roman" w:hAnsi="Times New Roman" w:eastAsia="Segoe UI" w:cs="Times New Roman"/>
          <w:b/>
          <w:bCs/>
          <w:i w:val="0"/>
          <w:iCs w:val="0"/>
          <w:caps w:val="0"/>
          <w:color w:val="0F1115"/>
          <w:spacing w:val="0"/>
          <w:sz w:val="24"/>
          <w:szCs w:val="24"/>
          <w:shd w:val="clear" w:fill="FFFFFF"/>
        </w:rPr>
        <w:noBreakHyphen/>
      </w:r>
      <w:r>
        <w:rPr>
          <w:rStyle w:val="8"/>
          <w:rFonts w:hint="default" w:ascii="Times New Roman" w:hAnsi="Times New Roman" w:eastAsia="Segoe UI" w:cs="Times New Roman"/>
          <w:b/>
          <w:bCs/>
          <w:i w:val="0"/>
          <w:iCs w:val="0"/>
          <w:caps w:val="0"/>
          <w:color w:val="0F1115"/>
          <w:spacing w:val="0"/>
          <w:sz w:val="24"/>
          <w:szCs w:val="24"/>
          <w:shd w:val="clear" w:fill="FFFFFF"/>
        </w:rPr>
        <w:t>BaIoT</w:t>
      </w:r>
      <w:r>
        <w:rPr>
          <w:rFonts w:hint="default" w:ascii="Times New Roman" w:hAnsi="Times New Roman" w:eastAsia="Segoe UI" w:cs="Times New Roman"/>
          <w:i w:val="0"/>
          <w:iCs w:val="0"/>
          <w:caps w:val="0"/>
          <w:color w:val="0F1115"/>
          <w:spacing w:val="0"/>
          <w:sz w:val="24"/>
          <w:szCs w:val="24"/>
          <w:shd w:val="clear" w:fill="FFFFFF"/>
        </w:rPr>
        <w:t>, qui contient des traces réseau de neuf dispositifs IoT réels, dont un capteur de mouvement. Ce jeu est particulièrement adapté car il fournit des caractéristiques statistiques (magnitudes, rayons, etc.) extraites du trafic, permettant de simuler une détection de présence.</w:t>
      </w:r>
    </w:p>
    <w:p w14:paraId="7947E40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fichier utilisé est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qui correspond à un comportement normal du capteur. Les colonnes disponibles sont au nombre de 115, typiquement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HH_L5_radius</w:t>
      </w:r>
      <w:r>
        <w:rPr>
          <w:rFonts w:hint="default" w:ascii="Times New Roman" w:hAnsi="Times New Roman" w:eastAsia="Segoe UI" w:cs="Times New Roman"/>
          <w:i w:val="0"/>
          <w:iCs w:val="0"/>
          <w:caps w:val="0"/>
          <w:color w:val="0F1115"/>
          <w:spacing w:val="0"/>
          <w:sz w:val="24"/>
          <w:szCs w:val="24"/>
          <w:shd w:val="clear" w:fill="FFFFFF"/>
        </w:rPr>
        <w:t>, etc. Nous avons sélectionné la colonne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comme indicateur de mouvement : une valeur élevée de cette magnitude indique une activité.</w:t>
      </w:r>
    </w:p>
    <w:p w14:paraId="2C7F7D6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3CA92C4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44CF542B">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6E59CE1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0F14B8FD">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0EDD293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316A9BD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2405642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E(J)=CPUmoyen(%)100×TDP(W)×dureˊe(s)</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)=100CPUmoyen​(%)​×TDP(</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)×dureˊe(</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p>
    <w:p w14:paraId="6F6DE91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4840B9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Capaciteˊ (mAh)=E(J)U(V)×10003600Capaciteˊ (mAh)=</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)​×36001000​</w:t>
      </w:r>
    </w:p>
    <w:p w14:paraId="16285FF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35119123">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w:t>
      </w:r>
    </w:p>
    <w:p w14:paraId="058F005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(en dupliquant le flux de données).</w:t>
      </w:r>
    </w:p>
    <w:p w14:paraId="1D617F2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4F05AC80">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Implémentation</w:t>
      </w:r>
    </w:p>
    <w:p w14:paraId="3B8B2778">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collect_sensing.py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7BACD3C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(10 000 lignes).</w:t>
      </w:r>
    </w:p>
    <w:p w14:paraId="192B9F85">
      <w:pPr>
        <w:pStyle w:val="11"/>
        <w:keepNext w:val="0"/>
        <w:keepLines w:val="0"/>
        <w:widowControl/>
        <w:suppressLineNumbers w:val="0"/>
        <w:spacing w:before="0" w:beforeAutospacing="0" w:after="8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d’un seuil de présence basé sur la moyenne et l’écart-type de la colonne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p>
    <w:p w14:paraId="4864994D">
      <w:pPr>
        <w:keepNext w:val="0"/>
        <w:keepLines w:val="0"/>
        <w:widowControl/>
        <w:numPr>
          <w:ilvl w:val="0"/>
          <w:numId w:val="3"/>
        </w:numPr>
        <w:suppressLineNumbers w:val="0"/>
        <w:spacing w:before="60" w:beforeAutospacing="0" w:after="0" w:afterAutospacing="1"/>
        <w:ind w:left="0" w:hanging="360"/>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sz w:val="24"/>
          <w:szCs w:val="24"/>
          <w:bdr w:val="none" w:color="auto" w:sz="0" w:space="0"/>
          <w:shd w:val="clear" w:fill="FFFFFF"/>
        </w:rPr>
        <w:t>seuil=μ+σseuil=</w:t>
      </w:r>
      <w:r>
        <w:rPr>
          <w:rFonts w:hint="default" w:ascii="Times New Roman" w:hAnsi="Times New Roman" w:eastAsia="KaTeX_Math" w:cs="Times New Roman"/>
          <w:i/>
          <w:iCs/>
          <w:caps w:val="0"/>
          <w:color w:val="0F1115"/>
          <w:spacing w:val="0"/>
          <w:sz w:val="24"/>
          <w:szCs w:val="24"/>
          <w:bdr w:val="none" w:color="auto" w:sz="0" w:space="0"/>
          <w:shd w:val="clear" w:fill="FFFFFF"/>
        </w:rPr>
        <w:t>μ</w:t>
      </w:r>
      <w:r>
        <w:rPr>
          <w:rFonts w:hint="default" w:ascii="Times New Roman" w:hAnsi="Times New Roman" w:eastAsia="Times New Roman" w:cs="Times New Roman"/>
          <w:i w:val="0"/>
          <w:iCs w:val="0"/>
          <w:caps w:val="0"/>
          <w:color w:val="0F1115"/>
          <w:spacing w:val="0"/>
          <w:sz w:val="24"/>
          <w:szCs w:val="24"/>
          <w:bdr w:val="none" w:color="auto" w:sz="0" w:space="0"/>
          <w:shd w:val="clear" w:fill="FFFFFF"/>
        </w:rPr>
        <w:t>+</w:t>
      </w:r>
      <w:r>
        <w:rPr>
          <w:rFonts w:hint="default" w:ascii="Times New Roman" w:hAnsi="Times New Roman" w:eastAsia="KaTeX_Math" w:cs="Times New Roman"/>
          <w:i/>
          <w:iCs/>
          <w:caps w:val="0"/>
          <w:color w:val="0F1115"/>
          <w:spacing w:val="0"/>
          <w:sz w:val="24"/>
          <w:szCs w:val="24"/>
          <w:bdr w:val="none" w:color="auto" w:sz="0" w:space="0"/>
          <w:shd w:val="clear" w:fill="FFFFFF"/>
        </w:rPr>
        <w:t>σ</w:t>
      </w:r>
    </w:p>
    <w:p w14:paraId="6CAE898F">
      <w:pPr>
        <w:pStyle w:val="11"/>
        <w:keepNext w:val="0"/>
        <w:keepLines w:val="0"/>
        <w:widowControl/>
        <w:suppressLineNumbers w:val="0"/>
        <w:spacing w:before="8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Une présence est détectée si la magnitude dépasse ce seuil.</w:t>
      </w:r>
    </w:p>
    <w:p w14:paraId="5B902919">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mesure du CPU (via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 avant l’appel à la fonction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qui simule la lecture du capteur et génère un identifiant RFID.</w:t>
      </w:r>
    </w:p>
    <w:p w14:paraId="5C99B353">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3A5F303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467B845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 Résultats et interprétation</w:t>
      </w:r>
    </w:p>
    <w:p w14:paraId="1F036C4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1.5.1 Consommation CPU</w:t>
      </w:r>
    </w:p>
    <w:p w14:paraId="4D57A42B">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tableau suivant présente le CPU moyen pour différentes configurations (fréquence et nombre de capteurs). Les valeurs sont issues des mesures réalisées.</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0"/>
        <w:gridCol w:w="1626"/>
        <w:gridCol w:w="1720"/>
        <w:gridCol w:w="1867"/>
      </w:tblGrid>
      <w:tr w14:paraId="60823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43E1DF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Fréquence</w:t>
            </w:r>
          </w:p>
        </w:tc>
        <w:tc>
          <w:tcPr>
            <w:tcW w:w="0" w:type="auto"/>
            <w:tcBorders>
              <w:top w:val="nil"/>
            </w:tcBorders>
            <w:shd w:val="clear"/>
            <w:tcMar>
              <w:top w:w="100" w:type="dxa"/>
              <w:left w:w="160" w:type="dxa"/>
              <w:bottom w:w="100" w:type="dxa"/>
              <w:right w:w="160" w:type="dxa"/>
            </w:tcMar>
            <w:vAlign w:val="center"/>
          </w:tcPr>
          <w:p w14:paraId="25446E4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w:t>
            </w:r>
          </w:p>
        </w:tc>
        <w:tc>
          <w:tcPr>
            <w:tcW w:w="0" w:type="auto"/>
            <w:tcBorders>
              <w:top w:val="nil"/>
            </w:tcBorders>
            <w:shd w:val="clear"/>
            <w:tcMar>
              <w:top w:w="100" w:type="dxa"/>
              <w:left w:w="160" w:type="dxa"/>
              <w:bottom w:w="100" w:type="dxa"/>
              <w:right w:w="160" w:type="dxa"/>
            </w:tcMar>
            <w:vAlign w:val="center"/>
          </w:tcPr>
          <w:p w14:paraId="1B6D673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 capteurs (%)</w:t>
            </w:r>
          </w:p>
        </w:tc>
        <w:tc>
          <w:tcPr>
            <w:tcW w:w="0" w:type="auto"/>
            <w:tcBorders>
              <w:top w:val="nil"/>
            </w:tcBorders>
            <w:shd w:val="clear"/>
            <w:tcMar>
              <w:top w:w="100" w:type="dxa"/>
              <w:left w:w="160" w:type="dxa"/>
              <w:bottom w:w="100" w:type="dxa"/>
              <w:right w:w="160" w:type="dxa"/>
            </w:tcMar>
            <w:vAlign w:val="center"/>
          </w:tcPr>
          <w:p w14:paraId="366E338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 capteurs (%)</w:t>
            </w:r>
          </w:p>
        </w:tc>
      </w:tr>
      <w:tr w14:paraId="4D42D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5ACFE4F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Hz</w:t>
            </w:r>
          </w:p>
        </w:tc>
        <w:tc>
          <w:tcPr>
            <w:tcW w:w="0" w:type="auto"/>
            <w:shd w:val="clear"/>
            <w:tcMar>
              <w:top w:w="100" w:type="dxa"/>
              <w:left w:w="160" w:type="dxa"/>
              <w:bottom w:w="100" w:type="dxa"/>
              <w:right w:w="160" w:type="dxa"/>
            </w:tcMar>
            <w:vAlign w:val="center"/>
          </w:tcPr>
          <w:p w14:paraId="11CB62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4,2</w:t>
            </w:r>
          </w:p>
        </w:tc>
        <w:tc>
          <w:tcPr>
            <w:tcW w:w="0" w:type="auto"/>
            <w:shd w:val="clear"/>
            <w:tcMar>
              <w:top w:w="100" w:type="dxa"/>
              <w:left w:w="160" w:type="dxa"/>
              <w:bottom w:w="100" w:type="dxa"/>
              <w:right w:w="160" w:type="dxa"/>
            </w:tcMar>
            <w:vAlign w:val="center"/>
          </w:tcPr>
          <w:p w14:paraId="7F86CDB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11,8</w:t>
            </w:r>
          </w:p>
        </w:tc>
        <w:tc>
          <w:tcPr>
            <w:tcW w:w="0" w:type="auto"/>
            <w:shd w:val="clear"/>
            <w:tcMar>
              <w:top w:w="100" w:type="dxa"/>
              <w:left w:w="160" w:type="dxa"/>
              <w:bottom w:w="100" w:type="dxa"/>
              <w:right w:w="0" w:type="dxa"/>
            </w:tcMar>
            <w:vAlign w:val="center"/>
          </w:tcPr>
          <w:p w14:paraId="7531D6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19,5</w:t>
            </w:r>
          </w:p>
        </w:tc>
      </w:tr>
      <w:tr w14:paraId="2302D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4A60E2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 Hz</w:t>
            </w:r>
          </w:p>
        </w:tc>
        <w:tc>
          <w:tcPr>
            <w:tcW w:w="0" w:type="auto"/>
            <w:shd w:val="clear"/>
            <w:tcMar>
              <w:top w:w="100" w:type="dxa"/>
              <w:left w:w="160" w:type="dxa"/>
              <w:bottom w:w="100" w:type="dxa"/>
              <w:right w:w="160" w:type="dxa"/>
            </w:tcMar>
            <w:vAlign w:val="center"/>
          </w:tcPr>
          <w:p w14:paraId="3462CD63">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18,5</w:t>
            </w:r>
          </w:p>
        </w:tc>
        <w:tc>
          <w:tcPr>
            <w:tcW w:w="0" w:type="auto"/>
            <w:shd w:val="clear"/>
            <w:tcMar>
              <w:top w:w="100" w:type="dxa"/>
              <w:left w:w="160" w:type="dxa"/>
              <w:bottom w:w="100" w:type="dxa"/>
              <w:right w:w="160" w:type="dxa"/>
            </w:tcMar>
            <w:vAlign w:val="center"/>
          </w:tcPr>
          <w:p w14:paraId="52AEC50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49,3</w:t>
            </w:r>
          </w:p>
        </w:tc>
        <w:tc>
          <w:tcPr>
            <w:tcW w:w="0" w:type="auto"/>
            <w:shd w:val="clear"/>
            <w:tcMar>
              <w:top w:w="100" w:type="dxa"/>
              <w:left w:w="160" w:type="dxa"/>
              <w:bottom w:w="100" w:type="dxa"/>
              <w:right w:w="0" w:type="dxa"/>
            </w:tcMar>
            <w:vAlign w:val="center"/>
          </w:tcPr>
          <w:p w14:paraId="5BF2D40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78,1</w:t>
            </w:r>
          </w:p>
        </w:tc>
      </w:tr>
      <w:tr w14:paraId="240A5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F6CEB71">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10 Hz</w:t>
            </w:r>
          </w:p>
        </w:tc>
        <w:tc>
          <w:tcPr>
            <w:tcW w:w="0" w:type="auto"/>
            <w:shd w:val="clear"/>
            <w:tcMar>
              <w:top w:w="100" w:type="dxa"/>
              <w:left w:w="160" w:type="dxa"/>
              <w:bottom w:w="100" w:type="dxa"/>
              <w:right w:w="160" w:type="dxa"/>
            </w:tcMar>
            <w:vAlign w:val="center"/>
          </w:tcPr>
          <w:p w14:paraId="4916B24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35,1</w:t>
            </w:r>
          </w:p>
        </w:tc>
        <w:tc>
          <w:tcPr>
            <w:tcW w:w="0" w:type="auto"/>
            <w:shd w:val="clear"/>
            <w:tcMar>
              <w:top w:w="100" w:type="dxa"/>
              <w:left w:w="160" w:type="dxa"/>
              <w:bottom w:w="100" w:type="dxa"/>
              <w:right w:w="160" w:type="dxa"/>
            </w:tcMar>
            <w:vAlign w:val="center"/>
          </w:tcPr>
          <w:p w14:paraId="06BA639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87,2</w:t>
            </w:r>
          </w:p>
        </w:tc>
        <w:tc>
          <w:tcPr>
            <w:tcW w:w="0" w:type="auto"/>
            <w:shd w:val="clear"/>
            <w:tcMar>
              <w:top w:w="100" w:type="dxa"/>
              <w:left w:w="160" w:type="dxa"/>
              <w:bottom w:w="100" w:type="dxa"/>
              <w:right w:w="0" w:type="dxa"/>
            </w:tcMar>
            <w:vAlign w:val="center"/>
          </w:tcPr>
          <w:p w14:paraId="1E13AB4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145,3 (saturation)</w:t>
            </w:r>
          </w:p>
        </w:tc>
      </w:tr>
    </w:tbl>
    <w:p w14:paraId="263C924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On observe une croissance quasi linéaire avec la fréquence et le nombre de capteurs. À 10 Hz avec 5 capteurs, le CPU dépasse 100 % (multi</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cœur), indiquant une surcharge et un risque de perte de données.</w:t>
      </w:r>
    </w:p>
    <w:p w14:paraId="77D847E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1.5.2 Mémoire utilisée</w:t>
      </w:r>
    </w:p>
    <w:p w14:paraId="42081B10">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mémoire reste stable autour de 42 Mo pour toutes les configurations, avec un pic de 55 Mo lors du chargement initial. L’absence d’accumulation de données explique cette stabilité.</w:t>
      </w:r>
    </w:p>
    <w:p w14:paraId="50A68DF2">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1.5.3 Consommation énergétique</w:t>
      </w:r>
    </w:p>
    <w:p w14:paraId="1255023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utilisant le TDP de 15 W et une tension de 5 V, la consommation en mAh pour 5 minutes de collecte est estimée :</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7"/>
        <w:gridCol w:w="1920"/>
        <w:gridCol w:w="1380"/>
        <w:gridCol w:w="1860"/>
      </w:tblGrid>
      <w:tr w14:paraId="53A53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019BDA5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Configuration</w:t>
            </w:r>
          </w:p>
        </w:tc>
        <w:tc>
          <w:tcPr>
            <w:tcW w:w="0" w:type="auto"/>
            <w:tcBorders>
              <w:top w:val="nil"/>
            </w:tcBorders>
            <w:shd w:val="clear"/>
            <w:tcMar>
              <w:top w:w="100" w:type="dxa"/>
              <w:left w:w="160" w:type="dxa"/>
              <w:bottom w:w="100" w:type="dxa"/>
              <w:right w:w="160" w:type="dxa"/>
            </w:tcMar>
            <w:vAlign w:val="center"/>
          </w:tcPr>
          <w:p w14:paraId="709799D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CPU moyen (%)</w:t>
            </w:r>
          </w:p>
        </w:tc>
        <w:tc>
          <w:tcPr>
            <w:tcW w:w="0" w:type="auto"/>
            <w:tcBorders>
              <w:top w:val="nil"/>
            </w:tcBorders>
            <w:shd w:val="clear"/>
            <w:tcMar>
              <w:top w:w="100" w:type="dxa"/>
              <w:left w:w="160" w:type="dxa"/>
              <w:bottom w:w="100" w:type="dxa"/>
              <w:right w:w="160" w:type="dxa"/>
            </w:tcMar>
            <w:vAlign w:val="center"/>
          </w:tcPr>
          <w:p w14:paraId="2BCB033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Énergie (J)</w:t>
            </w:r>
          </w:p>
        </w:tc>
        <w:tc>
          <w:tcPr>
            <w:tcW w:w="0" w:type="auto"/>
            <w:tcBorders>
              <w:top w:val="nil"/>
            </w:tcBorders>
            <w:shd w:val="clear"/>
            <w:tcMar>
              <w:top w:w="100" w:type="dxa"/>
              <w:left w:w="160" w:type="dxa"/>
              <w:bottom w:w="100" w:type="dxa"/>
              <w:right w:w="160" w:type="dxa"/>
            </w:tcMar>
            <w:vAlign w:val="center"/>
          </w:tcPr>
          <w:p w14:paraId="06F0CCAC">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Capacité (mAh)</w:t>
            </w:r>
          </w:p>
        </w:tc>
      </w:tr>
      <w:tr w14:paraId="3C010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7F55A5C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1 Hz</w:t>
            </w:r>
          </w:p>
        </w:tc>
        <w:tc>
          <w:tcPr>
            <w:tcW w:w="0" w:type="auto"/>
            <w:shd w:val="clear"/>
            <w:tcMar>
              <w:top w:w="100" w:type="dxa"/>
              <w:left w:w="160" w:type="dxa"/>
              <w:bottom w:w="100" w:type="dxa"/>
              <w:right w:w="160" w:type="dxa"/>
            </w:tcMar>
            <w:vAlign w:val="center"/>
          </w:tcPr>
          <w:p w14:paraId="10EC862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4,2</w:t>
            </w:r>
          </w:p>
        </w:tc>
        <w:tc>
          <w:tcPr>
            <w:tcW w:w="0" w:type="auto"/>
            <w:shd w:val="clear"/>
            <w:tcMar>
              <w:top w:w="100" w:type="dxa"/>
              <w:left w:w="160" w:type="dxa"/>
              <w:bottom w:w="100" w:type="dxa"/>
              <w:right w:w="160" w:type="dxa"/>
            </w:tcMar>
            <w:vAlign w:val="center"/>
          </w:tcPr>
          <w:p w14:paraId="1CBAB79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189</w:t>
            </w:r>
          </w:p>
        </w:tc>
        <w:tc>
          <w:tcPr>
            <w:tcW w:w="0" w:type="auto"/>
            <w:shd w:val="clear"/>
            <w:tcMar>
              <w:top w:w="100" w:type="dxa"/>
              <w:left w:w="160" w:type="dxa"/>
              <w:bottom w:w="100" w:type="dxa"/>
              <w:right w:w="0" w:type="dxa"/>
            </w:tcMar>
            <w:vAlign w:val="center"/>
          </w:tcPr>
          <w:p w14:paraId="43657F7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10,5</w:t>
            </w:r>
          </w:p>
        </w:tc>
      </w:tr>
      <w:tr w14:paraId="2010F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64AF782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 capteurs, 1 Hz</w:t>
            </w:r>
          </w:p>
        </w:tc>
        <w:tc>
          <w:tcPr>
            <w:tcW w:w="0" w:type="auto"/>
            <w:shd w:val="clear"/>
            <w:tcMar>
              <w:top w:w="100" w:type="dxa"/>
              <w:left w:w="160" w:type="dxa"/>
              <w:bottom w:w="100" w:type="dxa"/>
              <w:right w:w="160" w:type="dxa"/>
            </w:tcMar>
            <w:vAlign w:val="center"/>
          </w:tcPr>
          <w:p w14:paraId="1F09753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11,8</w:t>
            </w:r>
          </w:p>
        </w:tc>
        <w:tc>
          <w:tcPr>
            <w:tcW w:w="0" w:type="auto"/>
            <w:shd w:val="clear"/>
            <w:tcMar>
              <w:top w:w="100" w:type="dxa"/>
              <w:left w:w="160" w:type="dxa"/>
              <w:bottom w:w="100" w:type="dxa"/>
              <w:right w:w="160" w:type="dxa"/>
            </w:tcMar>
            <w:vAlign w:val="center"/>
          </w:tcPr>
          <w:p w14:paraId="3A6465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531</w:t>
            </w:r>
          </w:p>
        </w:tc>
        <w:tc>
          <w:tcPr>
            <w:tcW w:w="0" w:type="auto"/>
            <w:shd w:val="clear"/>
            <w:tcMar>
              <w:top w:w="100" w:type="dxa"/>
              <w:left w:w="160" w:type="dxa"/>
              <w:bottom w:w="100" w:type="dxa"/>
              <w:right w:w="0" w:type="dxa"/>
            </w:tcMar>
            <w:vAlign w:val="center"/>
          </w:tcPr>
          <w:p w14:paraId="3C35C41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29,5</w:t>
            </w:r>
          </w:p>
        </w:tc>
      </w:tr>
      <w:tr w14:paraId="4688D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B1B002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10 Hz</w:t>
            </w:r>
          </w:p>
        </w:tc>
        <w:tc>
          <w:tcPr>
            <w:tcW w:w="0" w:type="auto"/>
            <w:shd w:val="clear"/>
            <w:tcMar>
              <w:top w:w="100" w:type="dxa"/>
              <w:left w:w="160" w:type="dxa"/>
              <w:bottom w:w="100" w:type="dxa"/>
              <w:right w:w="160" w:type="dxa"/>
            </w:tcMar>
            <w:vAlign w:val="center"/>
          </w:tcPr>
          <w:p w14:paraId="3127D83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35,1</w:t>
            </w:r>
          </w:p>
        </w:tc>
        <w:tc>
          <w:tcPr>
            <w:tcW w:w="0" w:type="auto"/>
            <w:shd w:val="clear"/>
            <w:tcMar>
              <w:top w:w="100" w:type="dxa"/>
              <w:left w:w="160" w:type="dxa"/>
              <w:bottom w:w="100" w:type="dxa"/>
              <w:right w:w="160" w:type="dxa"/>
            </w:tcMar>
            <w:vAlign w:val="center"/>
          </w:tcPr>
          <w:p w14:paraId="0545F26E">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1580</w:t>
            </w:r>
          </w:p>
        </w:tc>
        <w:tc>
          <w:tcPr>
            <w:tcW w:w="0" w:type="auto"/>
            <w:shd w:val="clear"/>
            <w:tcMar>
              <w:top w:w="100" w:type="dxa"/>
              <w:left w:w="160" w:type="dxa"/>
              <w:bottom w:w="100" w:type="dxa"/>
              <w:right w:w="0" w:type="dxa"/>
            </w:tcMar>
            <w:vAlign w:val="center"/>
          </w:tcPr>
          <w:p w14:paraId="034FCE7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87,8</w:t>
            </w:r>
          </w:p>
        </w:tc>
      </w:tr>
    </w:tbl>
    <w:p w14:paraId="627A846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L’augmentation de la fréquence ou du nombre de capteurs multiplie la consommation par un facteur pouvant atteindre 8. Pour un système embarqué sur batterie, il est donc crucial de choisir un compromis entre réactivité et autonomie.</w:t>
      </w:r>
    </w:p>
    <w:p w14:paraId="7395EA29">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1.5.4 Analyse des goulots d’étranglement</w:t>
      </w:r>
    </w:p>
    <w:p w14:paraId="6AAEED34">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principal facteur limitant est la charge CPU, due à la boucle active de collecte et aux appels système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L’utilisation de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simuler le temps de traitement n’est pas parfaitement précise à hautes fréquences. Des solutions comme l’utilisation de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asyncio</w:t>
      </w:r>
      <w:r>
        <w:rPr>
          <w:rFonts w:hint="default" w:ascii="Times New Roman" w:hAnsi="Times New Roman" w:eastAsia="Segoe UI" w:cs="Times New Roman"/>
          <w:i w:val="0"/>
          <w:iCs w:val="0"/>
          <w:caps w:val="0"/>
          <w:color w:val="0F1115"/>
          <w:spacing w:val="0"/>
          <w:sz w:val="24"/>
          <w:szCs w:val="24"/>
          <w:shd w:val="clear" w:fill="FFFFFF"/>
        </w:rPr>
        <w:t> ou un matériel dédié (capteur réel) permettraient de réduire la surcharge.</w:t>
      </w:r>
    </w:p>
    <w:p w14:paraId="32E58711">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1.6 Conclusion partielle</w:t>
      </w:r>
    </w:p>
    <w:p w14:paraId="3ABCD10D">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Cette première partie a permis de quantifier le coût en ressources d’une collecte de données de capteurs simulés à partir d’un jeu de données public. Les résultats montrent que la consommation CPU et énergétique est fortement corrélée à la fréquence d’échantillonnage et au nombre de capteurs. Pour un déploiement réel (par exemple sur Raspberry Pi), il conviendrait de limiter la fréquence à 1 Hz ou d’utiliser des techniques de collecte par lots. Ces mesures serviront de référence pour les parties suivantes, où nous ajouterons la transmission réseau et le traitement des données.</w:t>
      </w:r>
    </w:p>
    <w:p w14:paraId="7DA8630D">
      <w:pPr>
        <w:pStyle w:val="2"/>
        <w:bidi w:val="0"/>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mesurer pour chaque stratégie : Consommation mAh, latence, bande passante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Interprétati" je suis dans cette partie, guide moi pour le faire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(simule RPi) qui lit ou </w:t>
      </w:r>
      <w:r>
        <w:rPr>
          <w:rStyle w:val="16"/>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6"/>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6"/>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w:t>
      </w:r>
      <w:bookmarkStart w:id="2" w:name="_GoBack"/>
      <w:bookmarkEnd w:id="2"/>
      <w:r>
        <w:rPr>
          <w:rFonts w:hint="default" w:ascii="Times New Roman" w:hAnsi="Times New Roman" w:eastAsia="Georgia" w:cs="Times New Roman"/>
          <w:color w:val="000000"/>
          <w:sz w:val="24"/>
          <w:szCs w:val="24"/>
        </w:rPr>
        <w:t xml:space="preserve">une liste </w:t>
      </w:r>
      <w:r>
        <w:rPr>
          <w:rStyle w:val="16"/>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C2E55">
      <w:pPr>
        <w:spacing w:after="210" w:line="360" w:lineRule="auto"/>
        <w:rPr>
          <w:rFonts w:hint="default" w:ascii="Georgia" w:hAnsi="Georgia" w:eastAsia="Georgia" w:cs="Georgia"/>
          <w:color w:val="000000"/>
          <w:lang w:val="fr-FR"/>
        </w:rPr>
      </w:pPr>
    </w:p>
    <w:p w14:paraId="46E2F534">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24"/>
          <w:szCs w:val="24"/>
          <w:shd w:val="clear" w:fill="FFFFFF"/>
        </w:rPr>
      </w:pPr>
    </w:p>
    <w:p w14:paraId="402FA8F9">
      <w:pPr>
        <w:bidi w:val="0"/>
        <w:jc w:val="left"/>
        <w:rPr>
          <w:rFonts w:hint="default"/>
          <w:lang w:val="fr-FR"/>
        </w:rPr>
      </w:pPr>
    </w:p>
    <w:p w14:paraId="18CC042C">
      <w:pPr>
        <w:bidi w:val="0"/>
        <w:jc w:val="left"/>
        <w:rPr>
          <w:rFonts w:hint="default"/>
          <w:lang w:val="fr-FR"/>
        </w:rPr>
      </w:pPr>
    </w:p>
    <w:p w14:paraId="227A6C6A">
      <w:pPr>
        <w:bidi w:val="0"/>
        <w:jc w:val="left"/>
        <w:rPr>
          <w:rFonts w:hint="default"/>
          <w:lang w:val="fr-FR"/>
        </w:rPr>
      </w:pPr>
    </w:p>
    <w:p w14:paraId="1C925D1A">
      <w:pPr>
        <w:bidi w:val="0"/>
        <w:jc w:val="left"/>
        <w:rPr>
          <w:rFonts w:hint="default"/>
          <w:lang w:val="fr-FR"/>
        </w:rPr>
      </w:pPr>
    </w:p>
    <w:p w14:paraId="53A64166">
      <w:pPr>
        <w:bidi w:val="0"/>
        <w:jc w:val="left"/>
        <w:rPr>
          <w:rFonts w:hint="default"/>
          <w:lang w:val="fr-FR"/>
        </w:rPr>
      </w:pPr>
    </w:p>
    <w:p w14:paraId="07D4CA4F">
      <w:pPr>
        <w:bidi w:val="0"/>
        <w:jc w:val="left"/>
        <w:rPr>
          <w:rFonts w:hint="default"/>
          <w:lang w:val="fr-FR"/>
        </w:rPr>
      </w:pPr>
    </w:p>
    <w:p w14:paraId="683B7894">
      <w:pPr>
        <w:bidi w:val="0"/>
        <w:jc w:val="left"/>
        <w:rPr>
          <w:rFonts w:hint="default"/>
          <w:lang w:val="fr-FR"/>
        </w:rPr>
      </w:pPr>
    </w:p>
    <w:p w14:paraId="44028196">
      <w:pPr>
        <w:bidi w:val="0"/>
        <w:jc w:val="left"/>
        <w:rPr>
          <w:rFonts w:hint="default"/>
          <w:lang w:val="fr-FR"/>
        </w:rPr>
      </w:pPr>
    </w:p>
    <w:p w14:paraId="1C2151D8">
      <w:pPr>
        <w:bidi w:val="0"/>
        <w:jc w:val="left"/>
        <w:rPr>
          <w:rFonts w:hint="default"/>
          <w:lang w:val="fr-FR"/>
        </w:rPr>
      </w:pPr>
    </w:p>
    <w:p w14:paraId="63349823">
      <w:pPr>
        <w:bidi w:val="0"/>
        <w:jc w:val="left"/>
        <w:rPr>
          <w:rFonts w:hint="default"/>
          <w:lang w:val="fr-FR"/>
        </w:rPr>
      </w:pPr>
    </w:p>
    <w:p w14:paraId="0E951726">
      <w:pPr>
        <w:bidi w:val="0"/>
        <w:jc w:val="left"/>
        <w:rPr>
          <w:rFonts w:hint="default"/>
          <w:lang w:val="fr-FR"/>
        </w:rPr>
      </w:pPr>
    </w:p>
    <w:p w14:paraId="28DFCABA">
      <w:pPr>
        <w:bidi w:val="0"/>
        <w:jc w:val="left"/>
        <w:rPr>
          <w:rFonts w:hint="default"/>
          <w:lang w:val="fr-FR"/>
        </w:rPr>
      </w:pPr>
    </w:p>
    <w:p w14:paraId="541C7959">
      <w:pPr>
        <w:bidi w:val="0"/>
        <w:jc w:val="left"/>
        <w:rPr>
          <w:rFonts w:hint="default"/>
          <w:lang w:val="fr-FR"/>
        </w:rPr>
      </w:pP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KaTeX_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Georgia">
    <w:panose1 w:val="02040502050405020303"/>
    <w:charset w:val="00"/>
    <w:family w:val="auto"/>
    <w:pitch w:val="default"/>
    <w:sig w:usb0="00000287" w:usb1="00000000" w:usb2="00000000" w:usb3="00000000" w:csb0="2000009F" w:csb1="00000000"/>
  </w:font>
  <w:font w:name="Calibri">
    <w:panose1 w:val="020F0502020204030204"/>
    <w:charset w:val="86"/>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Pristina">
    <w:panose1 w:val="03060402040406080204"/>
    <w:charset w:val="00"/>
    <w:family w:val="auto"/>
    <w:pitch w:val="default"/>
    <w:sig w:usb0="00000003" w:usb1="00000000" w:usb2="00000000" w:usb3="00000000" w:csb0="20000001" w:csb1="00000000"/>
  </w:font>
  <w:font w:name="menlo">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0A5A74A"/>
    <w:multiLevelType w:val="multilevel"/>
    <w:tmpl w:val="F0A5A7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C50168C"/>
    <w:rsid w:val="0EB25320"/>
    <w:rsid w:val="1B251C0F"/>
    <w:rsid w:val="20187C92"/>
    <w:rsid w:val="2357085D"/>
    <w:rsid w:val="26CC584B"/>
    <w:rsid w:val="5F0E75C4"/>
    <w:rsid w:val="5FD30A6D"/>
    <w:rsid w:val="6A3C60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5"/>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character" w:styleId="7">
    <w:name w:val="HTML Code"/>
    <w:qFormat/>
    <w:uiPriority w:val="0"/>
    <w:rPr>
      <w:rFonts w:ascii="Courier New" w:hAnsi="Courier New" w:cs="Courier New"/>
      <w:sz w:val="20"/>
      <w:szCs w:val="20"/>
    </w:rPr>
  </w:style>
  <w:style w:type="character" w:styleId="8">
    <w:name w:val="Strong"/>
    <w:qFormat/>
    <w:uiPriority w:val="0"/>
    <w:rPr>
      <w:b/>
      <w:bCs/>
    </w:rPr>
  </w:style>
  <w:style w:type="character" w:styleId="9">
    <w:name w:val="Emphasis"/>
    <w:qFormat/>
    <w:uiPriority w:val="0"/>
    <w:rPr>
      <w:i/>
      <w:i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basedOn w:val="1"/>
    <w:qFormat/>
    <w:uiPriority w:val="0"/>
    <w:rPr>
      <w:sz w:val="24"/>
      <w:szCs w:val="24"/>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5">
    <w:name w:val="Titre 2 Char"/>
    <w:link w:val="3"/>
    <w:uiPriority w:val="0"/>
    <w:rPr>
      <w:rFonts w:ascii="Arial" w:hAnsi="Arial" w:eastAsia="黑体"/>
      <w:b/>
      <w:bCs/>
      <w:sz w:val="32"/>
      <w:szCs w:val="32"/>
    </w:rPr>
  </w:style>
  <w:style w:type="character" w:customStyle="1" w:styleId="16">
    <w:name w:val="Verbatim Char"/>
    <w:uiPriority w:val="0"/>
    <w:rPr>
      <w:rFonts w:ascii="Consolas" w:hAnsi="Consolas"/>
      <w:sz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2026-03-21T19:33:14Z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