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3297489b568fca5fbd7d3c73f5f0306d5de94b9.png"/>
            <a:graphic>
              <a:graphicData uri="http://schemas.openxmlformats.org/drawingml/2006/picture">
                <pic:pic>
                  <pic:nvPicPr>
                    <pic:cNvPr id="1" name="image-13297489b568fca5fbd7d3c73f5f0306d5de94b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on_je_dois_le_mettre_dans_mon_rapport"/>
      <w:r>
        <w:rPr>
          <w:rFonts w:eastAsia="inter" w:cs="inter" w:ascii="inter" w:hAnsi="inter"/>
          <w:b/>
          <w:color w:val="000000"/>
          <w:sz w:val="39"/>
        </w:rPr>
        <w:t xml:space="preserve">non je dois le mettre dans mon rapport</w:t>
      </w:r>
      <w:bookmarkEnd w:id="0"/>
    </w:p>
    <w:p>
      <w:pPr>
        <w:spacing w:line="360" w:after="210" w:lineRule="auto"/>
      </w:pPr>
      <w:r>
        <w:rPr>
          <w:rFonts w:eastAsia="inter" w:cs="inter" w:ascii="inter" w:hAnsi="inter"/>
          <w:color w:val="000000"/>
        </w:rPr>
        <w:t xml:space="preserve">Tu peux décrire ton travail d’analyse de données dans le rapport comme ceci (à adapter avec tes propres chiffres et graphiques)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préparation_et_structuration_fc3363"/>
      <w:r>
        <w:rPr>
          <w:rFonts w:eastAsia="inter" w:cs="inter" w:ascii="inter" w:hAnsi="inter"/>
          <w:b/>
          <w:color w:val="000000"/>
          <w:sz w:val="24"/>
        </w:rPr>
        <w:t xml:space="preserve">1. Préparation et structuration des données</w:t>
      </w:r>
      <w:bookmarkEnd w:id="1"/>
    </w:p>
    <w:p>
      <w:pPr>
        <w:spacing w:line="360" w:after="210" w:lineRule="auto"/>
      </w:pPr>
      <w:r>
        <w:rPr>
          <w:rFonts w:eastAsia="inter" w:cs="inter" w:ascii="inter" w:hAnsi="inter"/>
          <w:color w:val="000000"/>
        </w:rPr>
        <w:t xml:space="preserve">Dans un premier temps, les données brutes ont été préparées afin de pouvoir mener une analyse temporelle fiable. La colonne </w:t>
      </w:r>
      <w:r>
        <w:rPr>
          <w:rFonts w:eastAsia="inter" w:cs="inter" w:ascii="inter" w:hAnsi="inter"/>
          <w:b/>
          <w:color w:val="000000"/>
        </w:rPr>
        <w:t xml:space="preserve">Datetime</w:t>
      </w:r>
      <w:r>
        <w:rPr>
          <w:rFonts w:eastAsia="inter" w:cs="inter" w:ascii="inter" w:hAnsi="inter"/>
          <w:color w:val="000000"/>
        </w:rPr>
        <w:t xml:space="preserve"> a été construite à partir des champs de date et d’heure, puis convertie au format temporel approprié, ce qui a permis d’ordonner chronologiquement l’ensemble des observations et d’éliminer les enregistrements invalides ou incomplets. Les principales variables de puissance et d’intensité (telles que </w:t>
      </w:r>
      <w:r>
        <w:rPr>
          <w:rFonts w:eastAsia="inter" w:cs="inter" w:ascii="inter" w:hAnsi="inter"/>
          <w:i/>
          <w:color w:val="000000"/>
        </w:rPr>
        <w:t xml:space="preserve">Global_active_power</w:t>
      </w:r>
      <w:r>
        <w:rPr>
          <w:rFonts w:eastAsia="inter" w:cs="inter" w:ascii="inter" w:hAnsi="inter"/>
          <w:color w:val="000000"/>
        </w:rPr>
        <w:t xml:space="preserve">, </w:t>
      </w:r>
      <w:r>
        <w:rPr>
          <w:rFonts w:eastAsia="inter" w:cs="inter" w:ascii="inter" w:hAnsi="inter"/>
          <w:i/>
          <w:color w:val="000000"/>
        </w:rPr>
        <w:t xml:space="preserve">Global_reactive_power</w:t>
      </w:r>
      <w:r>
        <w:rPr>
          <w:rFonts w:eastAsia="inter" w:cs="inter" w:ascii="inter" w:hAnsi="inter"/>
          <w:color w:val="000000"/>
        </w:rPr>
        <w:t xml:space="preserve">, </w:t>
      </w:r>
      <w:r>
        <w:rPr>
          <w:rFonts w:eastAsia="inter" w:cs="inter" w:ascii="inter" w:hAnsi="inter"/>
          <w:i/>
          <w:color w:val="000000"/>
        </w:rPr>
        <w:t xml:space="preserve">Voltage</w:t>
      </w:r>
      <w:r>
        <w:rPr>
          <w:rFonts w:eastAsia="inter" w:cs="inter" w:ascii="inter" w:hAnsi="inter"/>
          <w:color w:val="000000"/>
        </w:rPr>
        <w:t xml:space="preserve">, </w:t>
      </w:r>
      <w:r>
        <w:rPr>
          <w:rFonts w:eastAsia="inter" w:cs="inter" w:ascii="inter" w:hAnsi="inter"/>
          <w:i/>
          <w:color w:val="000000"/>
        </w:rPr>
        <w:t xml:space="preserve">Global_intensity</w:t>
      </w:r>
      <w:r>
        <w:rPr>
          <w:rFonts w:eastAsia="inter" w:cs="inter" w:ascii="inter" w:hAnsi="inter"/>
          <w:color w:val="000000"/>
        </w:rPr>
        <w:t xml:space="preserve"> et les trois sous-compteurs </w:t>
      </w:r>
      <w:r>
        <w:rPr>
          <w:rFonts w:eastAsia="inter" w:cs="inter" w:ascii="inter" w:hAnsi="inter"/>
          <w:i/>
          <w:color w:val="000000"/>
        </w:rPr>
        <w:t xml:space="preserve">Sub_metering_1</w:t>
      </w:r>
      <w:r>
        <w:rPr>
          <w:rFonts w:eastAsia="inter" w:cs="inter" w:ascii="inter" w:hAnsi="inter"/>
          <w:color w:val="000000"/>
        </w:rPr>
        <w:t xml:space="preserve">, </w:t>
      </w:r>
      <w:r>
        <w:rPr>
          <w:rFonts w:eastAsia="inter" w:cs="inter" w:ascii="inter" w:hAnsi="inter"/>
          <w:i/>
          <w:color w:val="000000"/>
        </w:rPr>
        <w:t xml:space="preserve">Sub_metering_2</w:t>
      </w:r>
      <w:r>
        <w:rPr>
          <w:rFonts w:eastAsia="inter" w:cs="inter" w:ascii="inter" w:hAnsi="inter"/>
          <w:color w:val="000000"/>
        </w:rPr>
        <w:t xml:space="preserve"> et </w:t>
      </w:r>
      <w:r>
        <w:rPr>
          <w:rFonts w:eastAsia="inter" w:cs="inter" w:ascii="inter" w:hAnsi="inter"/>
          <w:i/>
          <w:color w:val="000000"/>
        </w:rPr>
        <w:t xml:space="preserve">Sub_metering_3</w:t>
      </w:r>
      <w:r>
        <w:rPr>
          <w:rFonts w:eastAsia="inter" w:cs="inter" w:ascii="inter" w:hAnsi="inter"/>
          <w:color w:val="000000"/>
        </w:rPr>
        <w:t xml:space="preserve">) ont été systématiquement converties en format numérique, de manière à garantir la cohérence des calculs et des agrégations statistiques.</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Sur la base de cette colonne temporelle, plusieurs variables dérivées ont été ajoutées, notamment l’année, le mois, le jour et l’heure de mesure. Cette étape de </w:t>
      </w:r>
      <w:r>
        <w:rPr>
          <w:rFonts w:eastAsia="inter" w:cs="inter" w:ascii="inter" w:hAnsi="inter"/>
          <w:b/>
          <w:color w:val="000000"/>
        </w:rPr>
        <w:t xml:space="preserve">feature engineering temporel</w:t>
      </w:r>
      <w:r>
        <w:rPr>
          <w:rFonts w:eastAsia="inter" w:cs="inter" w:ascii="inter" w:hAnsi="inter"/>
          <w:color w:val="000000"/>
        </w:rPr>
        <w:t xml:space="preserve"> facilite l’analyse multi-échelle de la consommation (profil journalier, mensuel, saisonnier) et permet d’identifier plus précisément les périodes de surconsommation ou les variations structurelles de la demande électrique.</w:t>
      </w:r>
      <w:bookmarkStart w:id="4" w:name="fnref3"/>
      <w:bookmarkEnd w:id="4"/>
      <w:hyperlink w:anchor="fn3">
        <w:r>
          <w:rPr>
            <w:rFonts w:eastAsia="inter" w:cs="inter" w:ascii="inter" w:hAnsi="inter"/>
            <w:color w:val="#000"/>
            <w:u w:val="single"/>
            <w:vertAlign w:val="superscript"/>
          </w:rPr>
          <w:t xml:space="preserve">[3]</w:t>
        </w:r>
      </w:hyperlink>
      <w:bookmarkStart w:id="5" w:name="fnref4"/>
      <w:bookmarkEnd w:id="5"/>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6" w:name="bm_2_analyse_descriptive_et_explo_2633a8"/>
      <w:r>
        <w:rPr>
          <w:rFonts w:eastAsia="inter" w:cs="inter" w:ascii="inter" w:hAnsi="inter"/>
          <w:b/>
          <w:color w:val="000000"/>
          <w:sz w:val="24"/>
        </w:rPr>
        <w:t xml:space="preserve">2. Analyse descriptive et exploration statistique</w:t>
      </w:r>
      <w:bookmarkEnd w:id="6"/>
    </w:p>
    <w:p>
      <w:pPr>
        <w:spacing w:line="360" w:after="210" w:lineRule="auto"/>
      </w:pPr>
      <w:r>
        <w:rPr>
          <w:rFonts w:eastAsia="inter" w:cs="inter" w:ascii="inter" w:hAnsi="inter"/>
          <w:color w:val="000000"/>
        </w:rPr>
        <w:t xml:space="preserve">Une analyse descriptive a ensuite été menée sur l’ensemble des variables numériques. Les indicateurs classiques (moyenne, médiane, minimum, maximum, écart-type, quartiles) ont permis de caractériser les ordres de grandeur de la consommation et de repérer les variables présentant la plus forte variabilité. Cette étape met en évidence les postes de consommation les plus volatils et sert de base à la détection d’éventuelles anomalies ou valeurs extrêmes dans les séries temporelles.</w:t>
      </w:r>
      <w:bookmarkStart w:id="7" w:name="fnref5"/>
      <w:bookmarkEnd w:id="7"/>
      <w:hyperlink w:anchor="fn5">
        <w:r>
          <w:rPr>
            <w:rFonts w:eastAsia="inter" w:cs="inter" w:ascii="inter" w:hAnsi="inter"/>
            <w:color w:val="#000"/>
            <w:u w:val="single"/>
            <w:vertAlign w:val="superscript"/>
          </w:rPr>
          <w:t xml:space="preserve">[5]</w:t>
        </w:r>
      </w:hyperlink>
      <w:bookmarkStart w:id="8" w:name="fnref3_1"/>
      <w:bookmarkEnd w:id="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Parallèlement, des distributions et séries temporelles agrégées (par jour, par mois et par année) ont été calculées afin de dégager les grandes tendances d’évolution de la consommation globale. Ces agrégations révèlent notamment l’existence de motifs saisonniers et de différences significatives entre jours de semaine et week‑ends, ce qui corrobore les observations couramment rapportées dans la littérature sur la consommation résidentielle.</w:t>
      </w:r>
      <w:bookmarkStart w:id="9" w:name="fnref6"/>
      <w:bookmarkEnd w:id="9"/>
      <w:hyperlink w:anchor="fn6">
        <w:r>
          <w:rPr>
            <w:rFonts w:eastAsia="inter" w:cs="inter" w:ascii="inter" w:hAnsi="inter"/>
            <w:color w:val="#000"/>
            <w:u w:val="single"/>
            <w:vertAlign w:val="superscript"/>
          </w:rPr>
          <w:t xml:space="preserve">[6]</w:t>
        </w:r>
      </w:hyperlink>
      <w:bookmarkStart w:id="10" w:name="fnref7"/>
      <w:bookmarkEnd w:id="10"/>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1" w:name="bm_3_analyse_par_poste_de_consomm_4ff594"/>
      <w:r>
        <w:rPr>
          <w:rFonts w:eastAsia="inter" w:cs="inter" w:ascii="inter" w:hAnsi="inter"/>
          <w:b/>
          <w:color w:val="000000"/>
          <w:sz w:val="24"/>
        </w:rPr>
        <w:t xml:space="preserve">3. Analyse par poste de consommation et profils horaires</w:t>
      </w:r>
      <w:bookmarkEnd w:id="11"/>
    </w:p>
    <w:p>
      <w:pPr>
        <w:spacing w:line="360" w:after="210" w:lineRule="auto"/>
      </w:pPr>
      <w:r>
        <w:rPr>
          <w:rFonts w:eastAsia="inter" w:cs="inter" w:ascii="inter" w:hAnsi="inter"/>
          <w:color w:val="000000"/>
        </w:rPr>
        <w:t xml:space="preserve">L’analyse a été approfondie en se concentrant sur les trois postes de consommation mesurés par les sous-compteurs (</w:t>
      </w:r>
      <w:r>
        <w:rPr>
          <w:rFonts w:eastAsia="inter" w:cs="inter" w:ascii="inter" w:hAnsi="inter"/>
          <w:i/>
          <w:color w:val="000000"/>
        </w:rPr>
        <w:t xml:space="preserve">Sub_metering_1</w:t>
      </w:r>
      <w:r>
        <w:rPr>
          <w:rFonts w:eastAsia="inter" w:cs="inter" w:ascii="inter" w:hAnsi="inter"/>
          <w:color w:val="000000"/>
        </w:rPr>
        <w:t xml:space="preserve">, </w:t>
      </w:r>
      <w:r>
        <w:rPr>
          <w:rFonts w:eastAsia="inter" w:cs="inter" w:ascii="inter" w:hAnsi="inter"/>
          <w:i/>
          <w:color w:val="000000"/>
        </w:rPr>
        <w:t xml:space="preserve">Sub_metering_2</w:t>
      </w:r>
      <w:r>
        <w:rPr>
          <w:rFonts w:eastAsia="inter" w:cs="inter" w:ascii="inter" w:hAnsi="inter"/>
          <w:color w:val="000000"/>
        </w:rPr>
        <w:t xml:space="preserve">, </w:t>
      </w:r>
      <w:r>
        <w:rPr>
          <w:rFonts w:eastAsia="inter" w:cs="inter" w:ascii="inter" w:hAnsi="inter"/>
          <w:i/>
          <w:color w:val="000000"/>
        </w:rPr>
        <w:t xml:space="preserve">Sub_metering_3</w:t>
      </w:r>
      <w:r>
        <w:rPr>
          <w:rFonts w:eastAsia="inter" w:cs="inter" w:ascii="inter" w:hAnsi="inter"/>
          <w:color w:val="000000"/>
        </w:rPr>
        <w:t xml:space="preserve">). Pour chaque poste, des agrégations journalières et mensuelles ont permis d’estimer la part relative de chaque usage dans la consommation totale d’énergie. Cette démarche met en évidence les usages dominants et les postes sur lesquels un effort d’efficacité énergétique serait prioritaire.</w:t>
      </w:r>
      <w:bookmarkStart w:id="12" w:name="fnref2_1"/>
      <w:bookmarkEnd w:id="12"/>
      <w:hyperlink w:anchor="fn2">
        <w:r>
          <w:rPr>
            <w:rFonts w:eastAsia="inter" w:cs="inter" w:ascii="inter" w:hAnsi="inter"/>
            <w:color w:val="#000"/>
            <w:u w:val="single"/>
            <w:vertAlign w:val="superscript"/>
          </w:rPr>
          <w:t xml:space="preserve">[2]</w:t>
        </w:r>
      </w:hyperlink>
      <w:bookmarkStart w:id="13" w:name="fnref8"/>
      <w:bookmarkEnd w:id="13"/>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En complément, des </w:t>
      </w:r>
      <w:r>
        <w:rPr>
          <w:rFonts w:eastAsia="inter" w:cs="inter" w:ascii="inter" w:hAnsi="inter"/>
          <w:b/>
          <w:color w:val="000000"/>
        </w:rPr>
        <w:t xml:space="preserve">profils moyens horaires</w:t>
      </w:r>
      <w:r>
        <w:rPr>
          <w:rFonts w:eastAsia="inter" w:cs="inter" w:ascii="inter" w:hAnsi="inter"/>
          <w:color w:val="000000"/>
        </w:rPr>
        <w:t xml:space="preserve"> ont été construits en calculant, pour chaque heure de la journée, la puissance active moyenne et la consommation associée. Ces profils montrent clairement les périodes de pointe (généralement le matin et en début de soirée) et permettent de comparer le comportement de consommation selon les saisons, ouvrant la voie à l’identification de plages horaires particulièrement propices à des actions de gestion ou de sensibilisation.</w:t>
      </w:r>
      <w:bookmarkStart w:id="14" w:name="fnref4_1"/>
      <w:bookmarkEnd w:id="14"/>
      <w:hyperlink w:anchor="fn4">
        <w:r>
          <w:rPr>
            <w:rFonts w:eastAsia="inter" w:cs="inter" w:ascii="inter" w:hAnsi="inter"/>
            <w:color w:val="#000"/>
            <w:u w:val="single"/>
            <w:vertAlign w:val="superscript"/>
          </w:rPr>
          <w:t xml:space="preserve">[4]</w:t>
        </w:r>
      </w:hyperlink>
      <w:bookmarkStart w:id="15" w:name="fnref3_2"/>
      <w:bookmarkEnd w:id="15"/>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6" w:name="bm_4_identification_des_surconsom_f07455"/>
      <w:r>
        <w:rPr>
          <w:rFonts w:eastAsia="inter" w:cs="inter" w:ascii="inter" w:hAnsi="inter"/>
          <w:b/>
          <w:color w:val="000000"/>
          <w:sz w:val="24"/>
        </w:rPr>
        <w:t xml:space="preserve">4. Identification des surconsommations et indicateurs de performance</w:t>
      </w:r>
      <w:bookmarkEnd w:id="16"/>
    </w:p>
    <w:p>
      <w:pPr>
        <w:spacing w:line="360" w:after="210" w:lineRule="auto"/>
      </w:pPr>
      <w:r>
        <w:rPr>
          <w:rFonts w:eastAsia="inter" w:cs="inter" w:ascii="inter" w:hAnsi="inter"/>
          <w:color w:val="000000"/>
        </w:rPr>
        <w:t xml:space="preserve">Enfin, afin de détecter les situations de surconsommation, la consommation énergétique quotidienne a été étudiée au moyen d’indicateurs statistiques tels que le </w:t>
      </w:r>
      <w:r>
        <w:rPr>
          <w:rFonts w:eastAsia="inter" w:cs="inter" w:ascii="inter" w:hAnsi="inter"/>
          <w:b/>
          <w:color w:val="000000"/>
        </w:rPr>
        <w:t xml:space="preserve">z‑score</w:t>
      </w:r>
      <w:r>
        <w:rPr>
          <w:rFonts w:eastAsia="inter" w:cs="inter" w:ascii="inter" w:hAnsi="inter"/>
          <w:color w:val="000000"/>
        </w:rPr>
        <w:t xml:space="preserve">, permettant de repérer les jours dont la consommation s’écarte fortement du comportement habituel. Les jours identifiés comme atypiques peuvent correspondre à des épisodes de forte demande (périodes de froid, événements particuliers) ou à des dysfonctionnements potentiels des équipements.</w:t>
      </w:r>
      <w:bookmarkStart w:id="17" w:name="fnref9"/>
      <w:bookmarkEnd w:id="17"/>
      <w:hyperlink w:anchor="fn9">
        <w:r>
          <w:rPr>
            <w:rFonts w:eastAsia="inter" w:cs="inter" w:ascii="inter" w:hAnsi="inter"/>
            <w:color w:val="#000"/>
            <w:u w:val="single"/>
            <w:vertAlign w:val="superscript"/>
          </w:rPr>
          <w:t xml:space="preserve">[9]</w:t>
        </w:r>
      </w:hyperlink>
      <w:bookmarkStart w:id="18" w:name="fnref3_3"/>
      <w:bookmarkEnd w:id="18"/>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À partir de ces analyses, plusieurs </w:t>
      </w:r>
      <w:r>
        <w:rPr>
          <w:rFonts w:eastAsia="inter" w:cs="inter" w:ascii="inter" w:hAnsi="inter"/>
          <w:b/>
          <w:color w:val="000000"/>
        </w:rPr>
        <w:t xml:space="preserve">indicateurs de performance énergétique</w:t>
      </w:r>
      <w:r>
        <w:rPr>
          <w:rFonts w:eastAsia="inter" w:cs="inter" w:ascii="inter" w:hAnsi="inter"/>
          <w:color w:val="000000"/>
        </w:rPr>
        <w:t xml:space="preserve"> ont été dérivés : consommation totale sur la période étudiée, consommation journalière moyenne, dispersion journalière, consommation maximale et minimale sur un jour, ainsi que la répartition des consommations par poste. Ces indicateurs constituent la base quantitative pour évaluer l’efficacité énergétique du logement étudié et pour formuler des recommandations opérationnelles en matière de réduction des consommations et de maîtrise de la demande.</w:t>
      </w:r>
      <w:bookmarkStart w:id="19" w:name="fnref10"/>
      <w:bookmarkEnd w:id="19"/>
      <w:hyperlink w:anchor="fn10">
        <w:r>
          <w:rPr>
            <w:rFonts w:eastAsia="inter" w:cs="inter" w:ascii="inter" w:hAnsi="inter"/>
            <w:color w:val="#000"/>
            <w:u w:val="single"/>
            <w:vertAlign w:val="superscript"/>
          </w:rPr>
          <w:t xml:space="preserve">[10]</w:t>
        </w:r>
      </w:hyperlink>
      <w:bookmarkStart w:id="20" w:name="fnref6_1"/>
      <w:bookmarkEnd w:id="20"/>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Si tu veux, dis-moi dans quel chapitre de ton rapport tu vas placer cette partie (par ex. « Analyse exploratoire des données ») et je peux te la recouper ou l’allonger pour qu’elle s’intègre parfaitement à ta structure.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1" w:name="fn1"/>
    <w:bookmarkEnd w:id="21"/>
    <w:p>
      <w:pPr>
        <w:numPr>
          <w:ilvl w:val="0"/>
          <w:numId w:val="2"/>
        </w:numPr>
        <w:spacing w:line="360" w:after="210" w:lineRule="auto"/>
      </w:pPr>
      <w:hyperlink r:id="rId6">
        <w:r>
          <w:rPr>
            <w:rFonts w:eastAsia="inter" w:cs="inter" w:ascii="inter" w:hAnsi="inter"/>
            <w:color w:val="#000"/>
            <w:sz w:val="18"/>
            <w:u w:val="single"/>
          </w:rPr>
          <w:t xml:space="preserve">https://archive.ics.uci.edu/ml/datasets/individual+household+electric+power+consumption</w:t>
        </w:r>
      </w:hyperlink>
      <w:r>
        <w:rPr>
          <w:rFonts w:eastAsia="inter" w:cs="inter" w:ascii="inter" w:hAnsi="inter"/>
          <w:color w:val="000000"/>
          <w:sz w:val="18"/>
        </w:rPr>
        <w:t xml:space="preserve"> </w:t>
      </w:r>
    </w:p>
    <w:bookmarkStart w:id="22" w:name="fn2"/>
    <w:bookmarkEnd w:id="22"/>
    <w:p>
      <w:pPr>
        <w:numPr>
          <w:ilvl w:val="0"/>
          <w:numId w:val="2"/>
        </w:numPr>
        <w:spacing w:line="360" w:after="210" w:lineRule="auto"/>
      </w:pPr>
      <w:hyperlink r:id="rId7">
        <w:r>
          <w:rPr>
            <w:rFonts w:eastAsia="inter" w:cs="inter" w:ascii="inter" w:hAnsi="inter"/>
            <w:color w:val="#000"/>
            <w:sz w:val="18"/>
            <w:u w:val="single"/>
          </w:rPr>
          <w:t xml:space="preserve">https://www.machinelearningmastery.com/how-to-load-and-explore-household-electricity-usage-data/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 w:name="fn3"/>
    <w:bookmarkEnd w:id="23"/>
    <w:p>
      <w:pPr>
        <w:numPr>
          <w:ilvl w:val="0"/>
          <w:numId w:val="2"/>
        </w:numPr>
        <w:spacing w:line="360" w:after="210" w:lineRule="auto"/>
      </w:pPr>
      <w:hyperlink r:id="rId8">
        <w:r>
          <w:rPr>
            <w:rFonts w:eastAsia="inter" w:cs="inter" w:ascii="inter" w:hAnsi="inter"/>
            <w:color w:val="#000"/>
            <w:sz w:val="18"/>
            <w:u w:val="single"/>
          </w:rPr>
          <w:t xml:space="preserve">https://aicorespot.io/loading-and-exploring-household-electricity-utilization-data/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 w:name="fn4"/>
    <w:bookmarkEnd w:id="24"/>
    <w:p>
      <w:pPr>
        <w:numPr>
          <w:ilvl w:val="0"/>
          <w:numId w:val="2"/>
        </w:numPr>
        <w:spacing w:line="360" w:after="210" w:lineRule="auto"/>
      </w:pPr>
      <w:hyperlink r:id="rId9">
        <w:r>
          <w:rPr>
            <w:rFonts w:eastAsia="inter" w:cs="inter" w:ascii="inter" w:hAnsi="inter"/>
            <w:color w:val="#000"/>
            <w:sz w:val="18"/>
            <w:u w:val="single"/>
          </w:rPr>
          <w:t xml:space="preserve">https://www.dataquest.io/blog/tutorial-time-series-analysis-with-pandas/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 w:name="fn5"/>
    <w:bookmarkEnd w:id="25"/>
    <w:p>
      <w:pPr>
        <w:numPr>
          <w:ilvl w:val="0"/>
          <w:numId w:val="2"/>
        </w:numPr>
        <w:spacing w:line="360" w:after="210" w:lineRule="auto"/>
      </w:pPr>
      <w:hyperlink r:id="rId10">
        <w:r>
          <w:rPr>
            <w:rFonts w:eastAsia="inter" w:cs="inter" w:ascii="inter" w:hAnsi="inter"/>
            <w:color w:val="#000"/>
            <w:sz w:val="18"/>
            <w:u w:val="single"/>
          </w:rPr>
          <w:t xml:space="preserve">https://www.rpubs.com/RangaSudharshan/674390</w:t>
        </w:r>
      </w:hyperlink>
      <w:r>
        <w:rPr>
          <w:rFonts w:eastAsia="inter" w:cs="inter" w:ascii="inter" w:hAnsi="inter"/>
          <w:color w:val="000000"/>
          <w:sz w:val="18"/>
        </w:rPr>
        <w:t xml:space="preserve"> </w:t>
      </w:r>
    </w:p>
    <w:bookmarkStart w:id="26" w:name="fn6"/>
    <w:bookmarkEnd w:id="26"/>
    <w:p>
      <w:pPr>
        <w:numPr>
          <w:ilvl w:val="0"/>
          <w:numId w:val="2"/>
        </w:numPr>
        <w:spacing w:line="360" w:after="210" w:lineRule="auto"/>
      </w:pPr>
      <w:hyperlink r:id="rId11">
        <w:r>
          <w:rPr>
            <w:rFonts w:eastAsia="inter" w:cs="inter" w:ascii="inter" w:hAnsi="inter"/>
            <w:color w:val="#000"/>
            <w:sz w:val="18"/>
            <w:u w:val="single"/>
          </w:rPr>
          <w:t xml:space="preserve">https://environnement.brussels/media/15157/download?inline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 w:name="fn7"/>
    <w:bookmarkEnd w:id="27"/>
    <w:p>
      <w:pPr>
        <w:numPr>
          <w:ilvl w:val="0"/>
          <w:numId w:val="2"/>
        </w:numPr>
        <w:spacing w:line="360" w:after="210" w:lineRule="auto"/>
      </w:pPr>
      <w:hyperlink r:id="rId12">
        <w:r>
          <w:rPr>
            <w:rFonts w:eastAsia="inter" w:cs="inter" w:ascii="inter" w:hAnsi="inter"/>
            <w:color w:val="#000"/>
            <w:sz w:val="18"/>
            <w:u w:val="single"/>
          </w:rPr>
          <w:t xml:space="preserve">https://www.geekster.in/articles/data-analyst-project-for-beginner-analysis-of-smart-home-energy-usage/</w:t>
        </w:r>
      </w:hyperlink>
      <w:r>
        <w:rPr>
          <w:rFonts w:eastAsia="inter" w:cs="inter" w:ascii="inter" w:hAnsi="inter"/>
          <w:color w:val="000000"/>
          <w:sz w:val="18"/>
        </w:rPr>
        <w:t xml:space="preserve"> </w:t>
      </w:r>
    </w:p>
    <w:bookmarkStart w:id="28" w:name="fn8"/>
    <w:bookmarkEnd w:id="28"/>
    <w:p>
      <w:pPr>
        <w:numPr>
          <w:ilvl w:val="0"/>
          <w:numId w:val="2"/>
        </w:numPr>
        <w:spacing w:line="360" w:after="210" w:lineRule="auto"/>
      </w:pPr>
      <w:hyperlink r:id="rId13">
        <w:r>
          <w:rPr>
            <w:rFonts w:eastAsia="inter" w:cs="inter" w:ascii="inter" w:hAnsi="inter"/>
            <w:color w:val="#000"/>
            <w:sz w:val="18"/>
            <w:u w:val="single"/>
          </w:rPr>
          <w:t xml:space="preserve">https://github.com/p1halani/Individual-Household-Electric-Power-Consumption</w:t>
        </w:r>
      </w:hyperlink>
      <w:r>
        <w:rPr>
          <w:rFonts w:eastAsia="inter" w:cs="inter" w:ascii="inter" w:hAnsi="inter"/>
          <w:color w:val="000000"/>
          <w:sz w:val="18"/>
        </w:rPr>
        <w:t xml:space="preserve"> </w:t>
      </w:r>
    </w:p>
    <w:bookmarkStart w:id="29" w:name="fn9"/>
    <w:bookmarkEnd w:id="29"/>
    <w:p>
      <w:pPr>
        <w:numPr>
          <w:ilvl w:val="0"/>
          <w:numId w:val="2"/>
        </w:numPr>
        <w:spacing w:line="360" w:after="210" w:lineRule="auto"/>
      </w:pPr>
      <w:hyperlink r:id="rId14">
        <w:r>
          <w:rPr>
            <w:rFonts w:eastAsia="inter" w:cs="inter" w:ascii="inter" w:hAnsi="inter"/>
            <w:color w:val="#000"/>
            <w:sz w:val="18"/>
            <w:u w:val="single"/>
          </w:rPr>
          <w:t xml:space="preserve">https://journals.plos.org/plosone/article?id=10.1371%2Fjournal.pone.0286770</w:t>
        </w:r>
      </w:hyperlink>
      <w:r>
        <w:rPr>
          <w:rFonts w:eastAsia="inter" w:cs="inter" w:ascii="inter" w:hAnsi="inter"/>
          <w:color w:val="000000"/>
          <w:sz w:val="18"/>
        </w:rPr>
        <w:t xml:space="preserve"> </w:t>
      </w:r>
    </w:p>
    <w:bookmarkStart w:id="30" w:name="fn10"/>
    <w:bookmarkEnd w:id="30"/>
    <w:p>
      <w:pPr>
        <w:numPr>
          <w:ilvl w:val="0"/>
          <w:numId w:val="2"/>
        </w:numPr>
        <w:spacing w:line="360" w:after="210" w:lineRule="auto"/>
      </w:pPr>
      <w:hyperlink r:id="rId15">
        <w:r>
          <w:rPr>
            <w:rFonts w:eastAsia="inter" w:cs="inter" w:ascii="inter" w:hAnsi="inter"/>
            <w:color w:val="#000"/>
            <w:sz w:val="18"/>
            <w:u w:val="single"/>
          </w:rPr>
          <w:t xml:space="preserve">https://ma.boell.org/sites/default/files/lefficacite_energetique_.pdf</w:t>
        </w:r>
      </w:hyperlink>
      <w:r>
        <w:rPr>
          <w:rFonts w:eastAsia="inter" w:cs="inter" w:ascii="inter" w:hAnsi="inter"/>
          <w:color w:val="000000"/>
          <w:sz w:val="18"/>
        </w:rPr>
        <w:t xml:space="preserve"> </w:t>
      </w:r>
    </w:p>
    <w:bookmarkStart w:id="31" w:name="fn11"/>
    <w:bookmarkEnd w:id="31"/>
    <w:p>
      <w:pPr>
        <w:numPr>
          <w:ilvl w:val="0"/>
          <w:numId w:val="2"/>
        </w:numPr>
        <w:spacing w:line="360" w:after="210" w:lineRule="auto"/>
      </w:pPr>
      <w:r>
        <w:rPr>
          <w:rFonts w:eastAsia="inter" w:cs="inter" w:ascii="inter" w:hAnsi="inter"/>
          <w:color w:val="000000"/>
          <w:sz w:val="18"/>
        </w:rPr>
        <w:t xml:space="preserve">image.jpg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3297489b568fca5fbd7d3c73f5f0306d5de94b9.png" TargetMode="Internal"/><Relationship Id="rId6" Type="http://schemas.openxmlformats.org/officeDocument/2006/relationships/hyperlink" Target="https://archive.ics.uci.edu/ml/datasets/individual+household+electric+power+consumption" TargetMode="External"/><Relationship Id="rId7" Type="http://schemas.openxmlformats.org/officeDocument/2006/relationships/hyperlink" Target="https://www.machinelearningmastery.com/how-to-load-and-explore-household-electricity-usage-data/" TargetMode="External"/><Relationship Id="rId8" Type="http://schemas.openxmlformats.org/officeDocument/2006/relationships/hyperlink" Target="https://aicorespot.io/loading-and-exploring-household-electricity-utilization-data/" TargetMode="External"/><Relationship Id="rId9" Type="http://schemas.openxmlformats.org/officeDocument/2006/relationships/hyperlink" Target="https://www.dataquest.io/blog/tutorial-time-series-analysis-with-pandas/" TargetMode="External"/><Relationship Id="rId10" Type="http://schemas.openxmlformats.org/officeDocument/2006/relationships/hyperlink" Target="https://www.rpubs.com/RangaSudharshan/674390" TargetMode="External"/><Relationship Id="rId11" Type="http://schemas.openxmlformats.org/officeDocument/2006/relationships/hyperlink" Target="https://environnement.brussels/media/15157/download?inline" TargetMode="External"/><Relationship Id="rId12" Type="http://schemas.openxmlformats.org/officeDocument/2006/relationships/hyperlink" Target="https://www.geekster.in/articles/data-analyst-project-for-beginner-analysis-of-smart-home-energy-usage/" TargetMode="External"/><Relationship Id="rId13" Type="http://schemas.openxmlformats.org/officeDocument/2006/relationships/hyperlink" Target="https://github.com/p1halani/Individual-Household-Electric-Power-Consumption" TargetMode="External"/><Relationship Id="rId14" Type="http://schemas.openxmlformats.org/officeDocument/2006/relationships/hyperlink" Target="https://journals.plos.org/plosone/article?id=10.1371%2Fjournal.pone.0286770" TargetMode="External"/><Relationship Id="rId15" Type="http://schemas.openxmlformats.org/officeDocument/2006/relationships/hyperlink" Target="https://ma.boell.org/sites/default/files/lefficacite_energetique_.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2026-01-30T15:06:14.688Z</dcterms:created>
  <dcterms:modified xsi:type="dcterms:W3CDTF">2026-01-30T15:06:14.688Z</dcterms:modified>
</cp:coreProperties>
</file>