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2"/>
        </w:numPr>
        <w:spacing w:before="0" w:after="0"/>
        <w:rPr>
          <w:rFonts w:cs="BookAntiqua"/>
        </w:rPr>
      </w:pPr>
      <w:r>
        <w:rPr>
          <w:rFonts w:cs="BookAntiqua"/>
        </w:rPr>
        <w:t>Are nearly normal?</w:t>
      </w:r>
    </w:p>
    <w:p>
      <w:pPr>
        <w:pStyle w:val="Normal"/>
        <w:shd w:val="clear" w:color="auto" w:fill="EEECE1" w:themeFill="background2"/>
        <w:spacing w:before="0" w:after="0"/>
        <w:ind w:left="1080" w:hanging="0"/>
        <w:rPr>
          <w:rFonts w:cs="BookAntiqua"/>
        </w:rPr>
      </w:pPr>
      <w:r>
        <w:rPr>
          <w:rFonts w:cs="BookAntiqua"/>
        </w:rPr>
        <w:t>Plots A and D indicate that the data are nearly normal. The points in the plots roughly follow a straight line, which is what we would expect if the data were normally distributed.</w:t>
      </w:r>
    </w:p>
    <w:p>
      <w:pPr>
        <w:pStyle w:val="Normal"/>
        <w:numPr>
          <w:ilvl w:val="0"/>
          <w:numId w:val="2"/>
        </w:numPr>
        <w:spacing w:before="0" w:after="0"/>
        <w:rPr>
          <w:rFonts w:cs="BookAntiqua"/>
        </w:rPr>
      </w:pPr>
      <w:r>
        <w:rPr>
          <w:rFonts w:cs="BookAntiqua"/>
        </w:rPr>
        <w:t>Have a bimodal distribution? (One way to recognize a bimodal shape is a “gap” in the spacing of adjacent data values.)</w:t>
      </w:r>
    </w:p>
    <w:p>
      <w:pPr>
        <w:pStyle w:val="Normal"/>
        <w:shd w:val="clear" w:color="auto" w:fill="EEECE1" w:themeFill="background2"/>
        <w:spacing w:before="0" w:after="0"/>
        <w:ind w:left="1080" w:hanging="0"/>
        <w:rPr>
          <w:rFonts w:cs="BookAntiqua"/>
        </w:rPr>
      </w:pPr>
      <w:r>
        <w:rPr>
          <w:rFonts w:cs="BookAntiqua"/>
        </w:rPr>
        <w:t>Plot B indicates that the data have a bimodal distribution. There is a clear gap in the spacing of adjacent data values, which is a characteristic of a bimodal distribution.</w:t>
      </w:r>
    </w:p>
    <w:p>
      <w:pPr>
        <w:pStyle w:val="Normal"/>
        <w:numPr>
          <w:ilvl w:val="0"/>
          <w:numId w:val="2"/>
        </w:numPr>
        <w:spacing w:before="0" w:after="0"/>
        <w:rPr>
          <w:rFonts w:cs="BookAntiqua"/>
        </w:rPr>
      </w:pPr>
      <w:r>
        <w:rPr>
          <w:rFonts w:cs="BookAntiqua"/>
        </w:rPr>
        <w:t>Are skewed (i.e. not symmetric) ?</w:t>
      </w:r>
    </w:p>
    <w:p>
      <w:pPr>
        <w:pStyle w:val="Normal"/>
        <w:shd w:val="clear" w:color="auto" w:fill="EEECE1" w:themeFill="background2"/>
        <w:spacing w:before="0" w:after="0"/>
        <w:ind w:left="1080" w:hanging="0"/>
        <w:rPr>
          <w:rFonts w:cs="BookAntiqua"/>
        </w:rPr>
      </w:pPr>
      <w:r>
        <w:rPr>
          <w:rFonts w:cs="BookAntiqua"/>
        </w:rPr>
        <w:t>Plot C indicates that the data are skewed. The points in the plot are not evenly distributed around the line, but are more concentrated on the right side of the line. This indicates that the data are skewed to the right.</w:t>
      </w:r>
    </w:p>
    <w:p>
      <w:pPr>
        <w:pStyle w:val="Normal"/>
        <w:numPr>
          <w:ilvl w:val="0"/>
          <w:numId w:val="2"/>
        </w:numPr>
        <w:spacing w:before="0" w:after="0"/>
        <w:rPr>
          <w:rFonts w:cs="BookAntiqua"/>
        </w:rPr>
      </w:pPr>
      <w:r>
        <w:rPr>
          <w:rFonts w:cs="BookAntiqua"/>
        </w:rPr>
        <w:t>Have outliers on both sides of the center?</w:t>
      </w:r>
    </w:p>
    <w:p>
      <w:pPr>
        <w:pStyle w:val="Normal"/>
        <w:shd w:val="clear" w:color="auto" w:fill="EEECE1" w:themeFill="background2"/>
        <w:spacing w:before="0" w:after="0"/>
        <w:ind w:left="1080" w:hanging="0"/>
        <w:rPr>
          <w:rFonts w:cs="BookAntiqua"/>
        </w:rPr>
      </w:pPr>
      <w:r>
        <w:rPr>
          <w:rFonts w:cs="BookAntiqua"/>
        </w:rPr>
        <w:t>None of the plots indicate that the data have outliers on both sides of the center.</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19050" distR="635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shd w:val="clear" w:color="auto" w:fill="EEECE1" w:themeFill="background2"/>
        <w:spacing w:before="0" w:after="0"/>
        <w:ind w:left="900" w:hanging="0"/>
        <w:contextualSpacing/>
        <w:rPr>
          <w:rFonts w:cs="BookAntiqua"/>
          <w:b/>
          <w:b/>
          <w:bCs/>
        </w:rPr>
      </w:pPr>
      <w:r>
        <w:rPr>
          <w:rFonts w:cs="BookAntiqua"/>
          <w:b/>
          <w:bCs/>
        </w:rPr>
      </w:r>
    </w:p>
    <w:p>
      <w:pPr>
        <w:pStyle w:val="ListParagraph"/>
        <w:shd w:val="clear" w:color="auto" w:fill="EEECE1" w:themeFill="background2"/>
        <w:spacing w:before="0" w:after="0"/>
        <w:ind w:left="900" w:hanging="0"/>
        <w:contextualSpacing/>
        <w:rPr>
          <w:rFonts w:cs="BookAntiqua"/>
          <w:b/>
          <w:b/>
          <w:bCs/>
        </w:rPr>
      </w:pPr>
      <w:r>
        <w:rPr>
          <w:rFonts w:cs="BookAntiqua"/>
          <w:b/>
          <w:bCs/>
        </w:rPr>
        <w:t>FALSE</w:t>
      </w:r>
    </w:p>
    <w:p>
      <w:pPr>
        <w:pStyle w:val="ListParagraph"/>
        <w:shd w:val="clear" w:color="auto" w:fill="FFFFFF" w:themeFill="background1"/>
        <w:spacing w:before="0" w:after="0"/>
        <w:ind w:left="900" w:hanging="0"/>
        <w:contextualSpacing/>
        <w:rPr>
          <w:rFonts w:cs="BookAntiqua"/>
        </w:rPr>
      </w:pPr>
      <w:r>
        <w:rPr>
          <w:rFonts w:cs="BookAntiqua"/>
          <w:b/>
          <w:bCs/>
        </w:rPr>
        <w:t>Explanation:</w:t>
      </w:r>
      <w:r>
        <w:rPr>
          <w:rFonts w:cs="BookAntiqua"/>
        </w:rPr>
        <w:t xml:space="preserve"> </w:t>
      </w:r>
      <w:r>
        <w:rPr>
          <w:rFonts w:cs="Calibri" w:cstheme="minorHAnsi"/>
          <w:color w:val="1F2328"/>
          <w:shd w:fill="EEECE1" w:val="clear"/>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acc>
          <m:accPr>
            <m:chr m:val="´"/>
          </m:accPr>
          <m:e>
            <m:r>
              <w:rPr>
                <w:rFonts w:ascii="Cambria Math" w:hAnsi="Cambria Math"/>
              </w:rPr>
              <m:t xml:space="preserve">x</m:t>
            </m:r>
          </m:e>
        </m:acc>
      </m:oMath>
      <w:r>
        <w:rPr>
          <w:rFonts w:cs="BookAntiqua"/>
        </w:rPr>
        <w:t>) = 1.</w:t>
      </w:r>
    </w:p>
    <w:p>
      <w:pPr>
        <w:pStyle w:val="Normal"/>
        <w:shd w:val="clear" w:color="auto" w:fill="EEECE1" w:themeFill="background2"/>
        <w:tabs>
          <w:tab w:val="left" w:pos="1104" w:leader="none"/>
        </w:tabs>
        <w:spacing w:before="0" w:after="0"/>
        <w:rPr>
          <w:rFonts w:cs="Times New Roman"/>
          <w:b/>
          <w:b/>
          <w:bCs/>
        </w:rPr>
      </w:pPr>
      <w:r>
        <w:rPr>
          <w:rFonts w:cs="Times New Roman"/>
        </w:rPr>
        <w:tab/>
      </w:r>
      <w:r>
        <w:rPr>
          <w:rFonts w:cs="Times New Roman"/>
          <w:b/>
          <w:bCs/>
        </w:rPr>
        <w:t>TRUE</w:t>
      </w:r>
    </w:p>
    <w:p>
      <w:pPr>
        <w:pStyle w:val="Normal"/>
        <w:shd w:val="clear" w:color="auto" w:fill="EEECE1" w:themeFill="background2"/>
        <w:spacing w:before="0" w:after="0"/>
        <w:ind w:left="720" w:hanging="0"/>
        <w:rPr>
          <w:rFonts w:ascii="Times New Roman" w:hAnsi="Times New Roman" w:cs="Times New Roman"/>
        </w:rPr>
      </w:pPr>
      <w:r>
        <w:rPr>
          <w:rFonts w:cs="Times New Roman"/>
        </w:rPr>
        <w:tab/>
      </w:r>
      <w:r>
        <w:rPr>
          <w:rFonts w:cs="Times New Roman" w:ascii="Times New Roman" w:hAnsi="Times New Roman"/>
          <w:shd w:fill="EEECE1" w:val="clear"/>
        </w:rPr>
        <w:t>True (Standard error is standard deviation divided by square root of sample size=5/sqrt (25) =1)</w:t>
      </w:r>
    </w:p>
    <w:p>
      <w:pPr>
        <w:pStyle w:val="Normal"/>
        <w:shd w:val="clear" w:color="auto" w:fill="EEECE1" w:themeFill="background2"/>
        <w:tabs>
          <w:tab w:val="left" w:pos="1104" w:leader="none"/>
        </w:tabs>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3"/>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shd w:val="clear" w:color="auto" w:fill="EEECE1" w:themeFill="background2"/>
        <w:spacing w:before="0" w:after="0"/>
        <w:ind w:left="1080" w:hanging="0"/>
        <w:rPr>
          <w:rFonts w:cs="BookAntiqua"/>
          <w:b/>
          <w:b/>
          <w:bCs/>
        </w:rPr>
      </w:pPr>
      <w:r>
        <w:rPr>
          <w:rFonts w:cs="BookAntiqua"/>
          <w:b/>
          <w:bCs/>
        </w:rPr>
        <w:t>The correct answer is D. 21.1%.</w:t>
      </w:r>
    </w:p>
    <w:p>
      <w:pPr>
        <w:pStyle w:val="Normal"/>
        <w:shd w:val="clear" w:color="auto" w:fill="EEECE1" w:themeFill="background2"/>
        <w:spacing w:before="0" w:after="0"/>
        <w:ind w:left="1080" w:hanging="0"/>
        <w:rPr>
          <w:rFonts w:cs="BookAntiqua"/>
        </w:rPr>
      </w:pPr>
      <w:r>
        <w:rPr>
          <w:rFonts w:cs="BookAntiqua"/>
        </w:rPr>
      </w:r>
    </w:p>
    <w:p>
      <w:pPr>
        <w:pStyle w:val="Normal"/>
        <w:shd w:val="clear" w:color="auto" w:fill="EEECE1" w:themeFill="background2"/>
        <w:spacing w:before="0" w:after="0"/>
        <w:ind w:left="1080" w:hanging="0"/>
        <w:rPr>
          <w:rFonts w:cs="BookAntiqua"/>
        </w:rPr>
      </w:pPr>
      <w:r>
        <w:rPr>
          <w:rFonts w:cs="BookAntiqua"/>
        </w:rPr>
        <w:t>The probability that the mean transaction amount of the sample is between $45 and $55 is given by:</w:t>
      </w:r>
    </w:p>
    <w:p>
      <w:pPr>
        <w:pStyle w:val="Normal"/>
        <w:shd w:val="clear" w:color="auto" w:fill="EEECE1" w:themeFill="background2"/>
        <w:spacing w:before="0" w:after="0"/>
        <w:ind w:left="1080" w:hanging="0"/>
        <w:rPr>
          <w:rFonts w:cs="BookAntiqua"/>
        </w:rPr>
      </w:pPr>
      <w:r>
        <w:rPr>
          <w:rFonts w:cs="BookAntiqua"/>
        </w:rPr>
      </w:r>
    </w:p>
    <w:p>
      <w:pPr>
        <w:pStyle w:val="Normal"/>
        <w:shd w:val="clear" w:color="auto" w:fill="EEECE1" w:themeFill="background2"/>
        <w:spacing w:before="0" w:after="0"/>
        <w:ind w:left="1080" w:hanging="0"/>
        <w:rPr>
          <w:rFonts w:cs="BookAntiqua"/>
        </w:rPr>
      </w:pPr>
      <w:r>
        <w:rPr>
          <w:rFonts w:cs="BookAntiqua"/>
        </w:rPr>
        <w:t>P(45 &lt; x &lt; 55) = 0.7887</w:t>
      </w:r>
    </w:p>
    <w:p>
      <w:pPr>
        <w:pStyle w:val="Normal"/>
        <w:shd w:val="clear" w:color="auto" w:fill="EEECE1" w:themeFill="background2"/>
        <w:spacing w:before="0" w:after="0"/>
        <w:ind w:left="1080" w:hanging="0"/>
        <w:rPr>
          <w:rFonts w:cs="BookAntiqua"/>
        </w:rPr>
      </w:pPr>
      <w:r>
        <w:rPr>
          <w:rFonts w:cs="BookAntiqua"/>
        </w:rPr>
        <w:t>where x is the mean transaction amount of the sample.</w:t>
      </w:r>
    </w:p>
    <w:p>
      <w:pPr>
        <w:pStyle w:val="Normal"/>
        <w:shd w:val="clear" w:color="auto" w:fill="EEECE1" w:themeFill="background2"/>
        <w:spacing w:before="0" w:after="0"/>
        <w:ind w:left="1080" w:hanging="0"/>
        <w:rPr>
          <w:rFonts w:cs="BookAntiqua"/>
        </w:rPr>
      </w:pPr>
      <w:r>
        <w:rPr>
          <w:rFonts w:cs="BookAntiqua"/>
        </w:rPr>
        <w:t>Therefore, the probability that there will be an investigation is</w:t>
      </w:r>
      <w:r>
        <w:rPr>
          <w:rFonts w:cs="BookAntiqua"/>
          <w:b/>
          <w:bCs/>
        </w:rPr>
        <w:t xml:space="preserve"> 1 - 0.7887 = 21.1%.</w:t>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4"/>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b/>
          <w:b/>
          <w:bCs/>
        </w:rPr>
      </w:pPr>
      <w:r>
        <w:rPr>
          <w:rFonts w:cs="BookAntiqua"/>
          <w:b/>
          <w:bCs/>
        </w:rPr>
        <w:t>250</w:t>
      </w:r>
    </w:p>
    <w:p>
      <w:pPr>
        <w:pStyle w:val="Normal"/>
        <w:numPr>
          <w:ilvl w:val="0"/>
          <w:numId w:val="4"/>
        </w:numPr>
        <w:spacing w:before="0" w:after="0"/>
        <w:rPr>
          <w:rFonts w:cs="BookAntiqua"/>
        </w:rPr>
      </w:pPr>
      <w:r>
        <w:rPr>
          <w:rFonts w:cs="BookAntiqua"/>
        </w:rPr>
        <w:t>Not enough information</w:t>
      </w:r>
    </w:p>
    <w:p>
      <w:pPr>
        <w:pStyle w:val="Normal"/>
        <w:spacing w:before="0" w:after="0"/>
        <w:ind w:left="1080" w:hanging="0"/>
        <w:rPr>
          <w:rFonts w:cs="BookAntiqua"/>
          <w:b/>
          <w:b/>
          <w:bCs/>
        </w:rPr>
      </w:pPr>
      <w:r>
        <w:rPr>
          <w:rFonts w:cs="BookAntiqua"/>
          <w:b/>
          <w:bCs/>
        </w:rPr>
        <w:t>Ans: D (250)</w:t>
      </w:r>
    </w:p>
    <w:p>
      <w:pPr>
        <w:pStyle w:val="Normal"/>
        <w:shd w:val="clear" w:color="auto" w:fill="EEECE1" w:themeFill="background2"/>
        <w:spacing w:before="0" w:after="0"/>
        <w:ind w:left="1080" w:hanging="0"/>
        <w:rPr>
          <w:rFonts w:cs="BookAntiqua"/>
        </w:rPr>
      </w:pPr>
      <w:r>
        <w:rPr>
          <w:rFonts w:cs="BookAntiqua"/>
        </w:rPr>
        <w:t>The auditors need to sample at least 150 transactions to maintain a 5% probability of investigation.</w:t>
      </w:r>
    </w:p>
    <w:p>
      <w:pPr>
        <w:pStyle w:val="Normal"/>
        <w:shd w:val="clear" w:color="auto" w:fill="EEECE1" w:themeFill="background2"/>
        <w:spacing w:before="0" w:after="0"/>
        <w:ind w:left="1080" w:hanging="0"/>
        <w:rPr>
          <w:rFonts w:cs="BookAntiqua"/>
        </w:rPr>
      </w:pPr>
      <w:r>
        <w:rPr>
          <w:rFonts w:cs="BookAntiqua"/>
        </w:rPr>
      </w:r>
    </w:p>
    <w:p>
      <w:pPr>
        <w:pStyle w:val="Normal"/>
        <w:shd w:val="clear" w:color="auto" w:fill="EEECE1" w:themeFill="background2"/>
        <w:spacing w:before="0" w:after="0"/>
        <w:ind w:left="1080" w:hanging="0"/>
        <w:rPr>
          <w:rFonts w:cs="BookAntiqua"/>
        </w:rPr>
      </w:pPr>
      <w:r>
        <w:rPr>
          <w:rFonts w:cs="BookAntiqua"/>
        </w:rPr>
        <w:t>This means that if they sample fewer than 150 transactions, there is a greater than 5% chance that a transaction will be flagged for investigation, even if the mean transaction amount is between $45 and $55.</w:t>
      </w:r>
    </w:p>
    <w:p>
      <w:pPr>
        <w:pStyle w:val="Normal"/>
        <w:shd w:val="clear" w:color="auto" w:fill="EEECE1" w:themeFill="background2"/>
        <w:spacing w:before="0" w:after="0"/>
        <w:ind w:left="1080" w:hanging="0"/>
        <w:rPr>
          <w:rFonts w:cs="BookAntiqua"/>
        </w:rPr>
      </w:pPr>
      <w:r>
        <w:rPr>
          <w:rFonts w:cs="BookAntiqua"/>
        </w:rPr>
      </w:r>
    </w:p>
    <w:p>
      <w:pPr>
        <w:pStyle w:val="Normal"/>
        <w:shd w:val="clear" w:color="auto" w:fill="EEECE1" w:themeFill="background2"/>
        <w:spacing w:before="0" w:after="0"/>
        <w:ind w:left="1080" w:hanging="0"/>
        <w:rPr>
          <w:rFonts w:cs="BookAntiqua"/>
        </w:rPr>
      </w:pPr>
      <w:r>
        <w:rPr>
          <w:rFonts w:cs="BookAntiqua"/>
        </w:rPr>
        <w:t>The auditors may choose to sample more than 150 transactions if they want to be more confident that the mean transaction amount is between $45 and $55. However, sampling more transactions will also increase the cost of the audit.</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5"/>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b/>
          <w:b/>
          <w:bCs/>
        </w:rPr>
      </w:pPr>
      <w:r>
        <w:rPr>
          <w:rFonts w:cs="BookAntiqua"/>
          <w:b/>
          <w:bCs/>
        </w:rPr>
        <w:t>The standard deviation of the mean across several samples will be 0.60</w:t>
      </w:r>
    </w:p>
    <w:p>
      <w:pPr>
        <w:pStyle w:val="ListParagraph"/>
        <w:spacing w:before="0" w:after="0"/>
        <w:ind w:left="1080" w:hanging="0"/>
        <w:contextualSpacing/>
        <w:rPr>
          <w:rFonts w:cs="Calibri" w:cstheme="minorHAnsi"/>
          <w:color w:val="1F2328"/>
          <w:highlight w:val="white"/>
        </w:rPr>
      </w:pPr>
      <w:r>
        <w:rPr>
          <w:rFonts w:cs="Calibri" w:cstheme="minorHAnsi"/>
          <w:color w:val="1F2328"/>
          <w:shd w:fill="FFFFFF" w:val="clear"/>
        </w:rPr>
      </w:r>
    </w:p>
    <w:p>
      <w:pPr>
        <w:pStyle w:val="Normal"/>
        <w:spacing w:before="0" w:after="0"/>
        <w:ind w:left="1080" w:hanging="0"/>
        <w:rPr>
          <w:rFonts w:cs="Calibri" w:cstheme="minorHAnsi"/>
          <w:color w:val="1F2328"/>
          <w:highlight w:val="white"/>
        </w:rPr>
      </w:pPr>
      <w:r>
        <w:rPr>
          <w:rFonts w:cs="Calibri" w:cstheme="minorHAnsi"/>
          <w:color w:val="1F2328"/>
          <w:shd w:fill="FFFFFF" w:val="clear"/>
        </w:rPr>
        <w:t>E Standard error = sigma / (n)^0.5 = standard deviation / (sample size)^0.5 = 120 / (40000)^0.5 = 0.6</w:t>
      </w:r>
    </w:p>
    <w:p>
      <w:pPr>
        <w:pStyle w:val="ListParagraph"/>
        <w:spacing w:before="0" w:after="0"/>
        <w:ind w:left="108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LibreOffice/6.0.7.3$Linux_X86_64 LibreOffice_project/00m0$Build-3</Application>
  <Pages>4</Pages>
  <Words>927</Words>
  <Characters>4456</Characters>
  <CharactersWithSpaces>5313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en-US</dc:language>
  <cp:lastModifiedBy>S Abluhussain</cp:lastModifiedBy>
  <dcterms:modified xsi:type="dcterms:W3CDTF">2023-08-22T11:36:00Z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