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DO-178B Temperature Sensor Monitoring Project</w:t>
      </w:r>
    </w:p>
    <w:p>
      <w:r>
        <w:pict>
          <v:rect style="width:0;height:1.5pt" o:hralign="center" o:hrstd="t" o:hr="t"/>
        </w:pict>
      </w:r>
    </w:p>
    <w:bookmarkStart w:id="25" w:name="system-requirements-document-srd"/>
    <w:p>
      <w:pPr>
        <w:pStyle w:val="Heading1"/>
      </w:pPr>
      <w:r>
        <w:t xml:space="preserve">1. System Requirements Document (SRD)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Define what the system must do.</w:t>
      </w:r>
    </w:p>
    <w:p>
      <w:pPr>
        <w:pStyle w:val="Compact"/>
        <w:numPr>
          <w:ilvl w:val="0"/>
          <w:numId w:val="1001"/>
        </w:numPr>
      </w:pPr>
      <w:r>
        <w:t xml:space="preserve">Serve as the source for all software requirements.</w:t>
      </w:r>
    </w:p>
    <w:p>
      <w:pPr>
        <w:pStyle w:val="Compact"/>
        <w:numPr>
          <w:ilvl w:val="0"/>
          <w:numId w:val="1001"/>
        </w:numPr>
      </w:pPr>
      <w:r>
        <w:t xml:space="preserve">Provide traceable safety and functional requirements.</w:t>
      </w:r>
    </w:p>
    <w:bookmarkEnd w:id="20"/>
    <w:bookmarkStart w:id="21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2"/>
        </w:numPr>
      </w:pPr>
      <w:r>
        <w:t xml:space="preserve">Customer requirements (monitor temperature, warn pilot)</w:t>
      </w:r>
    </w:p>
    <w:p>
      <w:pPr>
        <w:pStyle w:val="Compact"/>
        <w:numPr>
          <w:ilvl w:val="0"/>
          <w:numId w:val="1002"/>
        </w:numPr>
      </w:pPr>
      <w:r>
        <w:t xml:space="preserve">Operational Concept (ConOps)</w:t>
      </w:r>
    </w:p>
    <w:p>
      <w:pPr>
        <w:pStyle w:val="Compact"/>
        <w:numPr>
          <w:ilvl w:val="0"/>
          <w:numId w:val="1002"/>
        </w:numPr>
      </w:pPr>
      <w:r>
        <w:t xml:space="preserve">Safety assessment (FHA, PSSA, SSA)</w:t>
      </w:r>
    </w:p>
    <w:p>
      <w:pPr>
        <w:pStyle w:val="Compact"/>
        <w:numPr>
          <w:ilvl w:val="0"/>
          <w:numId w:val="1002"/>
        </w:numPr>
      </w:pPr>
      <w:r>
        <w:t xml:space="preserve">System architecture</w:t>
      </w:r>
    </w:p>
    <w:p>
      <w:pPr>
        <w:pStyle w:val="Compact"/>
        <w:numPr>
          <w:ilvl w:val="0"/>
          <w:numId w:val="1002"/>
        </w:numPr>
      </w:pPr>
      <w:r>
        <w:t xml:space="preserve">Interface Control Document (ICD)</w:t>
      </w:r>
    </w:p>
    <w:p>
      <w:pPr>
        <w:pStyle w:val="Compact"/>
        <w:numPr>
          <w:ilvl w:val="0"/>
          <w:numId w:val="1002"/>
        </w:numPr>
      </w:pPr>
      <w:r>
        <w:t xml:space="preserve">Performance and timing specifications</w:t>
      </w:r>
    </w:p>
    <w:p>
      <w:pPr>
        <w:pStyle w:val="Compact"/>
        <w:numPr>
          <w:ilvl w:val="0"/>
          <w:numId w:val="1002"/>
        </w:numPr>
      </w:pPr>
      <w:r>
        <w:t xml:space="preserve">Environmental requirements</w:t>
      </w:r>
    </w:p>
    <w:p>
      <w:pPr>
        <w:pStyle w:val="Compact"/>
        <w:numPr>
          <w:ilvl w:val="0"/>
          <w:numId w:val="1002"/>
        </w:numPr>
      </w:pPr>
      <w:r>
        <w:t xml:space="preserve">Regulatory and standard compliance</w:t>
      </w:r>
    </w:p>
    <w:p>
      <w:pPr>
        <w:pStyle w:val="Compact"/>
        <w:numPr>
          <w:ilvl w:val="0"/>
          <w:numId w:val="1002"/>
        </w:numPr>
      </w:pPr>
      <w:r>
        <w:t xml:space="preserve">Fault handling requirements</w:t>
      </w:r>
    </w:p>
    <w:bookmarkEnd w:id="21"/>
    <w:bookmarkStart w:id="22" w:name="example-requirements"/>
    <w:p>
      <w:pPr>
        <w:pStyle w:val="Heading2"/>
      </w:pPr>
      <w:r>
        <w:t xml:space="preserve">Example Requirements</w:t>
      </w:r>
    </w:p>
    <w:p>
      <w:pPr>
        <w:pStyle w:val="Compact"/>
        <w:numPr>
          <w:ilvl w:val="0"/>
          <w:numId w:val="1003"/>
        </w:numPr>
      </w:pPr>
      <w:r>
        <w:t xml:space="preserve">SYS-REQ-01: System shall monitor temperature sensor input every 1 second.</w:t>
      </w:r>
    </w:p>
    <w:p>
      <w:pPr>
        <w:pStyle w:val="Compact"/>
        <w:numPr>
          <w:ilvl w:val="0"/>
          <w:numId w:val="1003"/>
        </w:numPr>
      </w:pPr>
      <w:r>
        <w:t xml:space="preserve">SYS-REQ-02: System shall generate a warning when temperature exceeds 80°C.</w:t>
      </w:r>
    </w:p>
    <w:p>
      <w:pPr>
        <w:pStyle w:val="Compact"/>
        <w:numPr>
          <w:ilvl w:val="0"/>
          <w:numId w:val="1003"/>
        </w:numPr>
      </w:pPr>
      <w:r>
        <w:t xml:space="preserve">SYS-REQ-03: System shall clear the warning when temperature drops below 75°C.</w:t>
      </w:r>
    </w:p>
    <w:p>
      <w:pPr>
        <w:pStyle w:val="Compact"/>
        <w:numPr>
          <w:ilvl w:val="0"/>
          <w:numId w:val="1003"/>
        </w:numPr>
      </w:pPr>
      <w:r>
        <w:t xml:space="preserve">SYS-REQ-04: System shall store the over-temperature flag as Boolean.</w:t>
      </w:r>
    </w:p>
    <w:bookmarkEnd w:id="22"/>
    <w:bookmarkStart w:id="23" w:name="finalization"/>
    <w:p>
      <w:pPr>
        <w:pStyle w:val="Heading2"/>
      </w:pPr>
      <w:r>
        <w:t xml:space="preserve">Finalization</w:t>
      </w:r>
    </w:p>
    <w:p>
      <w:pPr>
        <w:pStyle w:val="Compact"/>
        <w:numPr>
          <w:ilvl w:val="0"/>
          <w:numId w:val="1004"/>
        </w:numPr>
      </w:pPr>
      <w:r>
        <w:t xml:space="preserve">Draft creation by system engineers</w:t>
      </w:r>
    </w:p>
    <w:p>
      <w:pPr>
        <w:pStyle w:val="Compact"/>
        <w:numPr>
          <w:ilvl w:val="0"/>
          <w:numId w:val="1004"/>
        </w:numPr>
      </w:pPr>
      <w:r>
        <w:t xml:space="preserve">Review by software, safety, QA</w:t>
      </w:r>
    </w:p>
    <w:p>
      <w:pPr>
        <w:pStyle w:val="Compact"/>
        <w:numPr>
          <w:ilvl w:val="0"/>
          <w:numId w:val="1004"/>
        </w:numPr>
      </w:pPr>
      <w:r>
        <w:t xml:space="preserve">Comments resolved</w:t>
      </w:r>
    </w:p>
    <w:p>
      <w:pPr>
        <w:pStyle w:val="Compact"/>
        <w:numPr>
          <w:ilvl w:val="0"/>
          <w:numId w:val="1004"/>
        </w:numPr>
      </w:pPr>
      <w:r>
        <w:t xml:space="preserve">Baseline under CM, version v1.0 approved</w:t>
      </w:r>
    </w:p>
    <w:bookmarkEnd w:id="23"/>
    <w:bookmarkStart w:id="24" w:name="traceability"/>
    <w:p>
      <w:pPr>
        <w:pStyle w:val="Heading2"/>
      </w:pPr>
      <w:r>
        <w:t xml:space="preserve">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SRD</w:t>
            </w:r>
          </w:p>
        </w:tc>
        <w:tc>
          <w:tcPr/>
          <w:p>
            <w:pPr>
              <w:pStyle w:val="Compact"/>
            </w:pPr>
            <w:r>
              <w:t xml:space="preserve">HLR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SYS-REQ-01</w:t>
            </w:r>
          </w:p>
        </w:tc>
        <w:tc>
          <w:tcPr/>
          <w:p>
            <w:pPr>
              <w:pStyle w:val="Compact"/>
            </w:pPr>
            <w:r>
              <w:t xml:space="preserve">HLR-01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SYS-REQ-02</w:t>
            </w:r>
          </w:p>
        </w:tc>
        <w:tc>
          <w:tcPr/>
          <w:p>
            <w:pPr>
              <w:pStyle w:val="Compact"/>
            </w:pPr>
            <w:r>
              <w:t xml:space="preserve">HLR-02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high-level-requirements-hlr"/>
    <w:p>
      <w:pPr>
        <w:pStyle w:val="Heading1"/>
      </w:pPr>
      <w:r>
        <w:t xml:space="preserve">2. High-Level Requirements (HLR)</w:t>
      </w:r>
    </w:p>
    <w:bookmarkStart w:id="26" w:name="purpose-1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05"/>
        </w:numPr>
      </w:pPr>
      <w:r>
        <w:t xml:space="preserve">Define software-level requirements derived from SRD.</w:t>
      </w:r>
    </w:p>
    <w:p>
      <w:pPr>
        <w:pStyle w:val="Compact"/>
        <w:numPr>
          <w:ilvl w:val="0"/>
          <w:numId w:val="1005"/>
        </w:numPr>
      </w:pPr>
      <w:r>
        <w:t xml:space="preserve">Translate system requirements into software-specific, testable statements.</w:t>
      </w:r>
    </w:p>
    <w:bookmarkEnd w:id="26"/>
    <w:bookmarkStart w:id="27" w:name="inputs-1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6"/>
        </w:numPr>
      </w:pPr>
      <w:r>
        <w:t xml:space="preserve">SRD, ICD, ConOps, safety assessment, performance and timing specs</w:t>
      </w:r>
    </w:p>
    <w:bookmarkEnd w:id="27"/>
    <w:bookmarkStart w:id="28" w:name="example-requirements-1"/>
    <w:p>
      <w:pPr>
        <w:pStyle w:val="Heading2"/>
      </w:pPr>
      <w:r>
        <w:t xml:space="preserve">Example Requirements</w:t>
      </w:r>
    </w:p>
    <w:p>
      <w:pPr>
        <w:pStyle w:val="Compact"/>
        <w:numPr>
          <w:ilvl w:val="0"/>
          <w:numId w:val="1007"/>
        </w:numPr>
      </w:pPr>
      <w:r>
        <w:t xml:space="preserve">HLR-01: Software shall sample temperature sensor every 1 second.</w:t>
      </w:r>
    </w:p>
    <w:p>
      <w:pPr>
        <w:pStyle w:val="Compact"/>
        <w:numPr>
          <w:ilvl w:val="0"/>
          <w:numId w:val="1007"/>
        </w:numPr>
      </w:pPr>
      <w:r>
        <w:t xml:space="preserve">HLR-02: Software shall detect over-temperature when temp &gt; 80°C.</w:t>
      </w:r>
    </w:p>
    <w:p>
      <w:pPr>
        <w:pStyle w:val="Compact"/>
        <w:numPr>
          <w:ilvl w:val="0"/>
          <w:numId w:val="1007"/>
        </w:numPr>
      </w:pPr>
      <w:r>
        <w:t xml:space="preserve">HLR-03: Software shall clear over-temperature warning when temp &lt; 75°C.</w:t>
      </w:r>
    </w:p>
    <w:p>
      <w:pPr>
        <w:pStyle w:val="Compact"/>
        <w:numPr>
          <w:ilvl w:val="0"/>
          <w:numId w:val="1007"/>
        </w:numPr>
      </w:pPr>
      <w:r>
        <w:t xml:space="preserve">HLR-04: Software shall set an over-temperature warning flag as Boolean.</w:t>
      </w:r>
    </w:p>
    <w:bookmarkEnd w:id="28"/>
    <w:bookmarkStart w:id="29" w:name="finalization-1"/>
    <w:p>
      <w:pPr>
        <w:pStyle w:val="Heading2"/>
      </w:pPr>
      <w:r>
        <w:t xml:space="preserve">Finalization</w:t>
      </w:r>
    </w:p>
    <w:p>
      <w:pPr>
        <w:pStyle w:val="Compact"/>
        <w:numPr>
          <w:ilvl w:val="0"/>
          <w:numId w:val="1008"/>
        </w:numPr>
      </w:pPr>
      <w:r>
        <w:t xml:space="preserve">Peer review</w:t>
      </w:r>
    </w:p>
    <w:p>
      <w:pPr>
        <w:pStyle w:val="Compact"/>
        <w:numPr>
          <w:ilvl w:val="0"/>
          <w:numId w:val="1008"/>
        </w:numPr>
      </w:pPr>
      <w:r>
        <w:t xml:space="preserve">Fix comments</w:t>
      </w:r>
    </w:p>
    <w:p>
      <w:pPr>
        <w:pStyle w:val="Compact"/>
        <w:numPr>
          <w:ilvl w:val="0"/>
          <w:numId w:val="1008"/>
        </w:numPr>
      </w:pPr>
      <w:r>
        <w:t xml:space="preserve">Baseline in CM, approved</w:t>
      </w:r>
    </w:p>
    <w:bookmarkEnd w:id="29"/>
    <w:bookmarkStart w:id="30" w:name="traceability-1"/>
    <w:p>
      <w:pPr>
        <w:pStyle w:val="Heading2"/>
      </w:pPr>
      <w:r>
        <w:t xml:space="preserve">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SRD</w:t>
            </w:r>
          </w:p>
        </w:tc>
        <w:tc>
          <w:tcPr/>
          <w:p>
            <w:pPr>
              <w:pStyle w:val="Compact"/>
            </w:pPr>
            <w:r>
              <w:t xml:space="preserve">HLR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SYS-REQ-01</w:t>
            </w:r>
          </w:p>
        </w:tc>
        <w:tc>
          <w:tcPr/>
          <w:p>
            <w:pPr>
              <w:pStyle w:val="Compact"/>
            </w:pPr>
            <w:r>
              <w:t xml:space="preserve">HLR-01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SYS-REQ-02</w:t>
            </w:r>
          </w:p>
        </w:tc>
        <w:tc>
          <w:tcPr/>
          <w:p>
            <w:pPr>
              <w:pStyle w:val="Compact"/>
            </w:pPr>
            <w:r>
              <w:t xml:space="preserve">HLR-02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low-level-requirements-llr"/>
    <w:p>
      <w:pPr>
        <w:pStyle w:val="Heading1"/>
      </w:pPr>
      <w:r>
        <w:t xml:space="preserve">3. Low-Level Requirements (LLR)</w:t>
      </w:r>
    </w:p>
    <w:bookmarkStart w:id="32" w:name="purpose-2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09"/>
        </w:numPr>
      </w:pPr>
      <w:r>
        <w:t xml:space="preserve">Define detailed logic to implement HLR.</w:t>
      </w:r>
    </w:p>
    <w:p>
      <w:pPr>
        <w:pStyle w:val="Compact"/>
        <w:numPr>
          <w:ilvl w:val="0"/>
          <w:numId w:val="1009"/>
        </w:numPr>
      </w:pPr>
      <w:r>
        <w:t xml:space="preserve">Basis for software design and coding.</w:t>
      </w:r>
    </w:p>
    <w:bookmarkEnd w:id="32"/>
    <w:bookmarkStart w:id="33" w:name="inputs-2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10"/>
        </w:numPr>
      </w:pPr>
      <w:r>
        <w:t xml:space="preserve">HLR, safety rules, timing constraints, ICD, environmental conditions</w:t>
      </w:r>
    </w:p>
    <w:bookmarkEnd w:id="33"/>
    <w:bookmarkStart w:id="34" w:name="example-requirements-2"/>
    <w:p>
      <w:pPr>
        <w:pStyle w:val="Heading2"/>
      </w:pPr>
      <w:r>
        <w:t xml:space="preserve">Example Requirements</w:t>
      </w:r>
    </w:p>
    <w:p>
      <w:pPr>
        <w:pStyle w:val="Compact"/>
        <w:numPr>
          <w:ilvl w:val="0"/>
          <w:numId w:val="1011"/>
        </w:numPr>
      </w:pPr>
      <w:r>
        <w:t xml:space="preserve">LLR-01: Sample temperature sensor every 1000 ms.</w:t>
      </w:r>
    </w:p>
    <w:p>
      <w:pPr>
        <w:pStyle w:val="Compact"/>
        <w:numPr>
          <w:ilvl w:val="0"/>
          <w:numId w:val="1011"/>
        </w:numPr>
      </w:pPr>
      <w:r>
        <w:t xml:space="preserve">LLR-02: If temperature &gt; 80°C for 2 consecutive samples, set flag TRUE.</w:t>
      </w:r>
    </w:p>
    <w:p>
      <w:pPr>
        <w:pStyle w:val="Compact"/>
        <w:numPr>
          <w:ilvl w:val="0"/>
          <w:numId w:val="1011"/>
        </w:numPr>
      </w:pPr>
      <w:r>
        <w:t xml:space="preserve">LLR-03: If temperature ≤ 75°C for 2 consecutive samples, set flag FALSE.</w:t>
      </w:r>
    </w:p>
    <w:p>
      <w:pPr>
        <w:pStyle w:val="Compact"/>
        <w:numPr>
          <w:ilvl w:val="0"/>
          <w:numId w:val="1011"/>
        </w:numPr>
      </w:pPr>
      <w:r>
        <w:t xml:space="preserve">LLR-04: Warning flag stored as Boolean.</w:t>
      </w:r>
    </w:p>
    <w:bookmarkEnd w:id="34"/>
    <w:bookmarkStart w:id="35" w:name="finalization-2"/>
    <w:p>
      <w:pPr>
        <w:pStyle w:val="Heading2"/>
      </w:pPr>
      <w:r>
        <w:t xml:space="preserve">Finalization</w:t>
      </w:r>
    </w:p>
    <w:p>
      <w:pPr>
        <w:pStyle w:val="Compact"/>
        <w:numPr>
          <w:ilvl w:val="0"/>
          <w:numId w:val="1012"/>
        </w:numPr>
      </w:pPr>
      <w:r>
        <w:t xml:space="preserve">Technical review</w:t>
      </w:r>
    </w:p>
    <w:p>
      <w:pPr>
        <w:pStyle w:val="Compact"/>
        <w:numPr>
          <w:ilvl w:val="0"/>
          <w:numId w:val="1012"/>
        </w:numPr>
      </w:pPr>
      <w:r>
        <w:t xml:space="preserve">Fix defects</w:t>
      </w:r>
    </w:p>
    <w:p>
      <w:pPr>
        <w:pStyle w:val="Compact"/>
        <w:numPr>
          <w:ilvl w:val="0"/>
          <w:numId w:val="1012"/>
        </w:numPr>
      </w:pPr>
      <w:r>
        <w:t xml:space="preserve">Baseline under CM</w:t>
      </w:r>
    </w:p>
    <w:bookmarkEnd w:id="35"/>
    <w:bookmarkStart w:id="36" w:name="traceability-2"/>
    <w:p>
      <w:pPr>
        <w:pStyle w:val="Heading2"/>
      </w:pPr>
      <w:r>
        <w:t xml:space="preserve">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HLR</w:t>
            </w:r>
          </w:p>
        </w:tc>
        <w:tc>
          <w:tcPr/>
          <w:p>
            <w:pPr>
              <w:pStyle w:val="Compact"/>
            </w:pPr>
            <w:r>
              <w:t xml:space="preserve">LLR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HLR-02</w:t>
            </w:r>
          </w:p>
        </w:tc>
        <w:tc>
          <w:tcPr/>
          <w:p>
            <w:pPr>
              <w:pStyle w:val="Compact"/>
            </w:pPr>
            <w:r>
              <w:t xml:space="preserve">LLR-02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HLR-03</w:t>
            </w:r>
          </w:p>
        </w:tc>
        <w:tc>
          <w:tcPr/>
          <w:p>
            <w:pPr>
              <w:pStyle w:val="Compact"/>
            </w:pPr>
            <w:r>
              <w:t xml:space="preserve">LLR-03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software-design-description-sdd"/>
    <w:p>
      <w:pPr>
        <w:pStyle w:val="Heading1"/>
      </w:pPr>
      <w:r>
        <w:t xml:space="preserve">4. Software Design Description (SDD)</w:t>
      </w:r>
    </w:p>
    <w:bookmarkStart w:id="38" w:name="purpose-3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13"/>
        </w:numPr>
      </w:pPr>
      <w:r>
        <w:t xml:space="preserve">Describe architecture, modules, state machines, data flow.</w:t>
      </w:r>
    </w:p>
    <w:p>
      <w:pPr>
        <w:pStyle w:val="Compact"/>
        <w:numPr>
          <w:ilvl w:val="0"/>
          <w:numId w:val="1013"/>
        </w:numPr>
      </w:pPr>
      <w:r>
        <w:t xml:space="preserve">Define how LLR will be implemented in code.</w:t>
      </w:r>
    </w:p>
    <w:bookmarkEnd w:id="38"/>
    <w:bookmarkStart w:id="39" w:name="inputs-3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14"/>
        </w:numPr>
      </w:pPr>
      <w:r>
        <w:t xml:space="preserve">LLR, coding standards, hardware architecture, performance/timing, environmental constraints, ICD</w:t>
      </w:r>
    </w:p>
    <w:bookmarkEnd w:id="39"/>
    <w:bookmarkStart w:id="40" w:name="example-design"/>
    <w:p>
      <w:pPr>
        <w:pStyle w:val="Heading2"/>
      </w:pPr>
      <w:r>
        <w:t xml:space="preserve">Example Design</w:t>
      </w:r>
    </w:p>
    <w:p>
      <w:pPr>
        <w:pStyle w:val="Compact"/>
        <w:numPr>
          <w:ilvl w:val="0"/>
          <w:numId w:val="1015"/>
        </w:numPr>
      </w:pPr>
      <w:r>
        <w:t xml:space="preserve">Module: TempMonitor</w:t>
      </w:r>
    </w:p>
    <w:p>
      <w:pPr>
        <w:pStyle w:val="Compact"/>
        <w:numPr>
          <w:ilvl w:val="0"/>
          <w:numId w:val="1015"/>
        </w:numPr>
      </w:pPr>
      <w:r>
        <w:t xml:space="preserve">States: NORMAL, OVER_TEMP</w:t>
      </w:r>
    </w:p>
    <w:p>
      <w:pPr>
        <w:pStyle w:val="Compact"/>
        <w:numPr>
          <w:ilvl w:val="0"/>
          <w:numId w:val="1015"/>
        </w:numPr>
      </w:pPr>
      <w:r>
        <w:t xml:space="preserve">Logic: Temp &gt;80°C for 2 cycles → OVER_TEMP; Temp ≤75°C → NORMAL</w:t>
      </w:r>
    </w:p>
    <w:p>
      <w:pPr>
        <w:pStyle w:val="Compact"/>
        <w:numPr>
          <w:ilvl w:val="0"/>
          <w:numId w:val="1015"/>
        </w:numPr>
      </w:pPr>
      <w:r>
        <w:t xml:space="preserve">Data flow: Sensor → TempMonitor → Warning Flag</w:t>
      </w:r>
    </w:p>
    <w:bookmarkEnd w:id="40"/>
    <w:bookmarkStart w:id="41" w:name="finalization-3"/>
    <w:p>
      <w:pPr>
        <w:pStyle w:val="Heading2"/>
      </w:pPr>
      <w:r>
        <w:t xml:space="preserve">Finalization</w:t>
      </w:r>
    </w:p>
    <w:p>
      <w:pPr>
        <w:pStyle w:val="Compact"/>
        <w:numPr>
          <w:ilvl w:val="0"/>
          <w:numId w:val="1016"/>
        </w:numPr>
      </w:pPr>
      <w:r>
        <w:t xml:space="preserve">Design review</w:t>
      </w:r>
    </w:p>
    <w:p>
      <w:pPr>
        <w:pStyle w:val="Compact"/>
        <w:numPr>
          <w:ilvl w:val="0"/>
          <w:numId w:val="1016"/>
        </w:numPr>
      </w:pPr>
      <w:r>
        <w:t xml:space="preserve">Fix comments</w:t>
      </w:r>
    </w:p>
    <w:p>
      <w:pPr>
        <w:pStyle w:val="Compact"/>
        <w:numPr>
          <w:ilvl w:val="0"/>
          <w:numId w:val="1016"/>
        </w:numPr>
      </w:pPr>
      <w:r>
        <w:t xml:space="preserve">Baseline in CM</w:t>
      </w:r>
    </w:p>
    <w:bookmarkEnd w:id="41"/>
    <w:bookmarkStart w:id="42" w:name="traceability-3"/>
    <w:p>
      <w:pPr>
        <w:pStyle w:val="Heading2"/>
      </w:pPr>
      <w:r>
        <w:t xml:space="preserve">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LLR</w:t>
            </w:r>
          </w:p>
        </w:tc>
        <w:tc>
          <w:tcPr/>
          <w:p>
            <w:pPr>
              <w:pStyle w:val="Compact"/>
            </w:pPr>
            <w:r>
              <w:t xml:space="preserve">Design Element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LLR-02</w:t>
            </w:r>
          </w:p>
        </w:tc>
        <w:tc>
          <w:tcPr/>
          <w:p>
            <w:pPr>
              <w:pStyle w:val="Compact"/>
            </w:pPr>
            <w:r>
              <w:t xml:space="preserve">TempMonitor State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LLR-03</w:t>
            </w:r>
          </w:p>
        </w:tc>
        <w:tc>
          <w:tcPr/>
          <w:p>
            <w:pPr>
              <w:pStyle w:val="Compact"/>
            </w:pPr>
            <w:r>
              <w:t xml:space="preserve">Reset Logic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9" w:name="X8df32bb93e1672326173511ed86b9d70293da1c"/>
    <w:p>
      <w:pPr>
        <w:pStyle w:val="Heading1"/>
      </w:pPr>
      <w:r>
        <w:t xml:space="preserve">5. Software Verification Cases &amp; Procedures (SVCP)</w:t>
      </w:r>
    </w:p>
    <w:bookmarkStart w:id="44" w:name="purpose-4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17"/>
        </w:numPr>
      </w:pPr>
      <w:r>
        <w:t xml:space="preserve">Define test cases for verifying HLR/LLR.</w:t>
      </w:r>
    </w:p>
    <w:p>
      <w:pPr>
        <w:pStyle w:val="Compact"/>
        <w:numPr>
          <w:ilvl w:val="0"/>
          <w:numId w:val="1017"/>
        </w:numPr>
      </w:pPr>
      <w:r>
        <w:t xml:space="preserve">Include steps, inputs, expected results.</w:t>
      </w:r>
    </w:p>
    <w:bookmarkEnd w:id="44"/>
    <w:bookmarkStart w:id="45" w:name="inputs-4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18"/>
        </w:numPr>
      </w:pPr>
      <w:r>
        <w:t xml:space="preserve">HLR, LLR, SDD, coverage requirements</w:t>
      </w:r>
    </w:p>
    <w:bookmarkEnd w:id="45"/>
    <w:bookmarkStart w:id="46" w:name="example-test-cases"/>
    <w:p>
      <w:pPr>
        <w:pStyle w:val="Heading2"/>
      </w:pPr>
      <w:r>
        <w:t xml:space="preserve">Example Test Cases</w:t>
      </w:r>
    </w:p>
    <w:p>
      <w:pPr>
        <w:pStyle w:val="Compact"/>
        <w:numPr>
          <w:ilvl w:val="0"/>
          <w:numId w:val="1019"/>
        </w:numPr>
      </w:pPr>
      <w:r>
        <w:t xml:space="preserve">TC-01: Temp = 60°C → flag FALSE</w:t>
      </w:r>
    </w:p>
    <w:p>
      <w:pPr>
        <w:pStyle w:val="Compact"/>
        <w:numPr>
          <w:ilvl w:val="0"/>
          <w:numId w:val="1019"/>
        </w:numPr>
      </w:pPr>
      <w:r>
        <w:t xml:space="preserve">TC-02: Temp = 85°C → flag TRUE</w:t>
      </w:r>
    </w:p>
    <w:p>
      <w:pPr>
        <w:pStyle w:val="Compact"/>
        <w:numPr>
          <w:ilvl w:val="0"/>
          <w:numId w:val="1019"/>
        </w:numPr>
      </w:pPr>
      <w:r>
        <w:t xml:space="preserve">TC-03: Temp = 70°C → flag FALSE</w:t>
      </w:r>
    </w:p>
    <w:p>
      <w:pPr>
        <w:pStyle w:val="Compact"/>
        <w:numPr>
          <w:ilvl w:val="0"/>
          <w:numId w:val="1019"/>
        </w:numPr>
      </w:pPr>
      <w:r>
        <w:t xml:space="preserve">TC-04: Temp = 80°C → flag FALSE (boundary)</w:t>
      </w:r>
    </w:p>
    <w:bookmarkEnd w:id="46"/>
    <w:bookmarkStart w:id="47" w:name="finalization-4"/>
    <w:p>
      <w:pPr>
        <w:pStyle w:val="Heading2"/>
      </w:pPr>
      <w:r>
        <w:t xml:space="preserve">Finalization</w:t>
      </w:r>
    </w:p>
    <w:p>
      <w:pPr>
        <w:pStyle w:val="Compact"/>
        <w:numPr>
          <w:ilvl w:val="0"/>
          <w:numId w:val="1020"/>
        </w:numPr>
      </w:pPr>
      <w:r>
        <w:t xml:space="preserve">Review by verification team + QA</w:t>
      </w:r>
    </w:p>
    <w:p>
      <w:pPr>
        <w:pStyle w:val="Compact"/>
        <w:numPr>
          <w:ilvl w:val="0"/>
          <w:numId w:val="1020"/>
        </w:numPr>
      </w:pPr>
      <w:r>
        <w:t xml:space="preserve">Ensure coverage of all requirements</w:t>
      </w:r>
    </w:p>
    <w:p>
      <w:pPr>
        <w:pStyle w:val="Compact"/>
        <w:numPr>
          <w:ilvl w:val="0"/>
          <w:numId w:val="1020"/>
        </w:numPr>
      </w:pPr>
      <w:r>
        <w:t xml:space="preserve">Baseline in CM</w:t>
      </w:r>
    </w:p>
    <w:bookmarkEnd w:id="47"/>
    <w:bookmarkStart w:id="48" w:name="traceability-4"/>
    <w:p>
      <w:pPr>
        <w:pStyle w:val="Heading2"/>
      </w:pPr>
      <w:r>
        <w:t xml:space="preserve">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LLR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LLR-02</w:t>
            </w:r>
          </w:p>
        </w:tc>
        <w:tc>
          <w:tcPr/>
          <w:p>
            <w:pPr>
              <w:pStyle w:val="Compact"/>
            </w:pPr>
            <w:r>
              <w:t xml:space="preserve">TC-02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LLR-03</w:t>
            </w:r>
          </w:p>
        </w:tc>
        <w:tc>
          <w:tcPr/>
          <w:p>
            <w:pPr>
              <w:pStyle w:val="Compact"/>
            </w:pPr>
            <w:r>
              <w:t xml:space="preserve">TC-03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5" w:name="software-verification-results-svr"/>
    <w:p>
      <w:pPr>
        <w:pStyle w:val="Heading1"/>
      </w:pPr>
      <w:r>
        <w:t xml:space="preserve">6. Software Verification Results (SVR)</w:t>
      </w:r>
    </w:p>
    <w:bookmarkStart w:id="50" w:name="purpose-5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21"/>
        </w:numPr>
      </w:pPr>
      <w:r>
        <w:t xml:space="preserve">Record results of test execution.</w:t>
      </w:r>
    </w:p>
    <w:p>
      <w:pPr>
        <w:pStyle w:val="Compact"/>
        <w:numPr>
          <w:ilvl w:val="0"/>
          <w:numId w:val="1021"/>
        </w:numPr>
      </w:pPr>
      <w:r>
        <w:t xml:space="preserve">Provide evidence that software satisfies requirements.</w:t>
      </w:r>
    </w:p>
    <w:bookmarkEnd w:id="50"/>
    <w:bookmarkStart w:id="51" w:name="inputs-5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22"/>
        </w:numPr>
      </w:pPr>
      <w:r>
        <w:t xml:space="preserve">SVCP, logs, coverage reports, anomaly reports</w:t>
      </w:r>
    </w:p>
    <w:bookmarkEnd w:id="51"/>
    <w:bookmarkStart w:id="52" w:name="example-results"/>
    <w:p>
      <w:pPr>
        <w:pStyle w:val="Heading2"/>
      </w:pPr>
      <w:r>
        <w:t xml:space="preserve">Example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Coverage: Statement 100%, Branch 100%</w:t>
      </w:r>
    </w:p>
    <w:bookmarkEnd w:id="52"/>
    <w:bookmarkStart w:id="53" w:name="finalization-5"/>
    <w:p>
      <w:pPr>
        <w:pStyle w:val="Heading2"/>
      </w:pPr>
      <w:r>
        <w:t xml:space="preserve">Finalization</w:t>
      </w:r>
    </w:p>
    <w:p>
      <w:pPr>
        <w:pStyle w:val="Compact"/>
        <w:numPr>
          <w:ilvl w:val="0"/>
          <w:numId w:val="1023"/>
        </w:numPr>
      </w:pPr>
      <w:r>
        <w:t xml:space="preserve">Review by verification lead + QA</w:t>
      </w:r>
    </w:p>
    <w:p>
      <w:pPr>
        <w:pStyle w:val="Compact"/>
        <w:numPr>
          <w:ilvl w:val="0"/>
          <w:numId w:val="1023"/>
        </w:numPr>
      </w:pPr>
      <w:r>
        <w:t xml:space="preserve">Fix open anomalies</w:t>
      </w:r>
    </w:p>
    <w:p>
      <w:pPr>
        <w:pStyle w:val="Compact"/>
        <w:numPr>
          <w:ilvl w:val="0"/>
          <w:numId w:val="1023"/>
        </w:numPr>
      </w:pPr>
      <w:r>
        <w:t xml:space="preserve">Baseline in CM</w:t>
      </w:r>
    </w:p>
    <w:bookmarkEnd w:id="53"/>
    <w:bookmarkStart w:id="54" w:name="traceability-5"/>
    <w:p>
      <w:pPr>
        <w:pStyle w:val="Heading2"/>
      </w:pPr>
      <w:r>
        <w:t xml:space="preserve">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1" w:name="software-validation-document-vdd-svd"/>
    <w:p>
      <w:pPr>
        <w:pStyle w:val="Heading1"/>
      </w:pPr>
      <w:r>
        <w:t xml:space="preserve">7. Software Validation Document (VDD / SVD)</w:t>
      </w:r>
    </w:p>
    <w:bookmarkStart w:id="56" w:name="purpose-6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24"/>
        </w:numPr>
      </w:pPr>
      <w:r>
        <w:t xml:space="preserve">Summarize that software meets operational requirements.</w:t>
      </w:r>
    </w:p>
    <w:p>
      <w:pPr>
        <w:pStyle w:val="Compact"/>
        <w:numPr>
          <w:ilvl w:val="0"/>
          <w:numId w:val="1024"/>
        </w:numPr>
      </w:pPr>
      <w:r>
        <w:t xml:space="preserve">Confirm all requirements tested and passed.</w:t>
      </w:r>
    </w:p>
    <w:p>
      <w:pPr>
        <w:pStyle w:val="Compact"/>
        <w:numPr>
          <w:ilvl w:val="0"/>
          <w:numId w:val="1024"/>
        </w:numPr>
      </w:pPr>
      <w:r>
        <w:t xml:space="preserve">Provide compliance evidence for certification.</w:t>
      </w:r>
    </w:p>
    <w:bookmarkEnd w:id="56"/>
    <w:bookmarkStart w:id="57" w:name="inputs-6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25"/>
        </w:numPr>
      </w:pPr>
      <w:r>
        <w:t xml:space="preserve">HLR, LLR, SVCP, SVR, traceability, coverage, anomaly reports</w:t>
      </w:r>
    </w:p>
    <w:bookmarkEnd w:id="57"/>
    <w:bookmarkStart w:id="58" w:name="content"/>
    <w:p>
      <w:pPr>
        <w:pStyle w:val="Heading2"/>
      </w:pPr>
      <w:r>
        <w:t xml:space="preserve">Content</w:t>
      </w:r>
    </w:p>
    <w:p>
      <w:pPr>
        <w:pStyle w:val="Compact"/>
        <w:numPr>
          <w:ilvl w:val="0"/>
          <w:numId w:val="1026"/>
        </w:numPr>
      </w:pPr>
      <w:r>
        <w:t xml:space="preserve">Validation strategy</w:t>
      </w:r>
    </w:p>
    <w:p>
      <w:pPr>
        <w:pStyle w:val="Compact"/>
        <w:numPr>
          <w:ilvl w:val="0"/>
          <w:numId w:val="1026"/>
        </w:numPr>
      </w:pPr>
      <w:r>
        <w:t xml:space="preserve">Summary of executed tests</w:t>
      </w:r>
    </w:p>
    <w:p>
      <w:pPr>
        <w:pStyle w:val="Compact"/>
        <w:numPr>
          <w:ilvl w:val="0"/>
          <w:numId w:val="1026"/>
        </w:numPr>
      </w:pPr>
      <w:r>
        <w:t xml:space="preserve">Coverage statistics</w:t>
      </w:r>
    </w:p>
    <w:p>
      <w:pPr>
        <w:pStyle w:val="Compact"/>
        <w:numPr>
          <w:ilvl w:val="0"/>
          <w:numId w:val="1026"/>
        </w:numPr>
      </w:pPr>
      <w:r>
        <w:t xml:space="preserve">Confirmation that all requirements validated</w:t>
      </w:r>
    </w:p>
    <w:p>
      <w:pPr>
        <w:pStyle w:val="Compact"/>
        <w:numPr>
          <w:ilvl w:val="0"/>
          <w:numId w:val="1026"/>
        </w:numPr>
      </w:pPr>
      <w:r>
        <w:t xml:space="preserve">No open anomalies</w:t>
      </w:r>
    </w:p>
    <w:bookmarkEnd w:id="58"/>
    <w:bookmarkStart w:id="59" w:name="finalization-6"/>
    <w:p>
      <w:pPr>
        <w:pStyle w:val="Heading2"/>
      </w:pPr>
      <w:r>
        <w:t xml:space="preserve">Finalization</w:t>
      </w:r>
    </w:p>
    <w:p>
      <w:pPr>
        <w:pStyle w:val="Compact"/>
        <w:numPr>
          <w:ilvl w:val="0"/>
          <w:numId w:val="1027"/>
        </w:numPr>
      </w:pPr>
      <w:r>
        <w:t xml:space="preserve">Review by verification + QA</w:t>
      </w:r>
    </w:p>
    <w:p>
      <w:pPr>
        <w:pStyle w:val="Compact"/>
        <w:numPr>
          <w:ilvl w:val="0"/>
          <w:numId w:val="1027"/>
        </w:numPr>
      </w:pPr>
      <w:r>
        <w:t xml:space="preserve">Baseline under CM</w:t>
      </w:r>
    </w:p>
    <w:p>
      <w:pPr>
        <w:pStyle w:val="Compact"/>
        <w:numPr>
          <w:ilvl w:val="0"/>
          <w:numId w:val="1027"/>
        </w:numPr>
      </w:pPr>
      <w:r>
        <w:t xml:space="preserve">Approved for certification</w:t>
      </w:r>
    </w:p>
    <w:bookmarkEnd w:id="59"/>
    <w:bookmarkStart w:id="60" w:name="traceability-6"/>
    <w:p>
      <w:pPr>
        <w:pStyle w:val="Heading2"/>
      </w:pPr>
      <w:r>
        <w:t xml:space="preserve">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0"/>
        <w:gridCol w:w="920"/>
        <w:gridCol w:w="920"/>
        <w:gridCol w:w="1473"/>
        <w:gridCol w:w="1105"/>
        <w:gridCol w:w="1105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SRD</w:t>
            </w:r>
          </w:p>
        </w:tc>
        <w:tc>
          <w:tcPr/>
          <w:p>
            <w:pPr>
              <w:pStyle w:val="Compact"/>
            </w:pPr>
            <w:r>
              <w:t xml:space="preserve">HLR</w:t>
            </w:r>
          </w:p>
        </w:tc>
        <w:tc>
          <w:tcPr/>
          <w:p>
            <w:pPr>
              <w:pStyle w:val="Compact"/>
            </w:pPr>
            <w:r>
              <w:t xml:space="preserve">LLR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SYS-REQ-02</w:t>
            </w:r>
          </w:p>
        </w:tc>
        <w:tc>
          <w:tcPr/>
          <w:p>
            <w:pPr>
              <w:pStyle w:val="Compact"/>
            </w:pPr>
            <w:r>
              <w:t xml:space="preserve">HLR-02</w:t>
            </w:r>
          </w:p>
        </w:tc>
        <w:tc>
          <w:tcPr/>
          <w:p>
            <w:pPr>
              <w:pStyle w:val="Compact"/>
            </w:pPr>
            <w:r>
              <w:t xml:space="preserve">LLR-02</w:t>
            </w:r>
          </w:p>
        </w:tc>
        <w:tc>
          <w:tcPr/>
          <w:p>
            <w:pPr>
              <w:pStyle w:val="Compact"/>
            </w:pPr>
            <w:r>
              <w:t xml:space="preserve">TempMonitor</w:t>
            </w:r>
          </w:p>
        </w:tc>
        <w:tc>
          <w:tcPr/>
          <w:p>
            <w:pPr>
              <w:pStyle w:val="Compact"/>
            </w:pPr>
            <w:r>
              <w:t xml:space="preserve">TempMonitor()</w:t>
            </w:r>
          </w:p>
        </w:tc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SYS-REQ-03</w:t>
            </w:r>
          </w:p>
        </w:tc>
        <w:tc>
          <w:tcPr/>
          <w:p>
            <w:pPr>
              <w:pStyle w:val="Compact"/>
            </w:pPr>
            <w:r>
              <w:t xml:space="preserve">HLR-03</w:t>
            </w:r>
          </w:p>
        </w:tc>
        <w:tc>
          <w:tcPr/>
          <w:p>
            <w:pPr>
              <w:pStyle w:val="Compact"/>
            </w:pPr>
            <w:r>
              <w:t xml:space="preserve">LLR-03</w:t>
            </w:r>
          </w:p>
        </w:tc>
        <w:tc>
          <w:tcPr/>
          <w:p>
            <w:pPr>
              <w:pStyle w:val="Compact"/>
            </w:pPr>
            <w:r>
              <w:t xml:space="preserve">Reset Logic</w:t>
            </w:r>
          </w:p>
        </w:tc>
        <w:tc>
          <w:tcPr/>
          <w:p>
            <w:pPr>
              <w:pStyle w:val="Compact"/>
            </w:pPr>
            <w:r>
              <w:t xml:space="preserve">TempMonitor()</w:t>
            </w:r>
          </w:p>
        </w:tc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final-traceability-chain"/>
    <w:p>
      <w:pPr>
        <w:pStyle w:val="Heading1"/>
      </w:pPr>
      <w:r>
        <w:t xml:space="preserve">Final Traceability Chain</w:t>
      </w:r>
    </w:p>
    <w:p>
      <w:pPr>
        <w:pStyle w:val="FirstParagraph"/>
      </w:pPr>
      <w:r>
        <w:t xml:space="preserve">SRD → HLR → LLR → SDD → Code → SVCP → SVR → Software Validation Document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2026-03-04T03:14:46Z</dcterms:created>
  <dcterms:modified xsi:type="dcterms:W3CDTF">2026-03-04T03:14:46Z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