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r/>
    </w:p>
    <w:p>
      <w:pPr>
        <w:pStyle w:val="Body"/>
        <w:ind w:left="61" w:firstLine="0"/>
        <w:rPr>
          <w:sz w:val="20"/>
          <w:szCs w:val="20"/>
        </w:rPr>
      </w:pPr>
      <w:r>
        <w:rPr>
          <w:sz w:val="20"/>
          <w:szCs w:val="20"/>
        </w:rPr>
      </w:r>
      <w:r/>
    </w:p>
    <w:p>
      <w:pPr>
        <w:pStyle w:val="Body"/>
        <w:spacing w:before="3"/>
        <w:ind w:left="60" w:firstLine="0"/>
        <w:rPr>
          <w:i w:val="1"/>
          <w:iCs w:val="1"/>
          <w:sz w:val="20"/>
          <w:szCs w:val="20"/>
        </w:rPr>
      </w:pPr>
      <w:r>
        <w:rPr>
          <w:i w:val="1"/>
          <w:iCs w:val="1"/>
          <w:sz w:val="20"/>
          <w:szCs w:val="20"/>
          <w:rtl w:val="0"/>
          <w:lang w:val="en-US"/>
        </w:rPr>
      </w:r>
      <w:r>
        <w:rPr>
          <w:i w:val="1"/>
          <w:iCs w:val="1"/>
          <w:spacing w:val="-5"/>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rPr>
      </w:r>
      <w:r>
        <w:rPr>
          <w:i w:val="1"/>
          <w:iCs w:val="1"/>
          <w:spacing w:val="-5"/>
          <w:sz w:val="20"/>
          <w:szCs w:val="20"/>
          <w:rtl w:val="0"/>
        </w:rPr>
      </w:r>
      <w:r>
        <w:rPr>
          <w:i w:val="1"/>
          <w:iCs w:val="1"/>
          <w:sz w:val="20"/>
          <w:szCs w:val="20"/>
          <w:rtl w:val="0"/>
        </w:rPr>
      </w:r>
      <w:r>
        <w:rPr>
          <w:i w:val="1"/>
          <w:iCs w:val="1"/>
          <w:spacing w:val="-7"/>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en-US"/>
        </w:rPr>
      </w:r>
      <w:r>
        <w:t>(Please scan this QR Code to view 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r>
      <w:r/>
    </w:p>
    <w:p>
      <w:pPr>
        <w:pStyle w:val="Heading 2"/>
        <w:spacing w:before="61" w:line="229" w:lineRule="exact"/>
        <w:ind w:left="1342" w:firstLine="0"/>
        <w:jc w:val="left"/>
      </w:pPr>
      <w:r>
        <w:rPr>
          <w:rtl w:val="0"/>
          <w:lang w:val="da-DK"/>
        </w:rPr>
      </w:r>
      <w:r>
        <w:rPr>
          <w:spacing w:val="0"/>
          <w:rtl w:val="0"/>
        </w:rPr>
      </w:r>
      <w:r>
        <w:rPr>
          <w:rtl w:val="0"/>
          <w:lang w:val="de-DE"/>
        </w:rPr>
      </w:r>
      <w:r>
        <w:rPr>
          <w:spacing w:val="0"/>
          <w:rtl w:val="0"/>
        </w:rPr>
      </w:r>
      <w:r>
        <w:rPr>
          <w:spacing w:val="0"/>
          <w:rtl w:val="0"/>
          <w:lang w:val="nl-NL"/>
        </w:rPr>
      </w:r>
      <w:r>
        <w:t>RED HERRING PROSPECTUS</w:t>
      </w:r>
    </w:p>
    <w:p>
      <w:pPr>
        <w:pStyle w:val="Body Text"/>
        <w:spacing w:line="229" w:lineRule="exact"/>
        <w:ind w:right="55"/>
        <w:jc w:val="right"/>
      </w:pPr>
      <w:r>
        <w:rPr>
          <w:rtl w:val="0"/>
          <w:lang w:val="en-US"/>
        </w:rPr>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r>
        <w:t>Dated December 10,[REDACTED]</w:t>
      </w:r>
    </w:p>
    <w:p>
      <w:pPr>
        <w:pStyle w:val="Body"/>
        <w:ind w:right="60"/>
        <w:jc w:val="right"/>
        <w:rPr>
          <w:i w:val="1"/>
          <w:iCs w:val="1"/>
          <w:sz w:val="20"/>
          <w:szCs w:val="20"/>
        </w:rPr>
      </w:pPr>
      <w:r>
        <w:rPr>
          <w:i w:val="1"/>
          <w:iCs w:val="1"/>
          <w:sz w:val="20"/>
          <w:szCs w:val="20"/>
          <w:rtl w:val="0"/>
          <w:lang w:val="en-US"/>
        </w:rPr>
      </w:r>
      <w:r>
        <w:rPr>
          <w:i w:val="1"/>
          <w:iCs w:val="1"/>
          <w:spacing w:val="-3"/>
          <w:sz w:val="20"/>
          <w:szCs w:val="20"/>
          <w:rtl w:val="0"/>
        </w:rPr>
      </w:r>
      <w:r>
        <w:rPr>
          <w:i w:val="1"/>
          <w:iCs w:val="1"/>
          <w:sz w:val="20"/>
          <w:szCs w:val="20"/>
          <w:rtl w:val="0"/>
          <w:lang w:val="en-US"/>
        </w:rPr>
      </w:r>
      <w:r>
        <w:rPr>
          <w:i w:val="1"/>
          <w:iCs w:val="1"/>
          <w:spacing w:val="-2"/>
          <w:sz w:val="20"/>
          <w:szCs w:val="20"/>
          <w:rtl w:val="0"/>
        </w:rPr>
      </w:r>
      <w:r>
        <w:rPr>
          <w:i w:val="1"/>
          <w:iCs w:val="1"/>
          <w:sz w:val="20"/>
          <w:szCs w:val="20"/>
          <w:rtl w:val="0"/>
          <w:lang w:val="fr-FR"/>
        </w:rPr>
      </w:r>
      <w:r>
        <w:rPr>
          <w:i w:val="1"/>
          <w:iCs w:val="1"/>
          <w:spacing w:val="-2"/>
          <w:sz w:val="20"/>
          <w:szCs w:val="20"/>
          <w:rtl w:val="0"/>
        </w:rPr>
      </w:r>
      <w:r>
        <w:rPr>
          <w:i w:val="1"/>
          <w:iCs w:val="1"/>
          <w:sz w:val="20"/>
          <w:szCs w:val="20"/>
          <w:rtl w:val="0"/>
        </w:rPr>
      </w:r>
      <w:r>
        <w:rPr>
          <w:i w:val="1"/>
          <w:iCs w:val="1"/>
          <w:spacing w:val="-5"/>
          <w:sz w:val="20"/>
          <w:szCs w:val="20"/>
          <w:rtl w:val="0"/>
        </w:rPr>
      </w:r>
      <w:r>
        <w:rPr>
          <w:i w:val="1"/>
          <w:iCs w:val="1"/>
          <w:sz w:val="20"/>
          <w:szCs w:val="20"/>
          <w:rtl w:val="0"/>
          <w:lang w:val="en-US"/>
        </w:rPr>
      </w:r>
      <w:r>
        <w:rPr>
          <w:i w:val="1"/>
          <w:iCs w:val="1"/>
          <w:spacing w:val="-3"/>
          <w:sz w:val="20"/>
          <w:szCs w:val="20"/>
          <w:rtl w:val="0"/>
        </w:rPr>
      </w:r>
      <w:r>
        <w:rPr>
          <w:i w:val="1"/>
          <w:iCs w:val="1"/>
          <w:sz w:val="20"/>
          <w:szCs w:val="20"/>
          <w:rtl w:val="0"/>
          <w:lang w:val="en-US"/>
        </w:rPr>
      </w:r>
      <w:r>
        <w:rPr>
          <w:i w:val="1"/>
          <w:iCs w:val="1"/>
          <w:spacing w:val="-5"/>
          <w:sz w:val="20"/>
          <w:szCs w:val="20"/>
          <w:rtl w:val="0"/>
        </w:rPr>
      </w:r>
      <w:r>
        <w:rPr>
          <w:i w:val="1"/>
          <w:iCs w:val="1"/>
          <w:sz w:val="20"/>
          <w:szCs w:val="20"/>
          <w:rtl w:val="0"/>
          <w:lang w:val="en-US"/>
        </w:rPr>
      </w:r>
      <w:r>
        <w:rPr>
          <w:i w:val="1"/>
          <w:iCs w:val="1"/>
          <w:spacing w:val="-5"/>
          <w:sz w:val="20"/>
          <w:szCs w:val="20"/>
          <w:rtl w:val="0"/>
        </w:rPr>
      </w:r>
      <w:r>
        <w:rPr>
          <w:i w:val="1"/>
          <w:iCs w:val="1"/>
          <w:sz w:val="20"/>
          <w:szCs w:val="20"/>
          <w:rtl w:val="0"/>
          <w:lang w:val="en-US"/>
        </w:rPr>
      </w:r>
      <w:r>
        <w:rPr>
          <w:i w:val="1"/>
          <w:iCs w:val="1"/>
          <w:spacing w:val="-2"/>
          <w:sz w:val="20"/>
          <w:szCs w:val="20"/>
          <w:rtl w:val="0"/>
        </w:rPr>
      </w:r>
      <w:r>
        <w:rPr>
          <w:i w:val="1"/>
          <w:iCs w:val="1"/>
          <w:spacing w:val="-3"/>
          <w:sz w:val="20"/>
          <w:szCs w:val="20"/>
          <w:rtl w:val="0"/>
        </w:rPr>
      </w:r>
      <w:r>
        <w:t>Please read section 32 of the Companies Act,[REDACTED]</w:t>
      </w:r>
    </w:p>
    <w:p>
      <w:pPr>
        <w:pStyle w:val="Heading 3"/>
        <w:spacing w:before="1"/>
        <w:ind w:left="0" w:right="57" w:firstLine="0"/>
        <w:jc w:val="right"/>
      </w:pPr>
      <w:r>
        <w:rPr>
          <w:rtl w:val="0"/>
        </w:rPr>
      </w:r>
      <w:r>
        <w:rPr>
          <w:spacing w:val="0"/>
          <w:rtl w:val="0"/>
        </w:rPr>
      </w:r>
      <w:r>
        <w:rPr>
          <w:rtl w:val="0"/>
          <w:lang w:val="en-US"/>
        </w:rPr>
      </w:r>
      <w:r>
        <w:rPr>
          <w:spacing w:val="0"/>
          <w:rtl w:val="0"/>
        </w:rPr>
      </w:r>
      <w:r>
        <w:rPr>
          <w:rtl w:val="0"/>
          <w:lang w:val="en-US"/>
        </w:rPr>
      </w:r>
      <w:r>
        <w:rPr>
          <w:spacing w:val="0"/>
          <w:rtl w:val="0"/>
        </w:rPr>
      </w:r>
      <w:r>
        <w:rPr>
          <w:spacing w:val="0"/>
          <w:rtl w:val="0"/>
          <w:lang w:val="en-US"/>
        </w:rPr>
      </w: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r/>
    </w:p>
    <w:p>
      <w:pPr>
        <w:pStyle w:val="Body Text"/>
        <w:spacing w:before="1"/>
        <w:rPr>
          <w:b w:val="1"/>
          <w:bCs w:val="1"/>
        </w:rPr>
      </w:pPr>
      <w:r/>
    </w:p>
    <w:p>
      <w:pPr>
        <w:pStyle w:val="Body"/>
        <w:ind w:left="5194" w:firstLine="0"/>
        <w:rPr>
          <w:sz w:val="20"/>
          <w:szCs w:val="20"/>
        </w:rPr>
      </w:pPr>
      <w:r>
        <w:rPr>
          <w:sz w:val="20"/>
          <w:szCs w:val="20"/>
        </w:rPr>
      </w:r>
      <w:r/>
    </w:p>
    <w:p>
      <w:pPr>
        <w:pStyle w:val="Heading 2"/>
        <w:spacing w:before="0"/>
        <w:ind w:left="2977" w:right="2973" w:firstLine="1275"/>
        <w:jc w:val="left"/>
      </w:pPr>
      <w:r>
        <w:rPr>
          <w:rtl w:val="0"/>
          <w:lang w:val="en-US"/>
        </w:rPr>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r>
        <w:t>KSH INTERNATIONAL LIMITED CORPORATE IDENTITY NUMBER: U[REDACTED]PN[REDACTED]PLC[REDACTED]</w:t>
      </w:r>
    </w:p>
    <w:p>
      <w:pPr>
        <w:pStyle w:val="Body Text"/>
        <w:spacing w:before="8" w:after="1"/>
        <w:rPr>
          <w:b w:val="1"/>
          <w:bCs w:val="1"/>
          <w:sz w:val="19"/>
          <w:szCs w:val="19"/>
        </w:rPr>
      </w:p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r/>
    </w:p>
    <w:p>
      <w:pPr>
        <w:pStyle w:val="Body"/>
        <w:spacing w:before="14"/>
        <w:ind w:left="144" w:firstLine="0"/>
        <w:rPr>
          <w:rStyle w:val="None"/>
          <w:i w:val="1"/>
          <w:iCs w:val="1"/>
          <w:sz w:val="18"/>
          <w:szCs w:val="18"/>
        </w:rPr>
      </w:pPr>
      <w:r>
        <w:rPr>
          <w:rStyle w:val="None"/>
          <w:i w:val="1"/>
          <w:iCs w:val="1"/>
          <w:position w:val="12"/>
          <w:sz w:val="12"/>
          <w:szCs w:val="12"/>
          <w:rtl w:val="0"/>
        </w:rPr>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r>
        <w:t>(1) Our Company, in consultation with the Book Running Lead Managers, may consider participation by Anchor Investors in accordance with the SEBI ICDR 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r>
        <w:t>(2) The UPI mandate end time and date shall be at 5:00 p.m. on Bid/Offer Closing Day.</w:t>
      </w:r>
    </w:p>
    <w:p>
      <w:pPr>
        <w:pStyle w:val="Body"/>
        <w:spacing w:line="206" w:lineRule="exact"/>
        <w:sectPr>
          <w:type w:val="continuous"/>
          <w:pgSz w:w="11920" w:h="16840" w:orient="portrait"/>
          <w:pgMar w:top="120" w:right="141" w:bottom="280" w:left="141" w:header="0" w:footer="0"/>
          <w:bidi w:val="0"/>
        </w:sectPr>
      </w:pPr>
      <w:r/>
    </w:p>
    <w:p>
      <w:pPr>
        <w:pStyle w:val="Body"/>
        <w:spacing w:before="74" w:line="183" w:lineRule="exact"/>
        <w:ind w:right="119"/>
        <w:jc w:val="right"/>
        <w:rPr>
          <w:rStyle w:val="None"/>
          <w:b w:val="1"/>
          <w:bCs w:val="1"/>
          <w:sz w:val="16"/>
          <w:szCs w:val="16"/>
        </w:rPr>
      </w:pPr>
      <w:r>
        <w:rPr>
          <w:rStyle w:val="None"/>
          <w:b w:val="1"/>
          <w:bCs w:val="1"/>
          <w:sz w:val="16"/>
          <w:szCs w:val="16"/>
        </w:rPr>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r>
        <w:t>RED HERRING PROSPECTUS</w:t>
      </w:r>
    </w:p>
    <w:p>
      <w:pPr>
        <w:pStyle w:val="Body"/>
        <w:ind w:left="8654" w:firstLine="1382"/>
        <w:rPr>
          <w:rStyle w:val="None"/>
          <w:sz w:val="14"/>
          <w:szCs w:val="14"/>
        </w:rPr>
      </w:pPr>
      <w:r>
        <w:rPr>
          <w:rStyle w:val="None"/>
          <w:sz w:val="14"/>
          <w:szCs w:val="14"/>
          <w:rtl w:val="0"/>
          <w:lang w:val="de-DE"/>
        </w:rPr>
      </w:r>
      <w:r>
        <w:rPr>
          <w:rStyle w:val="None"/>
          <w:spacing w:val="-9"/>
          <w:sz w:val="14"/>
          <w:szCs w:val="14"/>
          <w:rtl w:val="0"/>
        </w:rPr>
      </w:r>
      <w:r>
        <w:rPr>
          <w:rStyle w:val="None"/>
          <w:sz w:val="14"/>
          <w:szCs w:val="14"/>
          <w:rtl w:val="0"/>
          <w:lang w:val="en-US"/>
        </w:rPr>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r>
      <w:r>
        <w:rPr>
          <w:rStyle w:val="None"/>
          <w:sz w:val="14"/>
          <w:szCs w:val="14"/>
          <w:rtl w:val="0"/>
        </w:rPr>
      </w:r>
      <w:r>
        <w:rPr>
          <w:rStyle w:val="None"/>
          <w:spacing w:val="-3"/>
          <w:sz w:val="14"/>
          <w:szCs w:val="14"/>
          <w:rtl w:val="0"/>
        </w:rPr>
      </w:r>
      <w:r>
        <w:rPr>
          <w:rStyle w:val="None"/>
          <w:sz w:val="14"/>
          <w:szCs w:val="14"/>
          <w:rtl w:val="0"/>
          <w:lang w:val="en-US"/>
        </w:rPr>
      </w:r>
      <w:r>
        <w:rPr>
          <w:rStyle w:val="None"/>
          <w:spacing w:val="-4"/>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pacing w:val="-4"/>
          <w:sz w:val="14"/>
          <w:szCs w:val="14"/>
          <w:rtl w:val="0"/>
        </w:rPr>
      </w:r>
      <w:r>
        <w:t>Dated December 10,[REDACTED] Please read section 32 of the Companies Act,[REDACTED]</w:t>
      </w:r>
    </w:p>
    <w:p>
      <w:pPr>
        <w:pStyle w:val="Body"/>
        <w:spacing w:line="161" w:lineRule="exact"/>
        <w:ind w:left="10116" w:firstLine="0"/>
        <w:rPr>
          <w:rStyle w:val="None"/>
          <w:b w:val="1"/>
          <w:bCs w:val="1"/>
          <w:sz w:val="14"/>
          <w:szCs w:val="14"/>
        </w:rPr>
      </w:pPr>
      <w:r>
        <w:rPr>
          <w:rStyle w:val="None"/>
          <w:b w:val="1"/>
          <w:bCs w:val="1"/>
          <w:sz w:val="14"/>
          <w:szCs w:val="14"/>
          <w:rtl w:val="0"/>
        </w:rPr>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pacing w:val="-2"/>
          <w:sz w:val="14"/>
          <w:szCs w:val="14"/>
          <w:rtl w:val="0"/>
          <w:lang w:val="en-US"/>
        </w:rPr>
      </w:r>
      <w:r>
        <w:t>100% Book Built Offer</w:t>
      </w:r>
    </w:p>
    <w:p>
      <w:pPr>
        <w:pStyle w:val="Body Text"/>
        <w:spacing w:before="12"/>
        <w:rPr>
          <w:rStyle w:val="None"/>
          <w:b w:val="1"/>
          <w:bCs w:val="1"/>
          <w:sz w:val="14"/>
          <w:szCs w:val="14"/>
        </w:rPr>
      </w:pPr>
      <w:r/>
    </w:p>
    <w:p>
      <w:pPr>
        <w:pStyle w:val="Heading 2"/>
        <w:spacing w:before="0"/>
        <w:ind w:left="722" w:right="724" w:firstLine="0"/>
      </w:pPr>
      <w:r>
        <w:rPr>
          <w:rStyle w:val="None"/>
          <w:rtl w:val="0"/>
        </w:rPr>
      </w:r>
      <w:r>
        <w:rPr>
          <w:rStyle w:val="None"/>
          <w:spacing w:val="0"/>
          <w:rtl w:val="0"/>
        </w:rPr>
      </w:r>
      <w:r>
        <w:rPr>
          <w:rStyle w:val="None"/>
          <w:rtl w:val="0"/>
          <w:lang w:val="de-DE"/>
        </w:rPr>
      </w:r>
      <w:r>
        <w:rPr>
          <w:rStyle w:val="None"/>
          <w:spacing w:val="0"/>
          <w:rtl w:val="0"/>
        </w:rPr>
      </w:r>
      <w:r>
        <w:rPr>
          <w:rStyle w:val="None"/>
          <w:spacing w:val="0"/>
          <w:rtl w:val="0"/>
          <w:lang w:val="en-US"/>
        </w:rPr>
      </w:r>
      <w:r>
        <w:t>KSH INTERNATIONAL LIMITED</w:t>
      </w:r>
    </w:p>
    <w:p>
      <w:pPr>
        <w:pStyle w:val="Body"/>
        <w:ind w:left="3" w:right="96" w:firstLine="0"/>
        <w:jc w:val="both"/>
        <w:rPr>
          <w:rStyle w:val="None"/>
          <w:sz w:val="13"/>
          <w:szCs w:val="13"/>
        </w:rPr>
      </w:pP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r>
        <w:t>Our Company was originally incorporated as “Bhandary Metal Extrusion Private Limited” under the provisions of the Companies Act,[REDACTED], pursuant to a certificate of incorporation dated July 30,[REDACTED], issued by the Registrar of Companies, Maharashtra at Bombay. Subsequently, the name of our Company was changed from “Bhandary Metal Extrusion Private Limited” to “KSH International Private Limited” pursuant to a resolution dated June 1,[REDACTED] passed by our Board and a resolution dated June 24,[REDACTED] passed by our shareholders, post which a fresh certificate of incorporation dated July 4,[REDACTED] was issued by Registrar of Companies Maharashtra at Mumbai pursuant to change of name under the Companies Act,[REDACTED]. Further, pursuant to a special resolution passed by our Shareholders on January 13,[REDACTED] which was confirmed by an order of the regional director dated August 16,[REDACTED],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13,[REDACTED], by the RoC. On the conversion of our Company from a private limited company to a public limited company, pursuant to a resolution passed by our Board on December 11,[REDACTED] and a special resolution passed by our Shareholders on December 19,[REDACTED], the name of our Company was changed to “KSH International Limited” and a fresh certificate of incorporation was issued by the Registrar of Companies, Central Processing Centre on January 20,[REDACTED].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r>
        <w:t>Corporate Identity Number: U[REDACTED]PN[REDACTED]PLC[REDACTED]</w:t>
      </w:r>
    </w:p>
    <w:p>
      <w:pPr>
        <w:pStyle w:val="Body"/>
        <w:spacing w:line="149" w:lineRule="exact"/>
        <w:ind w:left="724" w:right="2" w:firstLine="0"/>
        <w:jc w:val="center"/>
        <w:rPr>
          <w:rStyle w:val="None"/>
          <w:sz w:val="13"/>
          <w:szCs w:val="13"/>
        </w:rPr>
      </w:pPr>
      <w:r>
        <w:rPr>
          <w:rStyle w:val="None"/>
          <w:b w:val="1"/>
          <w:bCs w:val="1"/>
          <w:sz w:val="13"/>
          <w:szCs w:val="13"/>
          <w:rtl w:val="0"/>
          <w:lang w:val="en-US"/>
        </w:rPr>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r>
        <w:t>Registered Office: 11/3, 11/4 and 11/5, Village Birdewadi, Chakan Taluka - Khed, Pune –[REDACTED], Maharashtra,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r>
        <w:t>Corporate Office: 201, Tower 2, Montreal Business Centre, Off Pallod Farms, Baner, Pune –[REDACTED], Maharashtra, 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r>
        <w:t>Contact Person: Sarthak Malvadkar, Company Secretary and Compliance Officer; Telephone: +[REDACTED][REDACTED];</w:t>
      </w:r>
    </w:p>
    <w:p>
      <w:pPr>
        <w:pStyle w:val="Body"/>
        <w:spacing w:after="4" w:line="149" w:lineRule="exact"/>
        <w:ind w:left="722" w:right="722" w:firstLine="0"/>
        <w:jc w:val="center"/>
        <w:rPr>
          <w:rStyle w:val="Hyperlink.1"/>
        </w:rPr>
      </w:pPr>
      <w:r>
        <w:rPr>
          <w:rStyle w:val="None"/>
          <w:b w:val="1"/>
          <w:bCs w:val="1"/>
          <w:sz w:val="13"/>
          <w:szCs w:val="13"/>
          <w:rtl w:val="0"/>
        </w:rPr>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r>
        <w:t>E-mail: [REDACTED];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r/>
    </w:p>
    <w:p>
      <w:pPr>
        <w:pStyle w:val="Body"/>
        <w:spacing w:before="8"/>
        <w:ind w:left="3" w:firstLine="0"/>
        <w:rPr>
          <w:rStyle w:val="None"/>
          <w:i w:val="1"/>
          <w:iCs w:val="1"/>
          <w:sz w:val="10"/>
          <w:szCs w:val="10"/>
        </w:rPr>
      </w:pPr>
      <w:r>
        <w:rPr>
          <w:rStyle w:val="None"/>
          <w:i w:val="1"/>
          <w:iCs w:val="1"/>
          <w:sz w:val="10"/>
          <w:szCs w:val="10"/>
          <w:vertAlign w:val="superscript"/>
          <w:rtl w:val="0"/>
        </w:rPr>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r>
        <w:t>(1) Our Company, in consultation with the Book Running Lead Managers, may consider participation by Anchor Investors in accordance with the SEBI ICDR Regulations.</w:t>
      </w:r>
    </w:p>
    <w:p>
      <w:pPr>
        <w:pStyle w:val="Body"/>
        <w:ind w:left="3" w:firstLine="0"/>
        <w:rPr>
          <w:rStyle w:val="None"/>
          <w:i w:val="1"/>
          <w:iCs w:val="1"/>
          <w:sz w:val="10"/>
          <w:szCs w:val="10"/>
        </w:rPr>
      </w:pPr>
      <w:r>
        <w:rPr>
          <w:rStyle w:val="None"/>
          <w:i w:val="1"/>
          <w:iCs w:val="1"/>
          <w:sz w:val="10"/>
          <w:szCs w:val="10"/>
          <w:vertAlign w:val="superscript"/>
          <w:rtl w:val="0"/>
        </w:rPr>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r>
        <w:t>(2) The UPI mandate end time and date shall be at 5:00 p.m. on Bid/Offer Closing Day.</w:t>
      </w:r>
    </w:p>
    <w:p>
      <w:pPr>
        <w:pStyle w:val="Body"/>
        <w:sectPr>
          <w:headerReference w:type="default" r:id="rId12"/>
          <w:pgSz w:w="11920" w:h="16840" w:orient="portrait"/>
          <w:pgMar w:top="240" w:right="141" w:bottom="280" w:left="141" w:header="0" w:footer="0"/>
          <w:bidi w:val="0"/>
        </w:sectPr>
      </w:pPr>
      <w:r/>
    </w:p>
    <w:p>
      <w:pPr>
        <w:pStyle w:val="TOC 1"/>
        <w:tabs>
          <w:tab w:val="right" w:pos="10185" w:leader="dot"/>
        </w:tabs>
        <w:spacing w:before="200"/>
      </w:pPr>
      <w:r>
        <w:rPr>
          <w:rStyle w:val="Hyperlink.4"/>
        </w:rPr>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rPr>
          <w:rStyle w:val="Hyperlink.4"/>
        </w:rPr>
      </w:r>
      <w:r>
        <w:rPr>
          <w:rStyle w:val="None"/>
          <w:spacing w:val="0"/>
          <w:rtl w:val="0"/>
          <w:lang w:val="en-US"/>
        </w:rPr>
      </w:r>
      <w:r>
        <w:rPr/>
      </w:r>
      <w:r>
        <w:t>SECTION I - GENERAL</w:t>
        <w:tab/>
        <w:t>2</w:t>
      </w:r>
    </w:p>
    <w:p>
      <w:pPr>
        <w:pStyle w:val="TOC 2"/>
        <w:tabs>
          <w:tab w:val="right" w:pos="10185" w:leader="dot"/>
        </w:tabs>
        <w:spacing w:before="80"/>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DEFINITIONS AND ABBREVIATIONS</w:t>
        <w:tab/>
        <w:t>2</w:t>
      </w:r>
    </w:p>
    <w:p>
      <w:pPr>
        <w:pStyle w:val="TOC 2"/>
        <w:tabs>
          <w:tab w:val="right" w:pos="10189" w:leader="dot"/>
        </w:tabs>
        <w:spacing w:before="38"/>
        <w:ind w:right="14"/>
      </w:pP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r>
        <w:t>CERTAIN CONVENTIONS, USE OF FINANCIAL INFORMATION AND MARKET DATA AND CURRENCY OF PRESENTATION</w:t>
        <w:tab/>
        <w:t>15</w:t>
      </w:r>
    </w:p>
    <w:p>
      <w:pPr>
        <w:pStyle w:val="TOC 2"/>
        <w:tabs>
          <w:tab w:val="right" w:pos="10189" w:leader="dot"/>
        </w:tabs>
        <w:spacing w:before="40"/>
      </w:pPr>
      <w:r>
        <w:rPr>
          <w:rStyle w:val="Hyperlink.5"/>
        </w:rPr>
      </w:r>
      <w:r>
        <w:rPr>
          <w:rStyle w:val="Hyperlink.5"/>
        </w:rPr>
      </w:r>
      <w:r>
        <w:rPr>
          <w:rStyle w:val="Hyperlink.5"/>
        </w:rPr>
      </w:r>
      <w:r>
        <w:rPr>
          <w:rStyle w:val="Hyperlink.5"/>
          <w:rtl w:val="0"/>
          <w:lang w:val="en-US"/>
        </w:rPr>
      </w:r>
      <w:r>
        <w:rPr>
          <w:rStyle w:val="None"/>
          <w:spacing w:val="-1"/>
          <w:rtl w:val="0"/>
          <w:lang w:val="en-US"/>
        </w:rPr>
      </w:r>
      <w:r>
        <w:rPr>
          <w:rStyle w:val="Hyperlink.5"/>
          <w:rtl w:val="0"/>
          <w:lang w:val="en-US"/>
        </w:rPr>
      </w:r>
      <w:r>
        <w:rPr>
          <w:rStyle w:val="Hyperlink.4"/>
        </w:rPr>
      </w:r>
      <w:r>
        <w:rPr>
          <w:rStyle w:val="None"/>
          <w:spacing w:val="0"/>
          <w:rtl w:val="0"/>
          <w:lang w:val="en-US"/>
        </w:rPr>
      </w:r>
      <w:r>
        <w:rPr/>
      </w:r>
      <w:r>
        <w:t>FORWARD-LOOKING STATEMENTS</w:t>
        <w:tab/>
        <w:t>18</w:t>
      </w:r>
    </w:p>
    <w:p>
      <w:pPr>
        <w:pStyle w:val="TOC 2"/>
        <w:tabs>
          <w:tab w:val="right" w:pos="10189" w:leader="dot"/>
        </w:tabs>
        <w:spacing w:before="41"/>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SUMMARY OF THE OFFER DOCUMENT</w:t>
        <w:tab/>
        <w:t>20</w:t>
      </w:r>
    </w:p>
    <w:p>
      <w:pPr>
        <w:pStyle w:val="TOC 1"/>
        <w:tabs>
          <w:tab w:val="right" w:pos="10189" w:leader="dot"/>
        </w:tabs>
        <w:spacing w:before="79"/>
      </w:pPr>
      <w:r>
        <w:rPr>
          <w:rStyle w:val="Hyperlink.4"/>
        </w:rPr>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SECTION II: RISK FACTORS</w:t>
        <w:tab/>
        <w:t>28</w:t>
      </w:r>
    </w:p>
    <w:p>
      <w:pPr>
        <w:pStyle w:val="TOC 1"/>
        <w:tabs>
          <w:tab w:val="right" w:pos="10189" w:leader="dot"/>
        </w:tabs>
      </w:pPr>
      <w:r>
        <w:rPr>
          <w:rStyle w:val="Hyperlink.4"/>
        </w:rPr>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SECTION III – INTRODUCTION</w:t>
        <w:tab/>
        <w:t>67</w:t>
      </w:r>
    </w:p>
    <w:p>
      <w:pPr>
        <w:pStyle w:val="TOC 2"/>
        <w:tabs>
          <w:tab w:val="right" w:pos="10189" w:leader="dot"/>
        </w:tabs>
        <w:spacing w:before="80"/>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THE OFFER</w:t>
        <w:tab/>
        <w:t>67</w:t>
      </w:r>
    </w:p>
    <w:p>
      <w:pPr>
        <w:pStyle w:val="TOC 2"/>
        <w:tabs>
          <w:tab w:val="right" w:pos="10189" w:leader="dot"/>
        </w:tabs>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SUMMARY FINANCIAL STATEMENTS</w:t>
        <w:tab/>
        <w:t>69</w:t>
      </w:r>
    </w:p>
    <w:p>
      <w:pPr>
        <w:pStyle w:val="TOC 2"/>
        <w:tabs>
          <w:tab w:val="right" w:pos="10189" w:leader="dot"/>
        </w:tabs>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GENERAL INFORMATION</w:t>
        <w:tab/>
        <w:t>74</w:t>
      </w:r>
    </w:p>
    <w:p>
      <w:pPr>
        <w:pStyle w:val="TOC 2"/>
        <w:tabs>
          <w:tab w:val="right" w:pos="10189" w:leader="dot"/>
        </w:tabs>
        <w:spacing w:before="41"/>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r/>
    </w:p>
    <w:p>
      <w:pPr>
        <w:pStyle w:val="Heading 2"/>
        <w:ind w:right="2547"/>
      </w:pPr>
      <w:bookmarkStart w:name="_bookmark0" w:id="0"/>
      <w:bookmarkEnd w:id="0"/>
      <w:r>
        <w:rPr>
          <w:rStyle w:val="Hyperlink.4"/>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DEFINITIONS AND 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r>
        <w:t>Unless the context otherwise indicates, all references to “we”, “us”, “our”, “the Company”, and “our Company”, are references to KSH International Limited, a company incorporated on July 30,[REDACTED] under the Companies Act,[REDACTED] and having its Registered Office at 11/3, 11/4 and 11/5, Village Birdewadi, Chakan Taluka - Khed, Pune –[REDACTED], Maharashtra, India and its Corporate Office at 201, Tower 2, Montreal Business Centre, Off Pallod Farms, Baner, Pune –[REDACTED], Maharashtra,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t>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t>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rPr>
          <w:rStyle w:val="Hyperlink.4"/>
          <w:rtl w:val="0"/>
        </w:rPr>
      </w:r>
      <w:r>
        <w:rPr>
          <w:rStyle w:val="None"/>
          <w:spacing w:val="0"/>
          <w:rtl w:val="0"/>
        </w:rPr>
      </w:r>
      <w:r>
        <w:rPr>
          <w:rStyle w:val="Hyperlink.5"/>
          <w:rtl w:val="0"/>
          <w:lang w:val="en-US"/>
        </w:rPr>
      </w:r>
      <w:r>
        <w:t>General Terms</w:t>
      </w:r>
    </w:p>
    <w:p>
      <w:pPr>
        <w:pStyle w:val="Body Text"/>
        <w:spacing w:before="3"/>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r/>
    </w:p>
    <w:p>
      <w:pPr>
        <w:pStyle w:val="Body Text"/>
        <w:spacing w:before="2"/>
        <w:rPr>
          <w:rStyle w:val="None"/>
          <w:b w:val="1"/>
          <w:bCs w:val="1"/>
        </w:rPr>
      </w:pPr>
      <w:r/>
    </w:p>
    <w:p>
      <w:pPr>
        <w:pStyle w:val="Heading 3"/>
        <w:spacing w:before="0"/>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r>
        <w:t>Company Related Terms</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r/>
    </w:p>
    <w:p>
      <w:pPr>
        <w:pStyle w:val="Body Text"/>
        <w:spacing w:before="31"/>
        <w:rPr>
          <w:rStyle w:val="None"/>
          <w:b w:val="1"/>
          <w:bCs w:val="1"/>
        </w:rPr>
      </w:pPr>
      <w:r/>
    </w:p>
    <w:p>
      <w:pPr>
        <w:pStyle w:val="Heading 3"/>
        <w:spacing w:before="0"/>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Offer Related Terms</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r/>
    </w:p>
    <w:p>
      <w:pPr>
        <w:pStyle w:val="Table Paragraph"/>
        <w:sectPr>
          <w:headerReference w:type="default" r:id="rId27"/>
          <w:footerReference w:type="default" r:id="rId28"/>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r/>
    </w:p>
    <w:p>
      <w:pPr>
        <w:pStyle w:val="Body Text"/>
        <w:spacing w:before="26"/>
        <w:rPr>
          <w:rStyle w:val="None"/>
          <w:b w:val="1"/>
          <w:bCs w:val="1"/>
        </w:rPr>
      </w:pPr>
      <w:r/>
    </w:p>
    <w:p>
      <w:pPr>
        <w:pStyle w:val="Heading 3"/>
        <w:spacing w:before="0"/>
        <w:ind w:left="87" w:firstLine="0"/>
      </w:pPr>
      <w:r>
        <w:rPr>
          <w:rStyle w:val="Hyperlink.4"/>
          <w:rtl w:val="0"/>
          <w:lang w:val="fr-FR"/>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r>
        <w:t>Conventional and General Terms and Abbreviations</w:t>
      </w:r>
    </w:p>
    <w:p>
      <w:pPr>
        <w:pStyle w:val="Body Text"/>
        <w:spacing w:before="7"/>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r/>
    </w:p>
    <w:p>
      <w:pPr>
        <w:pStyle w:val="Body Text"/>
        <w:spacing w:before="43"/>
        <w:rPr>
          <w:rStyle w:val="None"/>
          <w:b w:val="1"/>
          <w:bCs w:val="1"/>
        </w:rPr>
      </w:pPr>
      <w:r/>
    </w:p>
    <w:p>
      <w:pPr>
        <w:pStyle w:val="Heading 3"/>
        <w:spacing w:before="0"/>
        <w:ind w:left="87" w:firstLine="0"/>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r>
        <w:t>Technical and Industry Related Terms</w:t>
      </w:r>
    </w:p>
    <w:p>
      <w:pPr>
        <w:pStyle w:val="Body Text"/>
        <w:spacing w:before="4"/>
        <w:rPr>
          <w:rStyle w:val="None"/>
          <w:b w:val="1"/>
          <w:bCs w:val="1"/>
          <w:sz w:val="17"/>
          <w:szCs w:val="17"/>
        </w:r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r/>
    </w:p>
    <w:p>
      <w:pPr>
        <w:pStyle w:val="Heading 3"/>
        <w:spacing w:before="63"/>
        <w:ind w:left="87" w:firstLine="0"/>
      </w:pPr>
      <w:r>
        <w:rPr>
          <w:rStyle w:val="Hyperlink.4"/>
          <w:rtl w:val="0"/>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r>
        <w:t>Key Financial and Operating Metrics used in this Red Herring Prospectus</w:t>
      </w:r>
    </w:p>
    <w:p>
      <w:pPr>
        <w:pStyle w:val="Body Text"/>
        <w:spacing w:before="3" w:after="1"/>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r/>
    </w:p>
    <w:p>
      <w:pPr>
        <w:pStyle w:val="Heading 2"/>
        <w:spacing w:before="80"/>
        <w:ind w:left="4351" w:hanging="4240"/>
        <w:jc w:val="left"/>
      </w:pPr>
      <w:bookmarkStart w:name="_bookmark2" w:id="1"/>
      <w:bookmarkEnd w:id="1"/>
      <w:r>
        <w:rPr>
          <w:rStyle w:val="Hyperlink.4"/>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r>
        <w:t>CERTAIN CONVENTIONS, USE OF FINANCIAL INFORMATION AND MARKET DATA AND CURRENCY OF PRESENTATION</w:t>
      </w:r>
    </w:p>
    <w:p>
      <w:pPr>
        <w:pStyle w:val="Heading 3"/>
        <w:spacing w:before="203"/>
        <w:ind w:left="87" w:firstLine="0"/>
        <w:jc w:val="both"/>
      </w:pPr>
      <w:r>
        <w:rPr>
          <w:rStyle w:val="Hyperlink.4"/>
          <w:rtl w:val="0"/>
          <w:lang w:val="fr-FR"/>
        </w:rPr>
      </w:r>
      <w:r>
        <w:rPr>
          <w:rStyle w:val="None"/>
          <w:spacing w:val="0"/>
          <w:rtl w:val="0"/>
        </w:rPr>
      </w:r>
      <w:r>
        <w:rPr>
          <w:rStyle w:val="Hyperlink.5"/>
          <w:rtl w:val="0"/>
          <w:lang w:val="fr-FR"/>
        </w:rPr>
      </w:r>
      <w:r>
        <w:t>Certain Conventions</w:t>
      </w:r>
    </w:p>
    <w:p>
      <w:pPr>
        <w:pStyle w:val="Body Text"/>
        <w:spacing w:before="200"/>
        <w:ind w:left="87" w:right="6" w:firstLine="0"/>
        <w:jc w:val="both"/>
      </w:pP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t>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w:t>
      </w:r>
    </w:p>
    <w:p>
      <w:pPr>
        <w:pStyle w:val="Body Text"/>
        <w:spacing w:before="199"/>
        <w:ind w:left="87" w:right="13" w:firstLine="0"/>
        <w:jc w:val="both"/>
      </w:pPr>
      <w:r>
        <w:rPr>
          <w:rStyle w:val="Hyperlink.4"/>
          <w:rtl w:val="0"/>
          <w:lang w:val="en-US"/>
        </w:rPr>
      </w:r>
      <w: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r>
      <w:r>
        <w:rPr>
          <w:rStyle w:val="None"/>
          <w:spacing w:val="0"/>
          <w:rtl w:val="0"/>
        </w:rPr>
      </w:r>
      <w:r>
        <w:rPr>
          <w:rStyle w:val="None"/>
          <w:spacing w:val="0"/>
          <w:rtl w:val="0"/>
          <w:lang w:val="nl-NL"/>
        </w:rPr>
      </w:r>
      <w:r>
        <w:t>Financial Data</w:t>
      </w:r>
    </w:p>
    <w:p>
      <w:pPr>
        <w:pStyle w:val="Body Text"/>
        <w:spacing w:before="199"/>
        <w:ind w:left="87" w:right="8" w:firstLine="0"/>
        <w:jc w:val="both"/>
      </w:pP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Unless indicated otherwise or the context requires otherwise, the financial information and financial ratios in this Red Herring Prospectus have been derived from the Restated Financial Statements. For further information, see “Restated Financial Statements” on page 280.</w:t>
      </w:r>
    </w:p>
    <w:p>
      <w:pPr>
        <w:pStyle w:val="Body Text"/>
        <w:spacing w:before="198"/>
        <w:ind w:left="87" w:right="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restated financial information of our Company comprising the restated statements of assets and liabilities as on and for the three months period ended June 30,[REDACTED] and for the years ended March 31,[REDACTED], March 31,[REDACTED] and March 31,[REDACTED],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30,[REDACTED], and for the years ended March 31,[REDACTED], March 31,[REDACTED] and March 31,[REDACTED] Fiscals[REDACTED],[REDACTED] and[REDACTED], prepared in terms of the requirements of Section 26 of Part I of Chapter III of the Companies Act, SEBI ICDR Regulations, the Guidance Note on Reports in Company Prospectuses (Revised[REDACTED]) issued by ICAI, as amended from time to time and the Indian Accounting Standards as specified under Section 133 of the Act and other accounting principles generally accepted in India.</w:t>
      </w:r>
    </w:p>
    <w:p>
      <w:pPr>
        <w:pStyle w:val="Body Text"/>
        <w:spacing w:before="2"/>
      </w:pPr>
      <w:r/>
    </w:p>
    <w:p>
      <w:pPr>
        <w:pStyle w:val="Body"/>
        <w:ind w:left="87" w:right="7" w:firstLine="0"/>
        <w:jc w:val="both"/>
        <w:rPr>
          <w:rStyle w:val="None"/>
          <w:sz w:val="20"/>
          <w:szCs w:val="20"/>
        </w:rPr>
      </w:pP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Act,[REDACTED]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r/>
    </w:p>
    <w:p>
      <w:pPr>
        <w:pStyle w:val="Heading 3"/>
        <w:spacing w:before="63"/>
        <w:ind w:left="87" w:firstLine="0"/>
        <w:jc w:val="both"/>
      </w:pPr>
      <w:r>
        <w:rPr>
          <w:rStyle w:val="Hyperlink.4"/>
          <w:rtl w:val="0"/>
          <w:lang w:val="it-IT"/>
        </w:rPr>
      </w:r>
      <w:r>
        <w:rPr>
          <w:rStyle w:val="None"/>
          <w:spacing w:val="0"/>
          <w:rtl w:val="0"/>
        </w:rPr>
      </w:r>
      <w:r>
        <w:rPr>
          <w:rStyle w:val="Hyperlink.4"/>
          <w:rtl w:val="0"/>
          <w:lang w:val="pt-PT"/>
        </w:rPr>
      </w:r>
      <w:r>
        <w:rPr>
          <w:rStyle w:val="None"/>
          <w:spacing w:val="0"/>
          <w:rtl w:val="0"/>
        </w:rPr>
      </w:r>
      <w:r>
        <w:rPr>
          <w:rStyle w:val="Hyperlink.5"/>
          <w:rtl w:val="0"/>
          <w:lang w:val="en-US"/>
        </w:rPr>
      </w:r>
      <w:r>
        <w:t>Non-GAAP Financial Measures</w:t>
      </w:r>
    </w:p>
    <w:p>
      <w:pPr>
        <w:pStyle w:val="Body Text"/>
        <w:spacing w:before="200"/>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None"/>
          <w:spacing w:val="0"/>
          <w:rtl w:val="0"/>
          <w:lang w:val="nl-NL"/>
        </w:rPr>
      </w:r>
      <w:r>
        <w:t>Industry and Market Data</w:t>
      </w:r>
    </w:p>
    <w:p>
      <w:pPr>
        <w:pStyle w:val="Body Text"/>
        <w:spacing w:before="199"/>
        <w:ind w:left="87" w:right="4" w:firstLine="0"/>
        <w:jc w:val="both"/>
      </w:pP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Unless stated otherwise, industry and market data used in this Red Herring Prospectus has been obtained or derived from the report titled “Industry Research Report on Magnet Winding Wires Market in India” dated November 26,[REDACTED]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December 2,[REDACTED]. The CARE Report is available on the website of our Company at the following weblink: https://kshinternational.com/investor-relations/industry-report/. Further, CareEdge Research, pursuant to their consent letter dated November 26,[REDACTED]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spacing w:before="201"/>
        <w:ind w:left="87"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r/>
    </w:p>
    <w:p>
      <w:pPr>
        <w:pStyle w:val="Heading 3"/>
        <w:spacing w:before="63"/>
        <w:ind w:left="87" w:firstLine="0"/>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Currency and Units of Presentation</w:t>
      </w:r>
    </w:p>
    <w:p>
      <w:pPr>
        <w:pStyle w:val="Body Text"/>
        <w:spacing w:before="200"/>
        <w:ind w:left="87"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t>All references 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r>
        <w:t>“Rupees” or “INR” or “₹” or “Rs.” are to Indian Rupees, the official currency of the Republic of 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r>
        <w:t>“U.S $”, “U.S. Dollar”, “USD” are to United States Dollars, the official currency of the United States of 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r>
        <w:t>‘EUR’, ‘Euro’ and ‘€’ are to the official currency of the European Union; 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r>
        <w:t>“SEK” are to Swedish Krona, the official currency of Sweden.</w:t>
      </w:r>
    </w:p>
    <w:p>
      <w:pPr>
        <w:pStyle w:val="Body Text"/>
        <w:spacing w:before="199"/>
        <w:ind w:left="87"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rPr>
          <w:rStyle w:val="None"/>
          <w:spacing w:val="0"/>
          <w:rtl w:val="0"/>
        </w:rPr>
      </w:r>
      <w:r>
        <w:t>Time</w:t>
      </w:r>
    </w:p>
    <w:p>
      <w:pPr>
        <w:pStyle w:val="Body Text"/>
        <w:spacing w:before="200"/>
        <w:ind w:left="8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All references to time in this Red Herring Prospectus are to Indian Standard Time.</w:t>
      </w:r>
    </w:p>
    <w:p>
      <w:pPr>
        <w:pStyle w:val="Heading 3"/>
        <w:spacing w:before="202"/>
        <w:ind w:left="87" w:firstLine="0"/>
        <w:jc w:val="both"/>
      </w:pPr>
      <w:r>
        <w:rPr>
          <w:rStyle w:val="Hyperlink.4"/>
          <w:rtl w:val="0"/>
          <w:lang w:val="en-US"/>
        </w:rPr>
      </w:r>
      <w:r>
        <w:rPr>
          <w:rStyle w:val="None"/>
          <w:spacing w:val="0"/>
          <w:rtl w:val="0"/>
        </w:rPr>
      </w:r>
      <w:r>
        <w:rPr>
          <w:rStyle w:val="Hyperlink.5"/>
          <w:rtl w:val="0"/>
          <w:lang w:val="en-US"/>
        </w:rPr>
      </w:r>
      <w:r>
        <w:t>Exchange Rates</w:t>
      </w:r>
    </w:p>
    <w:p>
      <w:pPr>
        <w:pStyle w:val="Body Text"/>
        <w:spacing w:before="200"/>
        <w:ind w:left="87" w:right="2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w:t>
      </w:r>
    </w:p>
    <w:p>
      <w:pPr>
        <w:pStyle w:val="Body Text"/>
        <w:spacing w:before="198"/>
        <w:ind w:left="87" w:right="5" w:firstLine="0"/>
        <w:jc w:val="both"/>
      </w:pP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r>
      <w:r>
        <w:rPr>
          <w:rStyle w:val="None"/>
          <w:i w:val="1"/>
          <w:iCs w:val="1"/>
          <w:spacing w:val="1"/>
          <w:sz w:val="18"/>
          <w:szCs w:val="18"/>
          <w:rtl w:val="0"/>
        </w:rPr>
      </w:r>
      <w:r>
        <w:rPr>
          <w:rStyle w:val="None"/>
          <w:rFonts w:ascii="Arial Unicode MS" w:cs="Arial Unicode MS" w:hAnsi="Arial Unicode MS" w:eastAsia="Arial Unicode MS" w:hint="default"/>
          <w:b w:val="0"/>
          <w:bCs w:val="0"/>
          <w:i w:val="0"/>
          <w:iCs w:val="0"/>
          <w:spacing w:val="-5"/>
          <w:sz w:val="18"/>
          <w:szCs w:val="18"/>
          <w:rtl w:val="0"/>
        </w:rPr>
      </w:r>
      <w:r>
        <w:rPr>
          <w:rStyle w:val="None"/>
          <w:i w:val="1"/>
          <w:iCs w:val="1"/>
          <w:spacing w:val="-5"/>
          <w:sz w:val="18"/>
          <w:szCs w:val="18"/>
          <w:rtl w:val="0"/>
        </w:rPr>
      </w:r>
      <w:r>
        <w:t>(in ₹)</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r/>
    </w:p>
    <w:p>
      <w:pPr>
        <w:pStyle w:val="Body"/>
        <w:spacing w:before="1"/>
        <w:ind w:left="87" w:right="3907" w:firstLine="0"/>
        <w:rPr>
          <w:rStyle w:val="Hyperlink.8"/>
        </w:rPr>
      </w:pPr>
      <w:r>
        <w:rPr>
          <w:rStyle w:val="None"/>
          <w:i w:val="1"/>
          <w:iCs w:val="1"/>
          <w:sz w:val="16"/>
          <w:szCs w:val="16"/>
          <w:rtl w:val="0"/>
          <w:lang w:val="en-US"/>
        </w:rPr>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r>
        <w:t>Source: FBIL Reference Rate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r/>
    </w:p>
    <w:p>
      <w:pPr>
        <w:pStyle w:val="Heading 2"/>
        <w:spacing w:before="63"/>
        <w:ind w:right="2549"/>
      </w:pPr>
      <w:bookmarkStart w:name="_bookmark3" w:id="2"/>
      <w:bookmarkEnd w:id="2"/>
      <w:r>
        <w:rPr>
          <w:rStyle w:val="Hyperlink.5"/>
          <w:rtl w:val="0"/>
        </w:rPr>
      </w:r>
      <w:r>
        <w:rPr>
          <w:rStyle w:val="Hyperlink.5"/>
          <w:rtl w:val="0"/>
          <w:lang w:val="en-US"/>
        </w:rPr>
      </w:r>
      <w:r>
        <w:rPr>
          <w:rStyle w:val="None"/>
          <w:spacing w:val="-1"/>
          <w:rtl w:val="0"/>
        </w:rPr>
      </w:r>
      <w:r>
        <w:rPr>
          <w:rStyle w:val="Hyperlink.5"/>
          <w:rtl w:val="0"/>
          <w:lang w:val="en-US"/>
        </w:rPr>
      </w:r>
      <w:r>
        <w:t>FORWARD-LOOKING STATEMENTS</w:t>
      </w:r>
    </w:p>
    <w:p>
      <w:pPr>
        <w:pStyle w:val="Body Text"/>
        <w:spacing w:before="200"/>
        <w:ind w:left="87" w:right="5" w:firstLine="0"/>
        <w:jc w:val="both"/>
      </w:pP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t>Reliance on our key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t>Reliance on our key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Hyperlink.5"/>
          <w:sz w:val="20"/>
          <w:szCs w:val="20"/>
          <w:rtl w:val="0"/>
          <w:lang w:val="en-US"/>
        </w:rPr>
      </w: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r>
        <w:t>Reliance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r>
        <w:t>Reliance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t>Delay in or inability of the vendors to provide the equipment in a timely manner in relation to the capital 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r>
        <w:t>Any delays or cost overruns in the completion of the construction of the Supa 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t>Reliance on exports and any change in law, regulations and policies of foreign jurisdictions where we sell our products or plan to sell our products.</w:t>
      </w:r>
    </w:p>
    <w:p>
      <w:pPr>
        <w:pStyle w:val="Body Text"/>
        <w:spacing w:before="197"/>
        <w:ind w:left="87" w:right="6" w:firstLine="0"/>
        <w:jc w:val="both"/>
      </w:pP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r/>
    </w:p>
    <w:p>
      <w:pPr>
        <w:pStyle w:val="Body Text"/>
        <w:spacing w:before="80"/>
        <w:ind w:left="87"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r/>
    </w:p>
    <w:p>
      <w:pPr>
        <w:pStyle w:val="Heading 2"/>
        <w:spacing w:before="63"/>
        <w:ind w:right="2548"/>
      </w:pPr>
      <w:bookmarkStart w:name="_bookmark4" w:id="3"/>
      <w:bookmarkEnd w:id="3"/>
      <w:r>
        <w:rPr>
          <w:rStyle w:val="Hyperlink.4"/>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de-DE"/>
        </w:rPr>
      </w:r>
      <w:r>
        <w:rPr>
          <w:rStyle w:val="None"/>
          <w:spacing w:val="0"/>
          <w:rtl w:val="0"/>
        </w:rPr>
      </w:r>
      <w:r>
        <w:rPr>
          <w:rStyle w:val="Hyperlink.5"/>
          <w:rtl w:val="0"/>
          <w:lang w:val="es-ES_tradnl"/>
        </w:rPr>
      </w:r>
      <w:r>
        <w:t>SUMMARY OF THE OFFER 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 3"/>
        <w:spacing w:before="199"/>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r>
        <w:t>Primary business of our Company</w:t>
      </w:r>
    </w:p>
    <w:p>
      <w:pPr>
        <w:pStyle w:val="Body Text"/>
        <w:spacing w:before="200"/>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t>We are the third largest manufacturer of magnet winding wires in India in terms of production capacity in Fiscal[REDACTED] (Source: CARE Report). We are also the largest exporter of magnet winding wires from India in terms of export revenues in Fiscal[REDACTED]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3"/>
          <w:sz w:val="20"/>
          <w:szCs w:val="20"/>
          <w:rtl w:val="0"/>
        </w:rPr>
      </w:r>
      <w:r>
        <w:t>For further details, see “Our Business” on page 211.</w:t>
      </w:r>
    </w:p>
    <w:p>
      <w:pPr>
        <w:pStyle w:val="Body Text"/>
        <w:spacing w:before="10"/>
      </w:pPr>
      <w:r/>
    </w:p>
    <w:p>
      <w:pPr>
        <w:pStyle w:val="Heading 3"/>
        <w:spacing w:before="0"/>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r>
        <w:t>Summary of industry in which our Company operates</w:t>
      </w:r>
    </w:p>
    <w:p>
      <w:pPr>
        <w:pStyle w:val="Body Text"/>
        <w:spacing w:before="200"/>
        <w:ind w:left="87" w:right="5"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USD[REDACTED] billion in CY24, reflecting a CAGR of 6.08% from CY19 to CY24. The market is projected to reach USD[REDACTED] billion by CY28, expanding at a CAGR of[REDACTED]% from CY24 to CY28.</w:t>
      </w:r>
    </w:p>
    <w:p>
      <w:pPr>
        <w:pStyle w:val="Body"/>
        <w:spacing w:before="201"/>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nl-NL"/>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pacing w:val="-3"/>
          <w:sz w:val="20"/>
          <w:szCs w:val="20"/>
          <w:rtl w:val="0"/>
        </w:rPr>
      </w:r>
      <w:r>
        <w:t>For further details, see “Industry Overview” on page 137.</w:t>
      </w:r>
    </w:p>
    <w:p>
      <w:pPr>
        <w:pStyle w:val="Body Text"/>
        <w:spacing w:before="11"/>
      </w:pPr>
      <w:r/>
    </w:p>
    <w:p>
      <w:pPr>
        <w:pStyle w:val="Heading 3"/>
        <w:spacing w:before="0"/>
        <w:ind w:left="87" w:firstLine="0"/>
        <w:jc w:val="both"/>
      </w:pPr>
      <w:r>
        <w:rPr>
          <w:rStyle w:val="Hyperlink.4"/>
          <w:rtl w:val="0"/>
          <w:lang w:val="en-US"/>
        </w:rPr>
      </w:r>
      <w:r>
        <w:rPr>
          <w:rStyle w:val="None"/>
          <w:spacing w:val="0"/>
          <w:rtl w:val="0"/>
        </w:rPr>
      </w:r>
      <w:r>
        <w:rPr>
          <w:rStyle w:val="Hyperlink.5"/>
          <w:rtl w:val="0"/>
          <w:lang w:val="en-US"/>
        </w:rPr>
      </w:r>
      <w:r>
        <w:t>Our Promoters</w:t>
      </w:r>
    </w:p>
    <w:p>
      <w:pPr>
        <w:pStyle w:val="Body Text"/>
        <w:spacing w:before="200"/>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Kushal Subbayya Hegde, Pushpa Kushal Hegde, Rajesh Kushal Hegde, Rohit Kushal Hegde, Rakhi Girija Shetty, Dhaulagiri Family Trust, Everest Family Trust, Makalu Family Trust, Broad Family Trust, Annapurna Family Trust, Kanchenjunga 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r>
        <w:t>For further details, see “Our Promoters and Promoter Group” on page 269.</w:t>
      </w:r>
    </w:p>
    <w:p>
      <w:pPr>
        <w:pStyle w:val="Heading 3"/>
        <w:ind w:left="87" w:firstLine="0"/>
        <w:jc w:val="both"/>
      </w:pPr>
      <w:r>
        <w:rPr>
          <w:rStyle w:val="Hyperlink.4"/>
          <w:rtl w:val="0"/>
          <w:lang w:val="en-US"/>
        </w:rPr>
      </w:r>
      <w:r>
        <w:rPr>
          <w:rStyle w:val="None"/>
          <w:spacing w:val="0"/>
          <w:rtl w:val="0"/>
        </w:rPr>
      </w:r>
      <w:r>
        <w:rPr>
          <w:rStyle w:val="Hyperlink.5"/>
          <w:rtl w:val="0"/>
          <w:lang w:val="en-US"/>
        </w:rPr>
      </w:r>
      <w:r>
        <w:t>The Offer</w:t>
      </w:r>
    </w:p>
    <w:p>
      <w:pPr>
        <w:pStyle w:val="Body Text"/>
        <w:spacing w:before="199"/>
        <w:ind w:left="8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The following table summarizes the details of the Offer:</w:t>
      </w:r>
    </w:p>
    <w:p>
      <w:pPr>
        <w:pStyle w:val="Body Text"/>
        <w:spacing w:before="4"/>
        <w:rPr>
          <w:rStyle w:val="Hyperlink.4"/>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The Offer has been authorized pursuant to the resolution passed by our Board dated May 6,[REDACTED] and the Fresh Issue has been authorized by our Shareholders pursuant to a special resolution passed on May 6,[REDACTED].</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t>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w:t>
      </w:r>
    </w:p>
    <w:p>
      <w:pPr>
        <w:pStyle w:val="Body Text"/>
        <w:spacing w:before="183"/>
        <w:ind w:left="87" w:right="8" w:firstLine="0"/>
        <w:jc w:val="both"/>
      </w:pP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The Offer shall constitute [●]% of the post-Offer paid-up equity share capital of our Company. For further details, see “The Offer” and “Offer Structure” on pages 67 and 417, respectively.</w:t>
      </w:r>
    </w:p>
    <w:p>
      <w:pPr>
        <w:pStyle w:val="Heading 3"/>
        <w:spacing w:before="201"/>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r>
        <w:t>Objects of the Offer</w:t>
      </w:r>
    </w:p>
    <w:p>
      <w:pPr>
        <w:pStyle w:val="Body Text"/>
        <w:spacing w:before="199"/>
        <w:ind w:left="8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r>
        <w:t>The Net Proceeds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r/>
    </w:p>
    <w:p>
      <w:pPr>
        <w:pStyle w:val="Body"/>
        <w:spacing w:before="82"/>
        <w:ind w:right="6"/>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r/>
    </w:p>
    <w:p>
      <w:pPr>
        <w:pStyle w:val="Body"/>
        <w:spacing w:line="244" w:lineRule="auto"/>
        <w:ind w:left="371" w:hanging="284"/>
        <w:rPr>
          <w:rStyle w:val="Hyperlink.8"/>
        </w:rPr>
      </w:pPr>
      <w:r>
        <w:rPr>
          <w:rStyle w:val="None"/>
          <w:position w:val="12"/>
          <w:sz w:val="12"/>
          <w:szCs w:val="12"/>
          <w:rtl w:val="0"/>
        </w:rPr>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r>
        <w:t>(1) To be finalised upon determination of the Offer Price and updated in the Prospectus prior to filing with the RoC. The amount utilised for general corporate purposes shall not exceed 25% of the Gross Proceeds.</w:t>
      </w:r>
    </w:p>
    <w:p>
      <w:pPr>
        <w:pStyle w:val="Body"/>
        <w:spacing w:before="176"/>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r>
        <w:t>For further information, see “Objects of the Offer” on page 106.</w:t>
      </w:r>
    </w:p>
    <w:p>
      <w:pPr>
        <w:pStyle w:val="Heading 3"/>
        <w:ind w:left="87" w:firstLine="0"/>
      </w:pP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t>Aggregate pre-Offer and post-Offer shareholding of our Promoters, the members of our Promoter Group, the Promoter Selling Shareholders of our Company</w:t>
      </w:r>
    </w:p>
    <w:p>
      <w:pPr>
        <w:pStyle w:val="Body Text"/>
        <w:spacing w:before="200"/>
        <w:ind w:left="87" w:firstLine="0"/>
      </w:pP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t>The aggregate pre-Offer and post-Offer shareholding of our Promoters, the members of our Promoter Group and Promoter Selling Shareholders as on the date of this Red Herring Prospectus is set out below:</w:t>
      </w:r>
    </w:p>
    <w:p>
      <w:pPr>
        <w:pStyle w:val="Body Text"/>
        <w:spacing w:before="4"/>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r/>
    </w:p>
    <w:p>
      <w:pPr>
        <w:pStyle w:val="Body"/>
        <w:spacing w:before="10"/>
        <w:ind w:left="87" w:firstLine="0"/>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r>
        <w:t>*Also, the Promoter Selling Shareholder.</w:t>
      </w:r>
    </w:p>
    <w:p>
      <w:pPr>
        <w:pStyle w:val="Body"/>
        <w:spacing w:before="1" w:line="183" w:lineRule="exact"/>
        <w:ind w:left="87" w:firstLine="0"/>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r>
      <w:r>
        <w:t>**The number is negligible and below the rounding off norms adopted by our Company.</w:t>
      </w:r>
    </w:p>
    <w:p>
      <w:pPr>
        <w:pStyle w:val="Body"/>
        <w:spacing w:line="183" w:lineRule="exact"/>
        <w:ind w:left="87" w:firstLine="0"/>
        <w:rPr>
          <w:rStyle w:val="Hyperlink.8"/>
        </w:rPr>
      </w:pPr>
      <w:r>
        <w:rPr>
          <w:rStyle w:val="None"/>
          <w:b w:val="1"/>
          <w:bCs w:val="1"/>
          <w:sz w:val="16"/>
          <w:szCs w:val="16"/>
          <w:vertAlign w:val="superscript"/>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r>
        <w:t>^Subject to completion of the Offer and finalisation of the Basis of Allotment.</w:t>
      </w:r>
    </w:p>
    <w:p>
      <w:pPr>
        <w:pStyle w:val="Body Text"/>
        <w:spacing w:before="46"/>
        <w:rPr>
          <w:rStyle w:val="None"/>
          <w:i w:val="1"/>
          <w:iCs w:val="1"/>
          <w:sz w:val="16"/>
          <w:szCs w:val="16"/>
        </w:rPr>
      </w:pPr>
      <w:r/>
    </w:p>
    <w:p>
      <w:pPr>
        <w:pStyle w:val="Body"/>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t>For further details, see “Capital Structure” on page 84.</w:t>
      </w:r>
    </w:p>
    <w:p>
      <w:pPr>
        <w:pStyle w:val="Heading 3"/>
        <w:ind w:left="87" w:right="7" w:firstLine="0"/>
      </w:pP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t>Aggregate pre-Offer and post-Offer shareholding of our Promoters, members of our Promoter Group and the additional top 10 Shareholders of our Company</w:t>
      </w:r>
    </w:p>
    <w:p>
      <w:pPr>
        <w:pStyle w:val="Body Text"/>
        <w:spacing w:before="200"/>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aggregate pre-Offer and post-Offer shareholding of our Promoters, members of our Promoter Group and additional top 10 Shareholders (apart from Promoters and members of our Promoter Group) as a percentage of the pre-Offer and post-Offer paid-up Equity Share capital of our Company is set out below:</w:t>
      </w:r>
    </w:p>
    <w:p>
      <w:pPr>
        <w:pStyle w:val="Body Text"/>
        <w:spacing w:before="4"/>
        <w:rPr>
          <w:rStyle w:val="Hyperlink.4"/>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r/>
    </w:p>
    <w:p>
      <w:pPr>
        <w:pStyle w:val="Body"/>
        <w:spacing w:before="36"/>
        <w:ind w:left="87" w:firstLine="0"/>
        <w:rPr>
          <w:rStyle w:val="Hyperlink.8"/>
        </w:rPr>
      </w:pPr>
      <w:r>
        <w:rPr>
          <w:rStyle w:val="None"/>
          <w:b w:val="1"/>
          <w:bCs w:val="1"/>
          <w:sz w:val="16"/>
          <w:szCs w:val="16"/>
          <w:vertAlign w:val="superscript"/>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r>
        <w:t>^Subject to completion of the Offer and finalisation of the Basis of Allotment.</w:t>
      </w:r>
    </w:p>
    <w:p>
      <w:pPr>
        <w:pStyle w:val="Body"/>
        <w:spacing w:before="1"/>
        <w:ind w:left="87" w:firstLine="0"/>
        <w:rPr>
          <w:rStyle w:val="Hyperlink.8"/>
        </w:rPr>
      </w:pPr>
      <w:r>
        <w:rPr>
          <w:rStyle w:val="Hyperlink.8"/>
          <w:rtl w:val="0"/>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r>
      <w:r>
        <w:t>** The number is negligible and below the rounding off norms adopted by our Company.</w:t>
      </w:r>
    </w:p>
    <w:p>
      <w:pPr>
        <w:pStyle w:val="Body"/>
        <w:spacing w:before="1"/>
        <w:ind w:left="87" w:firstLine="0"/>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r>
        <w:t>*Also, the Promoter Selling Shareholder</w:t>
      </w:r>
    </w:p>
    <w:p>
      <w:pPr>
        <w:pStyle w:val="Body Text"/>
        <w:spacing w:before="14"/>
        <w:rPr>
          <w:rStyle w:val="None"/>
          <w:i w:val="1"/>
          <w:iCs w:val="1"/>
          <w:sz w:val="16"/>
          <w:szCs w:val="16"/>
        </w:rPr>
      </w:pPr>
      <w:r/>
    </w:p>
    <w:p>
      <w:pPr>
        <w:pStyle w:val="Body"/>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0"/>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1"/>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t>For further details, see “Capital Structure” on page 84.</w:t>
      </w:r>
    </w:p>
    <w:p>
      <w:pPr>
        <w:pStyle w:val="Heading 3"/>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fr-FR"/>
        </w:rPr>
      </w:r>
      <w:r>
        <w:t>Summary of selected financial information</w:t>
      </w:r>
    </w:p>
    <w:p>
      <w:pPr>
        <w:pStyle w:val="Body Text"/>
        <w:spacing w:before="200"/>
        <w:ind w:left="87" w:firstLine="0"/>
      </w:pPr>
      <w:r>
        <w:rPr>
          <w:rStyle w:val="Hyperlink.4"/>
          <w:rtl w:val="0"/>
          <w:lang w:val="en-US"/>
        </w:rPr>
      </w:r>
      <w:r>
        <w:t>The details of certain financial information as at and for the three-month period ended June 30,[REDACTED] and Fiscals[REDACTED],[REDACTED] and[REDACTED],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r/>
    </w:p>
    <w:p>
      <w:pPr>
        <w:pStyle w:val="Body"/>
        <w:spacing w:before="24"/>
        <w:ind w:left="87" w:right="6972" w:firstLine="0"/>
        <w:jc w:val="both"/>
        <w:rPr>
          <w:rStyle w:val="Hyperlink.8"/>
        </w:rPr>
      </w:pP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r>
        <w:t>*Not annualised for period ended June 30,[REDACTED]. 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r>
        <w:t>Earnings per Equity Share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Earnings per Equity Share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Net Asset Value per Equity share is calculated as Equity attributable to owners of the Company / Net Worth divided by Weighted average number of 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r>
        <w:t>Total borrowings are computed as current borrowings plus non-current borrowings.</w:t>
      </w:r>
    </w:p>
    <w:p>
      <w:pPr>
        <w:pStyle w:val="Body Text"/>
        <w:spacing w:before="43"/>
        <w:rPr>
          <w:rStyle w:val="None"/>
          <w:i w:val="1"/>
          <w:iCs w:val="1"/>
          <w:sz w:val="16"/>
          <w:szCs w:val="16"/>
        </w:rPr>
      </w:pPr>
      <w:r/>
    </w:p>
    <w:p>
      <w:pPr>
        <w:pStyle w:val="Body"/>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3"/>
          <w:sz w:val="20"/>
          <w:szCs w:val="20"/>
          <w:rtl w:val="0"/>
        </w:rPr>
      </w:r>
      <w:r>
        <w:t>For further details, see “Restated Financial Statements” on page 280.</w:t>
      </w:r>
    </w:p>
    <w:p>
      <w:pPr>
        <w:pStyle w:val="Heading 3"/>
        <w:spacing w:before="202"/>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r>
        <w:t>Qualifications of the Statutory Auditors which have not been given effect to in the Restated Financial Statements</w:t>
      </w:r>
    </w:p>
    <w:p>
      <w:pPr>
        <w:pStyle w:val="Body Text"/>
        <w:spacing w:before="200"/>
        <w:ind w:left="87"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are no qualifications included by the Statutory Auditors in their audit reports and hence no effect is required to be given in the Restated Financial Statements.</w:t>
      </w:r>
    </w:p>
    <w:p>
      <w:pPr>
        <w:pStyle w:val="Heading 3"/>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Summary of outstanding litigations</w:t>
      </w:r>
    </w:p>
    <w:p>
      <w:pPr>
        <w:pStyle w:val="Body Text"/>
        <w:spacing w:before="199"/>
        <w:ind w:left="87"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 summary of outstanding litigation proceedings involving our Company, our Directors, our Promoters, our KMPs and Senior Management in accordance with the SEBI ICDR Regulations and the Materiality Policy as on the date of this Red Herring Prospectus, is provided below:</w:t>
      </w:r>
    </w:p>
    <w:p>
      <w:pPr>
        <w:pStyle w:val="Body Text"/>
        <w:spacing w:before="5"/>
        <w:rPr>
          <w:rStyle w:val="Hyperlink.4"/>
          <w:sz w:val="17"/>
          <w:szCs w:val="17"/>
        </w:rPr>
      </w:pPr>
      <w: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r/>
    </w:p>
    <w:p>
      <w:pPr>
        <w:pStyle w:val="Body"/>
        <w:tabs>
          <w:tab w:val="left" w:pos="448"/>
        </w:tabs>
        <w:spacing w:before="6"/>
        <w:ind w:left="87" w:firstLine="0"/>
        <w:rPr>
          <w:rStyle w:val="Hyperlink.8"/>
        </w:rPr>
      </w:pPr>
      <w:r>
        <w:rPr>
          <w:rStyle w:val="None"/>
          <w:i w:val="1"/>
          <w:iCs w:val="1"/>
          <w:spacing w:val="-10"/>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None"/>
          <w:i w:val="1"/>
          <w:iCs w:val="1"/>
          <w:spacing w:val="-2"/>
          <w:sz w:val="16"/>
          <w:szCs w:val="16"/>
          <w:rtl w:val="0"/>
          <w:lang w:val="it-IT"/>
        </w:rPr>
      </w:r>
      <w:r>
        <w:t>*</w:t>
        <w:tab/>
        <w:t>To the extent quantifiable.</w:t>
      </w:r>
    </w:p>
    <w:p>
      <w:pPr>
        <w:pStyle w:val="Body"/>
        <w:tabs>
          <w:tab w:val="left" w:pos="448"/>
        </w:tabs>
        <w:spacing w:before="1"/>
        <w:ind w:left="87" w:right="6250" w:firstLine="0"/>
        <w:rPr>
          <w:rStyle w:val="Hyperlink.8"/>
        </w:rPr>
      </w:pPr>
      <w:r>
        <w:rPr>
          <w:rStyle w:val="None"/>
          <w:i w:val="1"/>
          <w:iCs w:val="1"/>
          <w:spacing w:val="-10"/>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r>
        <w:t>#</w:t>
        <w:tab/>
        <w:t>Determined in accordance with the Materiality Policy. 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Certain of our KMPs including, Kushal Subbayya Hegde, Rajesh Kushal Hegde, Rohit Kushal Hegde and Rakhi Girija Shetty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Certain of our SMs including, Sandesh Bhagwat, CEO, Amod Joshi, CFO, Sarthak Malvadkar,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Further, as on the date of this Red Herring Prospectus, there are no outstanding litigation involving our Group Companies which may have a material impact on our Company.</w:t>
      </w:r>
    </w:p>
    <w:p>
      <w:pPr>
        <w:pStyle w:val="Body"/>
        <w:spacing w:before="202"/>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r>
        <w:t>For further details, see “Outstanding Litigation and Material Developments” on page 388.</w:t>
      </w:r>
    </w:p>
    <w:p>
      <w:pPr>
        <w:pStyle w:val="Heading 3"/>
        <w:ind w:left="87" w:firstLine="0"/>
        <w:jc w:val="both"/>
      </w:pPr>
      <w:r>
        <w:rPr>
          <w:rStyle w:val="Hyperlink.4"/>
          <w:rtl w:val="0"/>
          <w:lang w:val="da-DK"/>
        </w:rPr>
      </w:r>
      <w:r>
        <w:rPr>
          <w:rStyle w:val="None"/>
          <w:spacing w:val="0"/>
          <w:rtl w:val="0"/>
        </w:rPr>
      </w:r>
      <w:r>
        <w:rPr>
          <w:rStyle w:val="Hyperlink.5"/>
          <w:rtl w:val="0"/>
          <w:lang w:val="da-DK"/>
        </w:rPr>
      </w: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r/>
    </w:p>
    <w:p>
      <w:pPr>
        <w:pStyle w:val="Body Text"/>
        <w:spacing w:before="80"/>
        <w:ind w:left="87" w:right="13" w:firstLine="0"/>
        <w:jc w:val="both"/>
      </w:pP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t>Specific attention of Bidders is invited to the section “Risk Factors” on page 28. Bidders are advised to read the risk factors carefully before taking an investment decision in the Offer. Set forth below are the top 10 risk factors applicable to our Company:</w:t>
      </w:r>
    </w:p>
    <w:p>
      <w:pPr>
        <w:pStyle w:val="Body Text"/>
        <w:spacing w:before="5"/>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r/>
    </w:p>
    <w:p>
      <w:pPr>
        <w:pStyle w:val="Body Text"/>
        <w:spacing w:before="5"/>
      </w:pPr>
      <w:r/>
    </w:p>
    <w:p>
      <w:pPr>
        <w:pStyle w:val="Body"/>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rPr>
          <w:rStyle w:val="None"/>
          <w:spacing w:val="-5"/>
          <w:sz w:val="20"/>
          <w:szCs w:val="20"/>
          <w:rtl w:val="0"/>
        </w:rPr>
      </w:r>
      <w:r>
        <w:t>For further details, see “Risk Factors” on page 28.</w:t>
      </w:r>
    </w:p>
    <w:p>
      <w:pPr>
        <w:pStyle w:val="Heading 3"/>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Summary of contingent liabilities</w:t>
      </w:r>
    </w:p>
    <w:p>
      <w:pPr>
        <w:pStyle w:val="Body Text"/>
        <w:spacing w:before="199"/>
        <w:ind w:left="87" w:right="7" w:firstLine="0"/>
        <w:jc w:val="both"/>
      </w:pPr>
      <w:r>
        <w:rPr>
          <w:rStyle w:val="Hyperlink.4"/>
          <w:rtl w:val="0"/>
          <w:lang w:val="en-US"/>
        </w:rPr>
      </w:r>
      <w:r>
        <w:t>The following is a summary table of our contingent liabilities as at the three-month period ended June 30,[REDACTED],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r/>
    </w:p>
    <w:p>
      <w:pPr>
        <w:pStyle w:val="Body Text"/>
        <w:spacing w:before="24"/>
        <w:rPr>
          <w:rStyle w:val="None"/>
          <w:i w:val="1"/>
          <w:iCs w:val="1"/>
          <w:sz w:val="18"/>
          <w:szCs w:val="18"/>
        </w:rPr>
      </w:pPr>
      <w:r/>
    </w:p>
    <w:p>
      <w:pPr>
        <w:pStyle w:val="Body"/>
        <w:spacing w:before="1"/>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sz w:val="20"/>
          <w:szCs w:val="20"/>
          <w:rtl w:val="0"/>
        </w:rPr>
      </w:r>
      <w:r>
        <w:rPr>
          <w:rStyle w:val="None"/>
          <w:spacing w:val="-2"/>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r>
        <w:t>For details, see “Restated Financial Statements – Note 28: Contingent liabilities and commitments” on page 322.</w:t>
      </w:r>
    </w:p>
    <w:p>
      <w:pPr>
        <w:pStyle w:val="Heading 3"/>
        <w:spacing w:before="199"/>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fr-FR"/>
        </w:rPr>
      </w:r>
      <w:r>
        <w:t>Summary of related party transactions</w:t>
      </w:r>
    </w:p>
    <w:p>
      <w:pPr>
        <w:pStyle w:val="Body Text"/>
        <w:spacing w:before="200"/>
        <w:ind w:left="87"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summary of related party transactions, as per the requirements under Ind AS 24 – ‘Related Party Disclosures’, entered into by us for the three-month period ended June 30,[REDACTED] and Fiscals[REDACTED],[REDACTED] and[REDACTED], as derived from the Restated 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p>
      <w:pPr>
        <w:pStyle w:val="Body"/>
        <w:sectPr>
          <w:headerReference w:type="default" r:id="rId59"/>
          <w:footerReference w:type="default" r:id="rId60"/>
          <w:pgSz w:w="11920" w:h="16840" w:orient="portrait"/>
          <w:pgMar w:top="1080" w:right="708" w:bottom="1120" w:left="992" w:header="0" w:footer="0"/>
          <w:bidi w:val="0"/>
        </w:sectPr>
      </w:pPr>
      <w: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r/>
    </w:p>
    <w:p>
      <w:pPr>
        <w:pStyle w:val="Body"/>
        <w:spacing w:before="29"/>
        <w:ind w:left="87" w:right="7" w:firstLine="0"/>
        <w:jc w:val="both"/>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t>#Information relating to remuneration does not include provision for gratuity, which is provided on an overall actuarial valuation, as separate amounts are not available for respective Key Managerial Personnel. Remuneration paid at actual basis is considered for above computation.</w:t>
      </w:r>
    </w:p>
    <w:p>
      <w:pPr>
        <w:pStyle w:val="Body Text"/>
        <w:spacing w:before="44"/>
        <w:rPr>
          <w:rStyle w:val="None"/>
          <w:i w:val="1"/>
          <w:iCs w:val="1"/>
          <w:sz w:val="16"/>
          <w:szCs w:val="16"/>
        </w:rPr>
      </w:pPr>
      <w:r/>
    </w:p>
    <w:p>
      <w:pPr>
        <w:pStyle w:val="Body"/>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r>
        <w:t>For further details, see “Restated Financial Statements – Note 31: Related Party Transaction” on page 331.</w:t>
      </w:r>
    </w:p>
    <w:p>
      <w:pPr>
        <w:pStyle w:val="Heading 3"/>
        <w:spacing w:before="121"/>
        <w:ind w:left="87" w:firstLine="0"/>
        <w:jc w:val="both"/>
      </w:pPr>
      <w:r>
        <w:rPr>
          <w:rStyle w:val="Hyperlink.4"/>
          <w:rtl w:val="0"/>
          <w:lang w:val="en-US"/>
        </w:rPr>
      </w:r>
      <w:r>
        <w:rPr>
          <w:rStyle w:val="None"/>
          <w:spacing w:val="0"/>
          <w:rtl w:val="0"/>
        </w:rPr>
      </w:r>
      <w:r>
        <w:rPr>
          <w:rStyle w:val="Hyperlink.5"/>
          <w:rtl w:val="0"/>
          <w:lang w:val="fr-FR"/>
        </w:rPr>
      </w:r>
      <w:r>
        <w:t>Financing arrangements</w:t>
      </w:r>
    </w:p>
    <w:p>
      <w:pPr>
        <w:pStyle w:val="Body Text"/>
        <w:spacing w:before="199"/>
        <w:ind w:left="87" w:right="1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have been no financing arrangements whereby our Promoters, members of our Promoter Group, our Directors and their relatives (as defined under Companies Act,[REDACTED])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r>
      <w: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r>
      <w: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r/>
    </w:p>
    <w:p>
      <w:pPr>
        <w:pStyle w:val="Body"/>
        <w:spacing w:before="26"/>
        <w:ind w:left="87" w:firstLine="0"/>
        <w:jc w:val="both"/>
        <w:rPr>
          <w:rStyle w:val="Hyperlink.8"/>
        </w:rPr>
      </w:pPr>
      <w:r>
        <w:rPr>
          <w:rStyle w:val="Hyperlink.8"/>
          <w:rtl w:val="0"/>
          <w:lang w:val="de-DE"/>
        </w:rPr>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r>
        <w:t>*Also, the Promoter Selling Shareholder</w:t>
      </w:r>
    </w:p>
    <w:p>
      <w:pPr>
        <w:pStyle w:val="Body"/>
        <w:spacing w:before="1"/>
        <w:ind w:left="87" w:right="6" w:firstLine="0"/>
        <w:jc w:val="both"/>
        <w:rPr>
          <w:rStyle w:val="Hyperlink.8"/>
        </w:rPr>
      </w:pPr>
      <w:r>
        <w:rPr>
          <w:rStyle w:val="Hyperlink.8"/>
          <w:rtl w:val="0"/>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t># Pursuant to a resolution passed by the Board and Shareholders of the Company dated February 10,[REDACTED] and February 11,[REDACTED], respectively, the face value of the equity shares was sub-divided from ₹100 per equity share to ₹5 per Equity Share. Further, pursuant to a resolution dated February 11,[REDACTED] passed by our Shareholders, the Company approved the issue of bonus shares which were allotted on February 21,[REDACTED]</w:t>
      </w:r>
    </w:p>
    <w:p>
      <w:pPr>
        <w:pStyle w:val="Body"/>
        <w:ind w:left="87" w:firstLine="0"/>
        <w:jc w:val="both"/>
        <w:rPr>
          <w:rStyle w:val="Hyperlink.8"/>
        </w:rPr>
      </w:pPr>
      <w:r>
        <w:rPr>
          <w:rStyle w:val="None"/>
          <w:i w:val="1"/>
          <w:iCs w:val="1"/>
          <w:sz w:val="16"/>
          <w:szCs w:val="16"/>
          <w:vertAlign w:val="superscript"/>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r>
        <w:t>(1) As certified by Kirtane &amp; Pandit LLP, Chartered Accountants, our Statutory Auditors, by way of their certificate dated December 10,[REDACTED].</w:t>
      </w:r>
    </w:p>
    <w:p>
      <w:pPr>
        <w:pStyle w:val="Heading 3"/>
        <w:spacing w:before="182"/>
        <w:ind w:left="87" w:right="23"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t>Weighted average cost of acquisition of all shares transacted in last one year, 18 months and three years preceding the date of this Red Herring Prospectus</w:t>
      </w:r>
    </w:p>
    <w:p>
      <w:pPr>
        <w:pStyle w:val="Body Text"/>
        <w:spacing w:before="229"/>
        <w:ind w:left="87" w:right="22" w:firstLine="0"/>
        <w:jc w:val="both"/>
      </w:pPr>
      <w:r>
        <w:rPr>
          <w:rStyle w:val="Hyperlink.4"/>
          <w:rtl w:val="0"/>
          <w:lang w:val="en-US"/>
        </w:rPr>
      </w:r>
      <w: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r/>
    </w:p>
    <w:p>
      <w:pPr>
        <w:pStyle w:val="Body"/>
        <w:tabs>
          <w:tab w:val="left" w:pos="448"/>
        </w:tabs>
        <w:spacing w:before="3" w:line="183" w:lineRule="exact"/>
        <w:ind w:left="87" w:firstLine="0"/>
        <w:rPr>
          <w:rStyle w:val="Hyperlink.8"/>
        </w:rPr>
      </w:pP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r>
        <w:t>*</w:t>
        <w:tab/>
        <w:t>As certified by Kirtane &amp; Pandit LLP, Chartered Accountants, our Statutory Auditors, by way of their certificate dated December 10,[REDACTED].</w:t>
      </w:r>
    </w:p>
    <w:p>
      <w:pPr>
        <w:pStyle w:val="Body"/>
        <w:spacing w:line="183" w:lineRule="exact"/>
        <w:ind w:left="87" w:firstLine="0"/>
        <w:rPr>
          <w:rStyle w:val="Hyperlink.8"/>
        </w:rPr>
      </w:pPr>
      <w:r>
        <w:rPr>
          <w:rStyle w:val="Hyperlink.8"/>
          <w:rtl w:val="0"/>
        </w:rPr>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r>
        <w:t>**  To be updated in the Prospectus.</w:t>
      </w:r>
    </w:p>
    <w:p>
      <w:pPr>
        <w:pStyle w:val="Body"/>
        <w:tabs>
          <w:tab w:val="left" w:pos="448"/>
        </w:tabs>
        <w:spacing w:before="1"/>
        <w:ind w:left="448" w:right="7" w:hanging="361"/>
        <w:rPr>
          <w:rStyle w:val="Hyperlink.8"/>
        </w:rPr>
      </w:pPr>
      <w:r>
        <w:rPr>
          <w:rStyle w:val="None"/>
          <w:i w:val="1"/>
          <w:iCs w:val="1"/>
          <w:spacing w:val="-10"/>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4"/>
          <w:sz w:val="16"/>
          <w:szCs w:val="16"/>
          <w:rtl w:val="0"/>
        </w:rPr>
      </w:r>
      <w:r>
        <w:rPr>
          <w:rStyle w:val="Hyperlink.8"/>
          <w:rtl w:val="0"/>
          <w:lang w:val="fr-FR"/>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40"/>
          <w:sz w:val="16"/>
          <w:szCs w:val="16"/>
          <w:rtl w:val="0"/>
        </w:rPr>
      </w:r>
      <w:r>
        <w:rPr>
          <w:rStyle w:val="Hyperlink.8"/>
          <w:rtl w:val="0"/>
          <w:lang w:val="en-US"/>
        </w:rPr>
      </w:r>
      <w:r>
        <w:t>#</w:t>
        <w:tab/>
        <w:t>Impact of bonus and sub-division of shares have been taken only on transactions that have been transacted during the last 1 year, trailing 18 months and last 3 years.</w:t>
      </w:r>
    </w:p>
    <w:p>
      <w:pPr>
        <w:pStyle w:val="Body Text"/>
        <w:spacing w:before="44"/>
        <w:rPr>
          <w:rStyle w:val="None"/>
          <w:i w:val="1"/>
          <w:iCs w:val="1"/>
          <w:sz w:val="16"/>
          <w:szCs w:val="16"/>
        </w:rPr>
      </w:pPr>
      <w:r/>
    </w:p>
    <w:p>
      <w:pPr>
        <w:pStyle w:val="Heading 3"/>
        <w:spacing w:before="0"/>
        <w:ind w:left="87" w:firstLine="0"/>
        <w:jc w:val="both"/>
      </w:pP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r>
        <w:t>Average cost of acquisition of Equity Shares by our Promoters and the Promoter Selling Shareholders</w:t>
      </w:r>
    </w:p>
    <w:p>
      <w:pPr>
        <w:pStyle w:val="Body Text"/>
        <w:spacing w:before="200"/>
        <w:ind w:left="87"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average cost of acquisition of Equity Shares by our Promoters and the Promoter Selling Shareholders as on the date of this Red Herring Prospectus, is as set forth below:</w:t>
      </w:r>
    </w:p>
    <w:p>
      <w:pPr>
        <w:pStyle w:val="Body Text"/>
        <w:spacing w:before="6"/>
        <w:rPr>
          <w:rStyle w:val="Hyperlink.4"/>
          <w:sz w:val="17"/>
          <w:szCs w:val="17"/>
        </w:rPr>
      </w:pPr>
      <w: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r/>
    </w:p>
    <w:p>
      <w:pPr>
        <w:pStyle w:val="Body"/>
        <w:spacing w:before="7" w:line="183" w:lineRule="exact"/>
        <w:ind w:left="87" w:firstLine="0"/>
        <w:rPr>
          <w:rStyle w:val="Hyperlink.8"/>
        </w:rPr>
      </w:pPr>
      <w:r>
        <w:rPr>
          <w:rStyle w:val="Hyperlink.8"/>
          <w:rtl w:val="0"/>
          <w:lang w:val="de-DE"/>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rPr>
          <w:rStyle w:val="Hyperlink.8"/>
          <w:rtl w:val="0"/>
        </w:rPr>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r>
        <w:t>**  As certified by Kirtane &amp; Pandit LLP, Chartered Accountants, our Statutory Auditors, by way of their certificate dated December 10,[REDACTED].</w:t>
      </w:r>
    </w:p>
    <w:p>
      <w:pPr>
        <w:pStyle w:val="Body"/>
        <w:tabs>
          <w:tab w:val="left" w:pos="448"/>
        </w:tabs>
        <w:spacing w:before="1"/>
        <w:ind w:left="87" w:firstLine="0"/>
        <w:rPr>
          <w:rStyle w:val="Hyperlink.8"/>
        </w:rPr>
      </w:pPr>
      <w:r>
        <w:rPr>
          <w:rStyle w:val="None"/>
          <w:spacing w:val="-10"/>
          <w:sz w:val="16"/>
          <w:szCs w:val="16"/>
          <w:vertAlign w:val="superscript"/>
          <w:rtl w:val="0"/>
        </w:rPr>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r>
        <w:t>*</w:t>
        <w:tab/>
        <w:t>Also, Promoter Selling Shareholders.</w:t>
      </w:r>
    </w:p>
    <w:p>
      <w:pPr>
        <w:pStyle w:val="Heading 3"/>
        <w:spacing w:before="182"/>
        <w:ind w:left="87" w:right="10"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t>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w:t>
      </w:r>
    </w:p>
    <w:p>
      <w:pPr>
        <w:pStyle w:val="Body Text"/>
        <w:spacing w:before="200"/>
        <w:ind w:left="87" w:right="6" w:firstLine="0"/>
        <w:jc w:val="both"/>
      </w:pPr>
      <w:r>
        <w:rPr>
          <w:rStyle w:val="Hyperlink.4"/>
          <w:rtl w:val="0"/>
          <w:lang w:val="en-US"/>
        </w:rPr>
      </w:r>
      <w: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r/>
    </w:p>
    <w:p>
      <w:pPr>
        <w:pStyle w:val="Body"/>
        <w:tabs>
          <w:tab w:val="left" w:pos="448"/>
        </w:tabs>
        <w:spacing w:before="29"/>
        <w:ind w:left="87" w:firstLine="0"/>
        <w:rPr>
          <w:rStyle w:val="Hyperlink.8"/>
        </w:rPr>
      </w:pPr>
      <w:r>
        <w:rPr>
          <w:rStyle w:val="None"/>
          <w:spacing w:val="-10"/>
          <w:sz w:val="16"/>
          <w:szCs w:val="16"/>
          <w:rtl w:val="0"/>
        </w:rPr>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r>
        <w:t>#</w:t>
        <w:tab/>
        <w:t>As certified by Kirtane &amp; Pandit LLP, Chartered Accountants, our Statutory Auditors, by way of their certificate dated December 10,[REDACTED].</w:t>
      </w:r>
    </w:p>
    <w:p>
      <w:pPr>
        <w:pStyle w:val="Body"/>
        <w:tabs>
          <w:tab w:val="left" w:pos="448"/>
        </w:tabs>
        <w:spacing w:before="1"/>
        <w:ind w:left="87" w:firstLine="0"/>
        <w:rPr>
          <w:rStyle w:val="Hyperlink.8"/>
        </w:rPr>
      </w:pPr>
      <w:r>
        <w:rPr>
          <w:rStyle w:val="None"/>
          <w:i w:val="1"/>
          <w:iCs w:val="1"/>
          <w:spacing w:val="-10"/>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r>
        <w:t>*</w:t>
        <w:tab/>
        <w:t>Also, a Promoter Selling Shareholder.</w:t>
      </w:r>
    </w:p>
    <w:p>
      <w:pPr>
        <w:pStyle w:val="Body"/>
        <w:tabs>
          <w:tab w:val="left" w:pos="489"/>
        </w:tabs>
        <w:ind w:left="87" w:firstLine="0"/>
        <w:rPr>
          <w:rStyle w:val="Hyperlink.8"/>
        </w:rPr>
      </w:pPr>
      <w:r>
        <w:rPr>
          <w:rStyle w:val="None"/>
          <w:i w:val="1"/>
          <w:iCs w:val="1"/>
          <w:spacing w:val="-10"/>
          <w:sz w:val="16"/>
          <w:szCs w:val="16"/>
          <w:vertAlign w:val="superscript"/>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pacing w:val="-2"/>
          <w:sz w:val="16"/>
          <w:szCs w:val="16"/>
          <w:vertAlign w:val="baseline"/>
          <w:rtl w:val="0"/>
          <w:lang w:val="en-US"/>
        </w:rPr>
      </w:r>
      <w:r>
        <w:t>&amp;</w:t>
        <w:tab/>
        <w:t>Shareholder entitled with right to nominate directors or any other rights</w:t>
      </w:r>
    </w:p>
    <w:p>
      <w:pPr>
        <w:pStyle w:val="Body"/>
        <w:tabs>
          <w:tab w:val="left" w:pos="448"/>
        </w:tabs>
        <w:spacing w:before="1"/>
        <w:ind w:left="87" w:firstLine="0"/>
        <w:rPr>
          <w:rStyle w:val="Hyperlink.8"/>
        </w:rPr>
      </w:pPr>
      <w:r>
        <w:rPr>
          <w:rStyle w:val="None"/>
          <w:i w:val="1"/>
          <w:iCs w:val="1"/>
          <w:spacing w:val="-10"/>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r>
        <w:t>^</w:t>
        <w:tab/>
        <w:t>Bonus shares issued in the ratio of 4:1.</w:t>
      </w:r>
    </w:p>
    <w:p>
      <w:pPr>
        <w:pStyle w:val="Body Text"/>
        <w:spacing w:before="15"/>
        <w:rPr>
          <w:rStyle w:val="None"/>
          <w:i w:val="1"/>
          <w:iCs w:val="1"/>
          <w:sz w:val="16"/>
          <w:szCs w:val="16"/>
        </w:rPr>
      </w:pPr>
      <w:r/>
    </w:p>
    <w:p>
      <w:pPr>
        <w:pStyle w:val="Body"/>
        <w:ind w:left="87" w:firstLine="0"/>
        <w:rPr>
          <w:rStyle w:val="None"/>
          <w:b w:val="1"/>
          <w:bCs w:val="1"/>
          <w:sz w:val="20"/>
          <w:szCs w:val="20"/>
        </w:rPr>
      </w:pP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r>
        <w:t>Secondary Transfer of Equity Shares of face value of ₹5 each in the form of Gifts</w:t>
      </w:r>
    </w:p>
    <w:p>
      <w:pPr>
        <w:pStyle w:val="Body Text"/>
        <w:spacing w:before="9"/>
        <w:rPr>
          <w:rStyle w:val="None"/>
          <w:b w:val="1"/>
          <w:bCs w:val="1"/>
          <w:sz w:val="19"/>
          <w:szCs w:val="19"/>
        </w:rPr>
      </w:p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r/>
    </w:p>
    <w:p>
      <w:pPr>
        <w:pStyle w:val="Heading 3"/>
        <w:spacing w:before="186"/>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fr-FR"/>
        </w:rPr>
      </w:r>
      <w:r>
        <w:t>Details of pre-IPO placement</w:t>
      </w:r>
    </w:p>
    <w:p>
      <w:pPr>
        <w:pStyle w:val="Body Text"/>
        <w:spacing w:before="199"/>
        <w:ind w:left="87"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Company has not undertaken any pre-IPO placement between the date of the Draft Red Herring Prospectus and the date of this Red Herring Prospectus.</w:t>
      </w:r>
    </w:p>
    <w:p>
      <w:pPr>
        <w:pStyle w:val="Heading 3"/>
        <w:spacing w:before="203"/>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r>
        <w:t>Issue of equity shares of our Company for consideration other than cash in the last one year</w:t>
      </w:r>
    </w:p>
    <w:p>
      <w:pPr>
        <w:pStyle w:val="Body"/>
        <w:spacing w:before="199"/>
        <w:ind w:left="87" w:right="14" w:firstLine="0"/>
        <w:jc w:val="both"/>
        <w:rPr>
          <w:rStyle w:val="None"/>
          <w:sz w:val="20"/>
          <w:szCs w:val="20"/>
        </w:rPr>
      </w:pPr>
      <w:r>
        <w:rPr>
          <w:rStyle w:val="None"/>
          <w:sz w:val="20"/>
          <w:szCs w:val="20"/>
          <w:rtl w:val="0"/>
          <w:lang w:val="en-US"/>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t>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r>
        <w:t>Split or consolidation of equity shares in the last one year</w:t>
      </w:r>
    </w:p>
    <w:p>
      <w:pPr>
        <w:pStyle w:val="Body Text"/>
        <w:spacing w:before="198"/>
        <w:ind w:left="87"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t>Pursuant to a resolution passed by our Board dated February 10,[REDACTED] and a resolution passed by our Shareholders dated February 11,[REDACTED],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₹100 each was split into 1,13,63,640 Equity Shares of ₹5 each. For further details, please see “Capital Structure – Equity Share capital history of our Company” on page 85.</w:t>
      </w:r>
    </w:p>
    <w:p>
      <w:pPr>
        <w:pStyle w:val="Heading 3"/>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t>Exemption from complying with any provisions of securities laws, if any, granted by the SEBI</w:t>
      </w:r>
    </w:p>
    <w:p>
      <w:pPr>
        <w:pStyle w:val="Body Text"/>
        <w:spacing w:before="200"/>
        <w:ind w:left="87" w:right="24" w:firstLine="0"/>
        <w:jc w:val="both"/>
      </w:pPr>
      <w:r>
        <w:rPr>
          <w:rStyle w:val="Hyperlink.4"/>
          <w:rtl w:val="0"/>
          <w:lang w:val="en-US"/>
        </w:rPr>
      </w:r>
      <w: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r/>
    </w:p>
    <w:p>
      <w:pPr>
        <w:pStyle w:val="Heading 2"/>
        <w:spacing w:before="63"/>
        <w:ind w:right="2548"/>
      </w:pPr>
      <w:bookmarkStart w:name="_bookmark5" w:id="4"/>
      <w:bookmarkEnd w:id="4"/>
      <w:r>
        <w:rPr>
          <w:rStyle w:val="Hyperlink.4"/>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5"/>
          <w:rtl w:val="0"/>
          <w:lang w:val="de-DE"/>
        </w:rPr>
      </w:r>
      <w:r>
        <w:t>SECTION II: RISK FACTORS</w:t>
      </w:r>
    </w:p>
    <w:p>
      <w:pPr>
        <w:pStyle w:val="Body"/>
        <w:spacing w:before="200"/>
        <w:ind w:left="87" w:right="6" w:firstLine="0"/>
        <w:jc w:val="both"/>
        <w:rPr>
          <w:rStyle w:val="None"/>
          <w:i w:val="1"/>
          <w:iCs w:val="1"/>
          <w:sz w:val="20"/>
          <w:szCs w:val="20"/>
        </w:rPr>
      </w:pP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t>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t>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“Fiscal[REDACTED]”, “Fiscal[REDACTED]” and “Fiscal[REDACTED]”, “Fiscals[REDACTED],[REDACTED], and[REDACTED]” or “financial years ended March 31,[REDACTED], March 31,[REDACTED] and March 31,[REDACTED]” are to the 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t>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r>
        <w:t>Unless stated otherwise, industry and market data used in this section has been obtained or derived from the report titled “Industry Research Report on Magnet Winding Wires Market in India” dated November 26,[REDACTED] (“CARE Report”), prepared and issued by Care Analytics and Advisory Private Limited pursuant to an engagement letter dated December 2,[REDACTED],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r>
      <w:r>
        <w:rPr>
          <w:rStyle w:val="None"/>
          <w:spacing w:val="-1"/>
          <w:rtl w:val="0"/>
        </w:rPr>
      </w:r>
      <w:r>
        <w:rPr>
          <w:rStyle w:val="Hyperlink.5"/>
          <w:rtl w:val="0"/>
        </w:rPr>
      </w:r>
      <w:r>
        <w:t>INTERNAL RISKS</w:t>
      </w:r>
    </w:p>
    <w:p>
      <w:pPr>
        <w:pStyle w:val="Heading 4"/>
        <w:numPr>
          <w:ilvl w:val="0"/>
          <w:numId w:val="22"/>
        </w:numPr>
        <w:spacing w:before="199"/>
        <w:ind w:right="12"/>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depend on certain customers for a significant portion of our revenue from operations. Our top 10 customers contributed to[REDACTED]%,[REDACTED]%,[REDACTED]% and[REDACTED]% of our revenue from operations for the three-month period ended June 30,[REDACTED], and Fiscals[REDACTED],[REDACTED] and[REDACTED],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We have derived a significant portion of our revenue from operations from our top 10 customers. The table below sets forth details of our revenue from operations generated from top 10 customers in each of the period/ Fiscals indicated:</w:t>
      </w:r>
    </w:p>
    <w:p>
      <w:pPr>
        <w:pStyle w:val="Body Text"/>
        <w:spacing w:before="3" w:after="1"/>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r/>
    </w:p>
    <w:p>
      <w:pPr>
        <w:pStyle w:val="Body Text"/>
        <w:spacing w:before="22"/>
      </w:pPr>
      <w:r/>
    </w:p>
    <w:p>
      <w:pPr>
        <w:pStyle w:val="Body Text"/>
        <w:ind w:left="79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The table below sets forth the revenue derived from each of our top 10 customers, for the period/ Fiscals indicated:</w:t>
      </w:r>
    </w:p>
    <w:p>
      <w:pPr>
        <w:pStyle w:val="Body Text"/>
        <w:spacing w:before="6"/>
        <w:rPr>
          <w:rStyle w:val="Hyperlink.4"/>
          <w:sz w:val="17"/>
          <w:szCs w:val="17"/>
        </w:rPr>
      </w:pPr>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r/>
    </w:p>
    <w:p>
      <w:pPr>
        <w:pStyle w:val="Body"/>
        <w:spacing w:before="9"/>
        <w:ind w:left="796" w:right="6" w:firstLine="0"/>
        <w:jc w:val="both"/>
        <w:rPr>
          <w:rStyle w:val="Hyperlink.8"/>
        </w:rPr>
      </w:pPr>
      <w:r>
        <w:rPr>
          <w:rStyle w:val="None"/>
          <w:i w:val="1"/>
          <w:iCs w:val="1"/>
          <w:sz w:val="16"/>
          <w:szCs w:val="16"/>
          <w:vertAlign w:val="superscript"/>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s-ES_tradnl"/>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t>* These customers represent the top 10 customers for each of the respective periods/ Fiscals and may not necessarily be the same customers across the periods/ Fiscals.</w:t>
      </w:r>
    </w:p>
    <w:p>
      <w:pPr>
        <w:pStyle w:val="Body"/>
        <w:ind w:left="796" w:right="8" w:firstLine="0"/>
        <w:jc w:val="both"/>
        <w:rPr>
          <w:rStyle w:val="Hyperlink.8"/>
        </w:rPr>
      </w:pP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t>Note: Our top 10 customers include Al-Ahleia Switchgear Co., Bharat Bijlee Limited; CG Power and Industrial Solutions Limited; Emirates Transformer &amp; Switchgear Limited; Georgia Transformer Corporation; Nidec Industrial Automation India Private Limited; Transformers &amp; Rectifiers (India)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r/>
    </w:p>
    <w:p>
      <w:pPr>
        <w:pStyle w:val="Body Text"/>
        <w:ind w:left="796"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We had 122, 117 and 117 customers during the financial years ended March 31,[REDACTED], March 31,[REDACTED], and March 31,[REDACTED], respectively. Further, during the three-month period ended June 30,[REDACTED],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31,[REDACTED], 5 of our customers have been customers for 10 years intermittently, 2 of our customers have been customers for 5 years, and the other 3 have been our customers for 2 years.</w:t>
      </w:r>
    </w:p>
    <w:p>
      <w:pPr>
        <w:pStyle w:val="Body Text"/>
        <w:spacing w:before="200"/>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r/>
    </w:p>
    <w:p>
      <w:pPr>
        <w:pStyle w:val="Body Text"/>
        <w:spacing w:before="80"/>
        <w:ind w:left="796" w:right="20" w:firstLine="0"/>
        <w:jc w:val="both"/>
      </w:pPr>
      <w:r>
        <w:rPr>
          <w:rStyle w:val="Hyperlink.4"/>
          <w:rtl w:val="0"/>
          <w:lang w:val="en-US"/>
        </w:rPr>
      </w: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business is dependent on suppliers to procure our raw materials (top 10 suppliers contributed to[REDACTED]%,[REDACTED]%,[REDACTED]% and[REDACTED]% of our total cost of raw materials and components purchased for the three-month period ended June 30,[REDACTED], and Fiscals[REDACTED],[REDACTED], and[REDACTED],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We are dependent on suppliers to procure our raw materials. We had a network of 9, 14, 17 and 11 suppliers of copper and aluminium (which are our primary raw materials) and enamel and paper (which are our insulating materials) in the three-month period ended June 30,[REDACTED], and Fiscals[REDACTED],[REDACTED] and[REDACTED], respectively. Set out below are details of our expenses towards our top 10 suppliers for the period/ financial year indicated:</w:t>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spacing w:before="160"/>
      </w:pPr>
      <w:r/>
    </w:p>
    <w:p>
      <w:pPr>
        <w:pStyle w:val="Body"/>
        <w:ind w:left="1180" w:firstLine="0"/>
        <w:rPr>
          <w:rStyle w:val="None"/>
          <w:sz w:val="18"/>
          <w:szCs w:val="18"/>
        </w:rPr>
      </w:pPr>
      <w:r>
        <w:rPr>
          <w:rStyle w:val="None"/>
          <w:spacing w:val="-10"/>
          <w:sz w:val="18"/>
          <w:szCs w:val="18"/>
          <w:rtl w:val="0"/>
        </w:rPr>
      </w:r>
      <w:r>
        <w:t>.</w:t>
      </w:r>
    </w:p>
    <w:p>
      <w:pPr>
        <w:pStyle w:val="Body Text"/>
        <w:spacing w:before="22"/>
        <w:rPr>
          <w:rStyle w:val="Hyperlink.4"/>
          <w:sz w:val="18"/>
          <w:szCs w:val="18"/>
        </w:rPr>
      </w:pPr>
      <w:r/>
    </w:p>
    <w:p>
      <w:pPr>
        <w:pStyle w:val="Body"/>
        <w:ind w:left="796" w:right="6" w:firstLine="0"/>
        <w:jc w:val="both"/>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nl-NL"/>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s-ES_tradnl"/>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pt-PT"/>
        </w:rPr>
      </w:r>
      <w:r>
        <w:t>*These suppliers represent the top 10 suppliers for each of the respective period/ Fiscals and may not necessarily be the same suppliers across the period/ Fiscals.</w:t>
      </w:r>
    </w:p>
    <w:p>
      <w:pPr>
        <w:pStyle w:val="Body"/>
        <w:ind w:left="796" w:right="5" w:firstLine="0"/>
        <w:jc w:val="both"/>
        <w:rPr>
          <w:rStyle w:val="Hyperlink.8"/>
        </w:rPr>
      </w:pPr>
      <w:r>
        <w:rPr>
          <w:rStyle w:val="Hyperlink.8"/>
          <w:rtl w:val="0"/>
          <w:lang w:val="de-DE"/>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t>Note: Our top 10 suppliers include Ahlstrom Sweden AB; Cindus Corporation; Elantas Beck India Limited; Hindalco Industries Limited; Polycom Associates; Savli Copper Products Private Limited; Union Copper Rod LLC; and Vedanta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r/>
    </w:p>
    <w:p>
      <w:pPr>
        <w:pStyle w:val="Body Text"/>
        <w:ind w:left="796" w:right="9"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30,[REDACTED], and the Fiscals[REDACTED],[REDACTED] and[REDACTED],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r/>
    </w:p>
    <w:p>
      <w:pPr>
        <w:pStyle w:val="Body Text"/>
        <w:spacing w:before="80"/>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30,[REDACTED], and Fiscals[REDACTED],[REDACTED] and[REDACTED], there can be no assurance that these instances will not occur in the future.</w:t>
      </w:r>
    </w:p>
    <w:p>
      <w:pPr>
        <w:pStyle w:val="Heading 4"/>
        <w:numPr>
          <w:ilvl w:val="0"/>
          <w:numId w:val="24"/>
        </w:numPr>
        <w:spacing w:before="201"/>
        <w:ind w:right="20"/>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Pr>
        <w:pStyle w:val="Body Text"/>
        <w:spacing w:before="4"/>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r/>
    </w:p>
    <w:p>
      <w:pPr>
        <w:pStyle w:val="Body Text"/>
        <w:spacing w:before="1"/>
      </w:pPr>
      <w:r/>
    </w:p>
    <w:p>
      <w:pPr>
        <w:pStyle w:val="Body Text"/>
        <w:spacing w:before="1"/>
        <w:ind w:left="796" w:right="1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we have not experienced any disruption in three-month period ended June 30,[REDACTED], and Fiscals[REDACTED],[REDACTED] and[REDACTED],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r/>
    </w:p>
    <w:p>
      <w:pPr>
        <w:pStyle w:val="Table Paragraph"/>
        <w:jc w:val="right"/>
        <w:sectPr>
          <w:headerReference w:type="default" r:id="rId73"/>
          <w:footerReference w:type="default" r:id="rId74"/>
          <w:pgSz w:w="11920" w:h="16840" w:orient="portrait"/>
          <w:pgMar w:top="1080" w:right="708" w:bottom="1120" w:left="992" w:header="0" w:footer="0"/>
          <w:bidi w:val="0"/>
        </w:sect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r/>
    </w:p>
    <w:p>
      <w:pPr>
        <w:pStyle w:val="Body Text"/>
        <w:spacing w:before="24"/>
      </w:pPr>
      <w:r/>
    </w:p>
    <w:p>
      <w:pPr>
        <w:pStyle w:val="Body Text"/>
        <w:ind w:left="796" w:right="2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r/>
    </w:p>
    <w:p>
      <w:pPr>
        <w:pStyle w:val="Body Text"/>
        <w:spacing w:before="3"/>
      </w:pPr>
      <w:r/>
    </w:p>
    <w:p>
      <w:pPr>
        <w:pStyle w:val="Body Text"/>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Set out below is the contribution of our suppliers from Gujarat and in UAE for the three-month period ended June 30,[REDACTED], and Fiscals[REDACTED],[REDACTED], and[REDACTED]:</w:t>
      </w:r>
    </w:p>
    <w:p>
      <w:pPr>
        <w:pStyle w:val="Body Text"/>
        <w:spacing w:before="4"/>
        <w:rPr>
          <w:rStyle w:val="Hyperlink.4"/>
          <w:sz w:val="17"/>
          <w:szCs w:val="17"/>
        </w:rPr>
      </w:pPr>
      <w: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r/>
    </w:p>
    <w:p>
      <w:pPr>
        <w:pStyle w:val="Body Text"/>
        <w:spacing w:before="3"/>
      </w:pPr>
      <w:r/>
    </w:p>
    <w:p>
      <w:pPr>
        <w:pStyle w:val="Body Text"/>
        <w:spacing w:before="1"/>
        <w:ind w:left="796" w:right="7"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30,[REDACTED] or Fiscals[REDACTED],[REDACTED] and[REDACTED],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 significant portion of our revenue from operations i.e.[REDACTED]%,[REDACTED]%,[REDACTED]% and[REDACTED]% of our operating revenue for the three-month period ended June 30,[REDACTED] and Fiscals[REDACTED],[REDACTED] and[REDACTED],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We are dependent on our customers from the Power Sector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r/>
    </w:p>
    <w:p>
      <w:pPr>
        <w:pStyle w:val="Body"/>
        <w:spacing w:before="23"/>
        <w:ind w:left="808" w:firstLine="0"/>
        <w:rPr>
          <w:rStyle w:val="Hyperlink.8"/>
        </w:rPr>
      </w:pPr>
      <w:r>
        <w:rPr>
          <w:rStyle w:val="None"/>
          <w:sz w:val="16"/>
          <w:szCs w:val="16"/>
          <w:vertAlign w:val="superscript"/>
          <w:rtl w:val="0"/>
        </w:rPr>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r>
        <w:t>* Others include industrials, automotives (EV and ICE), home appliances, refrigeration and air conditioning.</w:t>
      </w:r>
    </w:p>
    <w:p>
      <w:pPr>
        <w:pStyle w:val="Body"/>
        <w:ind w:left="808" w:firstLine="0"/>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r>
        <w:t># Excludes other operating income including income from scrap and income from remission of duties and taxes on export products.</w:t>
      </w:r>
    </w:p>
    <w:p>
      <w:pPr>
        <w:pStyle w:val="Body Text"/>
        <w:spacing w:before="15"/>
        <w:rPr>
          <w:rStyle w:val="None"/>
          <w:i w:val="1"/>
          <w:iCs w:val="1"/>
          <w:sz w:val="16"/>
          <w:szCs w:val="16"/>
        </w:rPr>
      </w:pPr>
      <w:r/>
    </w:p>
    <w:p>
      <w:pPr>
        <w:pStyle w:val="Body Text"/>
        <w:ind w:left="796"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30,[REDACTED], and the Fiscals[REDACTED],[REDACTED] and[REDACTED],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derive a substantial portion of our revenue (more than 70% in each of the three-month period ended June 30,[REDACTED], and Fiscals[REDACTED],[REDACTED] and[REDACTED])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r/>
    </w:p>
    <w:p>
      <w:pPr>
        <w:pStyle w:val="Body Text"/>
        <w:spacing w:before="3"/>
      </w:pPr>
      <w:r/>
    </w:p>
    <w:p>
      <w:pPr>
        <w:pStyle w:val="Body Text"/>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we have not experienced any material sustained decline in the sale of our key products in the three-month period ended June 30,[REDACTED], and the Fiscals[REDACTED],[REDACTED], and[REDACTED],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r>
      <w: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 Text"/>
        <w:jc w:val="both"/>
        <w:sectPr>
          <w:headerReference w:type="default" r:id="rId77"/>
          <w:footerReference w:type="default" r:id="rId78"/>
          <w:pgSz w:w="11920" w:h="16840" w:orient="portrait"/>
          <w:pgMar w:top="1140" w:right="708" w:bottom="1120" w:left="992" w:header="0" w:footer="0"/>
          <w:bidi w:val="0"/>
        </w:sectPr>
      </w:pPr>
      <w:r/>
    </w:p>
    <w:p>
      <w:pPr>
        <w:pStyle w:val="Body Text"/>
        <w:spacing w:before="80"/>
        <w:ind w:left="796" w:right="24"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which our Company has already placed purchase orders, may not be delivered within the expected time, or at all, and may impact the time and cost estimates of our Proposed Capital Expenditure.</w:t>
      </w:r>
    </w:p>
    <w:p>
      <w:pPr>
        <w:pStyle w:val="Body Text"/>
        <w:spacing w:before="201"/>
        <w:ind w:left="796" w:right="1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pPr>
        <w:pStyle w:val="Heading 4"/>
        <w:numPr>
          <w:ilvl w:val="0"/>
          <w:numId w:val="28"/>
        </w:numPr>
        <w:spacing w:before="201"/>
        <w:ind w:right="18"/>
        <w:rPr>
          <w:lang w:val="en-US"/>
        </w:rPr>
      </w:pPr>
      <w:r>
        <w:rPr>
          <w:rStyle w:val="Hyperlink.4"/>
          <w:rtl w:val="0"/>
          <w:lang w:val="en-US"/>
        </w:rPr>
      </w: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30,[REDACTED], or Fiscals[REDACTED],[REDACTED], and[REDACTED], we cannot assure that there will not be any breakdowns in future.</w:t>
      </w:r>
    </w:p>
    <w:p>
      <w:pPr>
        <w:pStyle w:val="Body Text"/>
        <w:spacing w:before="200"/>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30,[REDACTED] or Fiscals[REDACTED],[REDACTED] and[REDACTED],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r/>
    </w:p>
    <w:p>
      <w:pPr>
        <w:pStyle w:val="Heading 4"/>
        <w:numPr>
          <w:ilvl w:val="0"/>
          <w:numId w:val="29"/>
        </w:numPr>
        <w:spacing w:before="80"/>
        <w:ind w:right="21"/>
        <w:rPr>
          <w:lang w:val="en-US"/>
        </w:rPr>
      </w:pPr>
      <w:r>
        <w:rPr>
          <w:rStyle w:val="Hyperlink.4"/>
          <w:rtl w:val="0"/>
          <w:lang w:val="en-US"/>
        </w:rPr>
      </w:r>
      <w: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manufacturing unit at Supa, Ahilyanagar (formerly Ahmednagar) in Maharashtra was originally anticipated to commence operations by March 31,[REDACTED], however, we have experienced delays in setting up our Supa Facility and operations have commenced in September[REDACTED].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r>
        <w:t>Additionally, an amount of ₹[REDACTED]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there have not been any material product liability claims made against our products or any cancellation of existing or future orders, during the three-month period ended June 30,[REDACTED], or Fiscals[REDACTED],[REDACTED] and[REDACTED],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r>
        <w:t>211. While there has not been any non-compliance with the quality standards of our customers during the three-month period ended June 30,[REDACTED], or Fiscals[REDACTED],[REDACTED] and[REDACTED],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r/>
    </w:p>
    <w:p>
      <w:pPr>
        <w:pStyle w:val="Body Text"/>
        <w:spacing w:before="80"/>
        <w:ind w:left="796" w:right="18" w:firstLine="0"/>
        <w:jc w:val="both"/>
      </w:pPr>
      <w:r>
        <w:rPr>
          <w:rStyle w:val="Hyperlink.4"/>
          <w:rtl w:val="0"/>
          <w:lang w:val="en-US"/>
        </w:rPr>
      </w:r>
      <w: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30,[REDACTED], or Fiscals[REDACTED],[REDACTED] and[REDACTED],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export our products to various countries and our revenue from outside India represented[REDACTED]%,[REDACTED]%,[REDACTED]% and[REDACTED]% of our sale of products for the three-month period ended June 30,[REDACTED], and Fiscals[REDACTED],[REDACTED] and[REDACTED],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We have supplied our products to customers across 24 countries outside India, as of June 30,[REDACTED]. The table below sets forth details of the customers served outside India and revenue generated from such customers in the years/ periods indicated:</w:t>
      </w:r>
    </w:p>
    <w:p>
      <w:pPr>
        <w:pStyle w:val="Body Text"/>
        <w:spacing w:before="4" w:after="1"/>
        <w:rPr>
          <w:rStyle w:val="Hyperlink.4"/>
          <w:sz w:val="17"/>
          <w:szCs w:val="17"/>
        </w:rPr>
      </w:pPr>
      <w: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r/>
    </w:p>
    <w:p>
      <w:pPr>
        <w:pStyle w:val="Body"/>
        <w:spacing w:before="4"/>
        <w:ind w:left="796" w:firstLine="0"/>
        <w:jc w:val="both"/>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pacing w:val="-2"/>
          <w:sz w:val="16"/>
          <w:szCs w:val="16"/>
          <w:vertAlign w:val="baseline"/>
          <w:rtl w:val="0"/>
          <w:lang w:val="fr-FR"/>
        </w:rPr>
      </w:r>
      <w:r>
        <w:t>* This does not include processing charges and other operating revenue.</w:t>
      </w:r>
    </w:p>
    <w:p>
      <w:pPr>
        <w:pStyle w:val="Body Text"/>
        <w:spacing w:before="43"/>
        <w:rPr>
          <w:rStyle w:val="None"/>
          <w:i w:val="1"/>
          <w:iCs w:val="1"/>
          <w:sz w:val="16"/>
          <w:szCs w:val="16"/>
        </w:rPr>
      </w:pPr>
      <w:r/>
    </w:p>
    <w:p>
      <w:pPr>
        <w:pStyle w:val="Body Text"/>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30,[REDACTED] and the Fiscals[REDACTED],[REDACTED] and[REDACTED],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Further, the United States have recently introduced tariff hikes on its imports from India. Electrical components, classified under the Indian customs heading (“CTS”)[REDACTED], corresponding to the harmonised tariff schedule (“HTS”)[REDACTED] of the United States, are subject to a reciprocal tariff of 25% and an additional tariff of 25%, totalling a combined tariff rate of 50% when imported to the United States. However, if a product is specifically covered under Section 232 of the Trade Expansion Act,[REDACTED]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HTS[REDACTED], which would be subject to a total tariff of 50% except for instance, in relation to products under HTS 8,[REDACTED]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r/>
    </w:p>
    <w:p>
      <w:pPr>
        <w:pStyle w:val="Heading 4"/>
        <w:numPr>
          <w:ilvl w:val="0"/>
          <w:numId w:val="31"/>
        </w:numPr>
        <w:spacing w:before="80"/>
        <w:ind w:right="18"/>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The table below sets forth certain information relating to our cash flows from operating activities for the periods/ years indicated:</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r/>
    </w:p>
    <w:p>
      <w:pPr>
        <w:pStyle w:val="Body Text"/>
        <w:spacing w:before="1"/>
      </w:pPr>
      <w:r/>
    </w:p>
    <w:p>
      <w:pPr>
        <w:pStyle w:val="Body Text"/>
        <w:ind w:left="796" w:right="1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t>We experienced negative cash flows in the Fiscal[REDACTED], and the Fiscal[REDACTED],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 4"/>
        <w:numPr>
          <w:ilvl w:val="0"/>
          <w:numId w:val="32"/>
        </w:numPr>
        <w:ind w:right="17"/>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30,[REDACTED] or Fiscals[REDACTED],[REDACTED], and[REDACTED],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 certificate of enrolment issued by Maharashtra Sales Tax Department under the Maharashtra State Tax on Professions, Trades, Callings and Employment Act,[REDACTED] and (ii) for amending the name of our Company in certain regulatory approvals and licenses issued under our old name “KSH International Private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t>Further, our government approvals and licenses are subject to certain conditions,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r/>
    </w:p>
    <w:p>
      <w:pPr>
        <w:pStyle w:val="Body Text"/>
        <w:spacing w:before="80"/>
        <w:ind w:left="796" w:right="21" w:firstLine="0"/>
        <w:jc w:val="both"/>
      </w:pPr>
      <w:r>
        <w:rPr>
          <w:rStyle w:val="Hyperlink.4"/>
          <w:rtl w:val="0"/>
          <w:lang w:val="en-US"/>
        </w:rPr>
      </w:r>
      <w: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inability to control the costs involved in complying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t>Certain of our Company’s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r>
      <w:r>
        <w:t>Annual returns filed by the Company beginning from the Fiscal[REDACTED] until the Fiscal[REDACTED], except for the Fiscals ended March 31,[REDACTED], and March 31,[REDACTED];</w:t>
      </w:r>
    </w:p>
    <w:p>
      <w:pPr>
        <w:pStyle w:val="List Paragraph"/>
        <w:numPr>
          <w:ilvl w:val="1"/>
          <w:numId w:val="22"/>
        </w:numPr>
        <w:bidi w:val="0"/>
        <w:ind w:right="20"/>
        <w:jc w:val="left"/>
        <w:rPr>
          <w:sz w:val="20"/>
          <w:szCs w:val="20"/>
          <w:rtl w:val="0"/>
          <w:lang w:val="en-US"/>
        </w:rPr>
      </w:pP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t>Financial statements, (a) between the Fiscal[REDACTED] until March 31,[REDACTED], (b) between the Fiscal[REDACTED] until March 31,[REDACTED], and (c) between the Fiscals[REDACTED] and[REDACTED];</w:t>
      </w:r>
    </w:p>
    <w:p>
      <w:pPr>
        <w:pStyle w:val="List Paragraph"/>
        <w:numPr>
          <w:ilvl w:val="1"/>
          <w:numId w:val="22"/>
        </w:numPr>
        <w:bidi w:val="0"/>
        <w:ind w:right="21"/>
        <w:jc w:val="left"/>
        <w:rPr>
          <w:sz w:val="20"/>
          <w:szCs w:val="20"/>
          <w:rtl w:val="0"/>
          <w:lang w:val="en-US"/>
        </w:rPr>
      </w:pPr>
      <w:r>
        <w:rPr>
          <w:rStyle w:val="Hyperlink.4"/>
          <w:sz w:val="20"/>
          <w:szCs w:val="20"/>
          <w:rtl w:val="0"/>
          <w:lang w:val="en-US"/>
        </w:rPr>
      </w:r>
      <w:r>
        <w:t>Form 1, Form 1A and Form 18 along with corresponding RoC challans for incorporation of the Company dated July 30,[REDACTED],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t>Form 23, Forms 1A and 1B along with corresponding RoC challans for change of name of the Company from “Bhandary Metal Extrusion Private Limited” to “KSH International Private Limited” dated July 4,[REDACTED];</w:t>
      </w:r>
    </w:p>
    <w:p>
      <w:pPr>
        <w:pStyle w:val="List Paragraph"/>
        <w:numPr>
          <w:ilvl w:val="1"/>
          <w:numId w:val="22"/>
        </w:numPr>
        <w:bidi w:val="0"/>
        <w:ind w:right="22"/>
        <w:jc w:val="left"/>
        <w:rPr>
          <w:sz w:val="20"/>
          <w:szCs w:val="20"/>
          <w:rtl w:val="0"/>
          <w:lang w:val="en-US"/>
        </w:rPr>
      </w:pPr>
      <w:r>
        <w:rPr>
          <w:rStyle w:val="Hyperlink.4"/>
          <w:sz w:val="20"/>
          <w:szCs w:val="20"/>
          <w:rtl w:val="0"/>
          <w:lang w:val="en-US"/>
        </w:rPr>
      </w:r>
      <w:r>
        <w:t>Form 32 along with corresponding challan for regularization as director in relation to Rajesh Kushal Hegde dated September 26,[REDACTED];</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r>
      <w:r>
        <w:t>Form 32 along with corresponding RoC challan for appointment as additional director in relation to Rohit Kushal Hegde dated November 1,[REDACTED];</w:t>
      </w:r>
    </w:p>
    <w:p>
      <w:pPr>
        <w:pStyle w:val="List Paragraph"/>
        <w:numPr>
          <w:ilvl w:val="1"/>
          <w:numId w:val="22"/>
        </w:numPr>
        <w:bidi w:val="0"/>
        <w:ind w:right="25"/>
        <w:jc w:val="left"/>
        <w:rPr>
          <w:sz w:val="20"/>
          <w:szCs w:val="20"/>
          <w:rtl w:val="0"/>
          <w:lang w:val="en-US"/>
        </w:rPr>
      </w:pP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t>Form 32 along with the corresponding RoC challan for regularisation as director in relation to Rohit Kushal Hegde dated September 21,[REDACTED];</w:t>
      </w:r>
    </w:p>
    <w:p>
      <w:pPr>
        <w:pStyle w:val="List Paragraph"/>
        <w:numPr>
          <w:ilvl w:val="1"/>
          <w:numId w:val="22"/>
        </w:numPr>
        <w:bidi w:val="0"/>
        <w:ind w:right="0"/>
        <w:jc w:val="left"/>
        <w:rPr>
          <w:sz w:val="20"/>
          <w:szCs w:val="20"/>
          <w:rtl w:val="0"/>
          <w:lang w:val="en-US"/>
        </w:rPr>
      </w:pP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None"/>
          <w:spacing w:val="-5"/>
          <w:sz w:val="20"/>
          <w:szCs w:val="20"/>
          <w:rtl w:val="0"/>
          <w:lang w:val="en-US"/>
        </w:rPr>
      </w:r>
      <w:r>
        <w:t>Copies or counter folios of share certificates issued to the shareholders; and</w:t>
      </w:r>
    </w:p>
    <w:p>
      <w:pPr>
        <w:pStyle w:val="List Paragraph"/>
        <w:numPr>
          <w:ilvl w:val="1"/>
          <w:numId w:val="22"/>
        </w:numPr>
        <w:bidi w:val="0"/>
        <w:ind w:right="17"/>
        <w:jc w:val="left"/>
        <w:rPr>
          <w:sz w:val="20"/>
          <w:szCs w:val="20"/>
          <w:rtl w:val="0"/>
          <w:lang w:val="en-US"/>
        </w:rPr>
      </w:pP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t>Share transfer forms for all secondary transactions of equity shares, including the following transfers involving the Promoter Selling Shareholders:</w:t>
      </w:r>
    </w:p>
    <w:p>
      <w:pPr>
        <w:pStyle w:val="Body Text"/>
      </w:pPr>
      <w:r/>
    </w:p>
    <w:p>
      <w:pPr>
        <w:pStyle w:val="Body Text"/>
      </w:pPr>
      <w:r/>
    </w:p>
    <w:p>
      <w:pPr>
        <w:pStyle w:val="Body Text"/>
      </w:pPr>
      <w:r/>
    </w:p>
    <w:p>
      <w:pPr>
        <w:pStyle w:val="Body Text"/>
        <w:spacing w:before="139"/>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r/>
    </w:p>
    <w:p>
      <w:pPr>
        <w:pStyle w:val="Table Paragraph"/>
        <w:jc w:val="center"/>
        <w:sectPr>
          <w:headerReference w:type="default" r:id="rId87"/>
          <w:footerReference w:type="default" r:id="rId88"/>
          <w:pgSz w:w="11920" w:h="16840" w:orient="portrait"/>
          <w:pgMar w:top="108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r/>
    </w:p>
    <w:p>
      <w:pPr>
        <w:pStyle w:val="Body Text"/>
        <w:spacing w:before="34"/>
      </w:pPr>
      <w:r/>
    </w:p>
    <w:p>
      <w:pPr>
        <w:pStyle w:val="Body"/>
        <w:ind w:left="796" w:right="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t>For further details, see “Capital Structure – Details of history of shareholding and share capital of our Promoters and members of the Promoter Group in our Company” and “Capital Structure – Equity Share capital history of our Company” on pages 91 and 85, respectively.</w:t>
      </w:r>
    </w:p>
    <w:p>
      <w:pPr>
        <w:pStyle w:val="Body Text"/>
        <w:spacing w:before="201"/>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been unable to trace these documents despite commissioning a detailed search at the Registrar of Companies, through an independent practicing company secretary, Kanj and Co LLP (“Practicing Company Secretary”), to trace records and filings available with Registrar of Companies and reliance has been placed on the certificate dated May 21,[REDACTED], issued by the Practicing Company Secretary. We have also intimated the Registrar of Companies by way of our letter dated May 21,[REDACTED], regarding the missing corporate records.</w:t>
      </w:r>
    </w:p>
    <w:p>
      <w:pPr>
        <w:pStyle w:val="Body Text"/>
        <w:spacing w:before="199"/>
        <w:ind w:left="796" w:right="10" w:firstLine="0"/>
        <w:jc w:val="both"/>
      </w:pP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t>In addition, 1,000, equity shares of face value of ₹100 each allotted to Karunakar N. Bhandary, 500 equity shares of face value of ₹100 each allotted to Kushal Subbayya Hegde, Narayna B. Shetty and Jayaram N. Shetty, respectively, pursuant to the initial subscription to the MoA dated June 29,[REDACTED], were subsequently taken on record by the Board by way of a resolution dated August 25,[REDACTED].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Further, some of our form filings made with the RoC have been delayed in the three-month period ended June 30,[REDACTED], and Fiscals[REDACTED],[REDACTED] and[REDACTED].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r/>
    </w:p>
    <w:p>
      <w:pPr>
        <w:pStyle w:val="Body Text"/>
        <w:spacing w:before="170"/>
      </w:pPr>
      <w:r/>
    </w:p>
    <w:p>
      <w:pPr>
        <w:pStyle w:val="Heading 4"/>
        <w:numPr>
          <w:ilvl w:val="0"/>
          <w:numId w:val="34"/>
        </w:numPr>
        <w:spacing w:before="0"/>
        <w:ind w:right="17"/>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Certain sections of this Red Herring Prospectus contain information from the CARE Report which has been commissioned by us and any reliance on such information for making an investment decision in this Offer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r/>
    </w:p>
    <w:p>
      <w:pPr>
        <w:pStyle w:val="Body Text"/>
        <w:spacing w:before="80"/>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t>Certain sections of this Red Herring Prospectus include information based on, or derived from, the CARE Report or extracts of the CARE Report prepared by Care Analytics and Advisory Private Limited (“CareEdge Research”). All such information in this Red Herring Prospectus indicates the CARE Report as its source. The CARE Report is available on the website of our Company at https://kshinternational.com/investor-relations/industry-report/.</w:t>
      </w:r>
    </w:p>
    <w:p>
      <w:pPr>
        <w:pStyle w:val="Body Text"/>
        <w:spacing w:before="201"/>
        <w:ind w:left="796" w:right="1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The CARE Report is commissioned and paid for by our Company pursuant to an engagement letter dated December 2,[REDACTED],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w:t>
      </w:r>
    </w:p>
    <w:p>
      <w:pPr>
        <w:pStyle w:val="Body Text"/>
        <w:spacing w:before="201"/>
        <w:ind w:left="796" w:right="1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pPr>
        <w:pStyle w:val="Body Text"/>
        <w:ind w:left="796" w:right="19" w:firstLine="0"/>
        <w:jc w:val="both"/>
      </w:pPr>
      <w:r>
        <w:rPr>
          <w:rStyle w:val="Hyperlink.4"/>
          <w:rtl w:val="0"/>
          <w:lang w:val="en-US"/>
        </w:rPr>
      </w:r>
      <w: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pPr>
        <w:pStyle w:val="Heading 4"/>
        <w:numPr>
          <w:ilvl w:val="0"/>
          <w:numId w:val="35"/>
        </w:numPr>
        <w:ind w:right="19"/>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failure in arranging adequate working capital for our operations or furnishing performance bank guarantees may adversely affect our business, results of operations, cash flows and financial condition.</w:t>
      </w:r>
    </w:p>
    <w:p>
      <w:pPr>
        <w:pStyle w:val="Body Text"/>
        <w:spacing w:before="200"/>
        <w:ind w:left="796" w:right="21" w:firstLine="0"/>
        <w:jc w:val="both"/>
      </w:pPr>
      <w:r>
        <w:rPr>
          <w:rStyle w:val="Hyperlink.4"/>
          <w:rtl w:val="0"/>
          <w:lang w:val="en-US"/>
        </w:rPr>
      </w: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Set out below are our working capital days for the three-month period ended June 30,[REDACTED], and the Fiscals[REDACTED],[REDACTED] and[REDACTED]:</w:t>
      </w:r>
    </w:p>
    <w:p>
      <w:pPr>
        <w:pStyle w:val="Body Text"/>
        <w:spacing w:before="7"/>
        <w:rPr>
          <w:rStyle w:val="Hyperlink.4"/>
          <w:sz w:val="17"/>
          <w:szCs w:val="17"/>
        </w:rPr>
      </w:pPr>
      <w: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r/>
    </w:p>
    <w:p>
      <w:pPr>
        <w:pStyle w:val="Body"/>
        <w:spacing w:before="2"/>
        <w:ind w:left="1082" w:hanging="360"/>
        <w:rPr>
          <w:rStyle w:val="Hyperlink.8"/>
        </w:rPr>
      </w:pPr>
      <w:r>
        <w:rPr>
          <w:rStyle w:val="Hyperlink.8"/>
          <w:rtl w:val="0"/>
        </w:rPr>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r>
        <w:t>(1)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pPr>
        <w:pStyle w:val="Body"/>
        <w:sectPr>
          <w:headerReference w:type="default" r:id="rId91"/>
          <w:footerReference w:type="default" r:id="rId92"/>
          <w:pgSz w:w="11920" w:h="16840" w:orient="portrait"/>
          <w:pgMar w:top="1080" w:right="708" w:bottom="1120" w:left="992" w:header="0" w:footer="0"/>
          <w:bidi w:val="0"/>
        </w:sectPr>
      </w:pPr>
      <w:r/>
    </w:p>
    <w:p>
      <w:pPr>
        <w:pStyle w:val="Body"/>
        <w:spacing w:before="82"/>
        <w:ind w:left="1082" w:firstLine="0"/>
        <w:rPr>
          <w:rStyle w:val="Hyperlink.8"/>
        </w:rPr>
      </w:pPr>
      <w:r>
        <w:rPr>
          <w:rStyle w:val="Hyperlink.8"/>
          <w:rtl w:val="0"/>
          <w:lang w:val="en-US"/>
        </w:rPr>
      </w:r>
      <w:r>
        <w:rPr>
          <w:rStyle w:val="None"/>
          <w:i w:val="1"/>
          <w:iCs w:val="1"/>
          <w:spacing w:val="40"/>
          <w:sz w:val="16"/>
          <w:szCs w:val="16"/>
          <w:rtl w:val="0"/>
        </w:rPr>
      </w:r>
      <w:r>
        <w:rPr>
          <w:rStyle w:val="Hyperlink.8"/>
          <w:rtl w:val="0"/>
          <w:lang w:val="en-US"/>
        </w:rPr>
      </w:r>
      <w:r>
        <w:t>receivables divided by revenue from operations multiplied by 365 or 91 days. Trade payable days is calculated as Trade payable divided by COGS multiplied by 365 or 91 days.</w:t>
      </w:r>
    </w:p>
    <w:p>
      <w:pPr>
        <w:pStyle w:val="Body Text"/>
        <w:spacing w:before="15"/>
        <w:rPr>
          <w:rStyle w:val="None"/>
          <w:i w:val="1"/>
          <w:iCs w:val="1"/>
          <w:sz w:val="16"/>
          <w:szCs w:val="16"/>
        </w:rPr>
      </w:pPr>
      <w:r/>
    </w:p>
    <w:p>
      <w:pPr>
        <w:pStyle w:val="Body Text"/>
        <w:ind w:left="796" w:right="10"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Our Company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r/>
    </w:p>
    <w:p>
      <w:pPr>
        <w:pStyle w:val="Body"/>
        <w:spacing w:before="9" w:line="183" w:lineRule="exact"/>
        <w:ind w:left="796" w:firstLine="0"/>
        <w:jc w:val="both"/>
        <w:rPr>
          <w:rStyle w:val="Hyperlink.8"/>
        </w:rPr>
      </w:pPr>
      <w:r>
        <w:rPr>
          <w:rStyle w:val="Hyperlink.8"/>
          <w:rtl w:val="0"/>
        </w:rPr>
      </w:r>
      <w:r>
        <w:rPr>
          <w:rStyle w:val="None"/>
          <w:i w:val="1"/>
          <w:iCs w:val="1"/>
          <w:spacing w:val="72"/>
          <w:sz w:val="16"/>
          <w:szCs w:val="16"/>
          <w:rtl w:val="0"/>
        </w:rPr>
      </w:r>
      <w:r>
        <w:rPr>
          <w:rStyle w:val="Hyperlink.8"/>
          <w:rtl w:val="0"/>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None"/>
          <w:i w:val="1"/>
          <w:iCs w:val="1"/>
          <w:spacing w:val="-2"/>
          <w:sz w:val="16"/>
          <w:szCs w:val="16"/>
          <w:rtl w:val="0"/>
          <w:lang w:val="it-IT"/>
        </w:rPr>
      </w:r>
      <w:r>
        <w:t>*   To the extent quantifiable.</w:t>
      </w:r>
    </w:p>
    <w:p>
      <w:pPr>
        <w:pStyle w:val="Body"/>
        <w:ind w:left="796" w:right="5478" w:firstLine="0"/>
        <w:jc w:val="both"/>
        <w:rPr>
          <w:rStyle w:val="Hyperlink.8"/>
        </w:rPr>
      </w:pPr>
      <w:r>
        <w:rPr>
          <w:rStyle w:val="Hyperlink.8"/>
          <w:rtl w:val="0"/>
        </w:rPr>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r>
        <w:t># Determined in accordance with the Materiality Policy. 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t>Certain of our KMPs including, Kushal Subbayya Hegde, Rajesh Kushal Hegde, Rohit Kushal Hegde and Rakhi Girija Shetty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Certain of our SMs including, Sandesh Bhagwat, CEO, Amod Joshi, CFO, Sarthak Malvadkar,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796" w:right="21" w:firstLine="0"/>
        <w:jc w:val="both"/>
      </w:pPr>
      <w:r>
        <w:rPr>
          <w:rStyle w:val="Hyperlink.4"/>
          <w:rtl w:val="0"/>
          <w:lang w:val="en-US"/>
        </w:rPr>
      </w:r>
      <w: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r>
      <w:r>
        <w:rPr>
          <w:rStyle w:val="Hyperlink.4"/>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r/>
    </w:p>
    <w:p>
      <w:pPr>
        <w:pStyle w:val="Body Text"/>
        <w:spacing w:before="80"/>
        <w:ind w:left="796" w:right="11"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w:t>
      </w:r>
    </w:p>
    <w:p>
      <w:pPr>
        <w:pStyle w:val="Body Text"/>
        <w:spacing w:before="201"/>
        <w:ind w:left="796" w:right="16" w:firstLine="0"/>
        <w:jc w:val="both"/>
      </w:pPr>
      <w:r>
        <w:rPr>
          <w:rStyle w:val="Hyperlink.4"/>
          <w:rtl w:val="0"/>
          <w:lang w:val="en-US"/>
        </w:rPr>
      </w:r>
      <w:r>
        <w:rPr>
          <w:rStyle w:val="Hyperlink.5"/>
          <w:rtl w:val="0"/>
          <w:lang w:val="en-US"/>
        </w:rPr>
      </w:r>
      <w:r>
        <w:t>The table below sets forth the installed capacity and capacity utilization product category wise across our manufacturing facilities during the three-month period ended June 30,[REDACTED], and the Fiscals[REDACTED],[REDACTED] and[REDACTED], respectively:</w:t>
      </w:r>
    </w:p>
    <w:p>
      <w:pPr>
        <w:pStyle w:val="Body Text"/>
      </w:pPr>
      <w:r/>
    </w:p>
    <w:p>
      <w:pPr>
        <w:pStyle w:val="Body Text"/>
        <w:spacing w:before="171"/>
      </w:pPr>
      <w:r/>
    </w:p>
    <w:p>
      <w:pPr>
        <w:pStyle w:val="Body"/>
        <w:ind w:left="3345" w:firstLine="0"/>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pacing w:val="-1"/>
          <w:sz w:val="20"/>
          <w:szCs w:val="20"/>
          <w:rtl w:val="0"/>
        </w:rPr>
      </w: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r/>
    </w:p>
    <w:p>
      <w:pPr>
        <w:pStyle w:val="Body Text"/>
        <w:spacing w:before="9"/>
        <w:rPr>
          <w:rStyle w:val="None"/>
          <w:i w:val="1"/>
          <w:iCs w:val="1"/>
          <w:sz w:val="17"/>
          <w:szCs w:val="17"/>
        </w:rPr>
      </w:pPr>
      <w: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r/>
    </w:p>
    <w:p>
      <w:pPr>
        <w:pStyle w:val="Body"/>
        <w:spacing w:before="7"/>
        <w:ind w:left="12" w:firstLine="0"/>
        <w:rPr>
          <w:rStyle w:val="Hyperlink.8"/>
        </w:rPr>
      </w:pPr>
      <w:r>
        <w:rPr>
          <w:rStyle w:val="Hyperlink.8"/>
          <w:rtl w:val="0"/>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None"/>
          <w:i w:val="1"/>
          <w:iCs w:val="1"/>
          <w:spacing w:val="-2"/>
          <w:sz w:val="16"/>
          <w:szCs w:val="16"/>
          <w:rtl w:val="0"/>
        </w:rPr>
      </w:r>
      <w:r>
        <w:t>^ Calculated on proportionate installed capacity basis.</w:t>
      </w:r>
    </w:p>
    <w:p>
      <w:pPr>
        <w:pStyle w:val="Body"/>
        <w:spacing w:before="1"/>
        <w:ind w:left="12" w:firstLine="0"/>
        <w:rPr>
          <w:rStyle w:val="Hyperlink.8"/>
        </w:rPr>
      </w:pPr>
      <w:r>
        <w:rPr>
          <w:rStyle w:val="Hyperlink.8"/>
          <w:rtl w:val="0"/>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r>
        <w:t>* Actual production mentioned above is for the three-month period ended June 30,[REDACTED].</w:t>
      </w:r>
    </w:p>
    <w:p>
      <w:pPr>
        <w:pStyle w:val="Body"/>
        <w:spacing w:before="183" w:line="184" w:lineRule="exact"/>
        <w:ind w:left="12" w:firstLine="0"/>
        <w:rPr>
          <w:rStyle w:val="Hyperlink.8"/>
        </w:rPr>
      </w:pPr>
      <w:r>
        <w:rPr>
          <w:rStyle w:val="None"/>
          <w:i w:val="1"/>
          <w:iCs w:val="1"/>
          <w:spacing w:val="-2"/>
          <w:sz w:val="16"/>
          <w:szCs w:val="16"/>
          <w:u w:val="single"/>
          <w:rtl w:val="0"/>
          <w:lang w:val="de-DE"/>
        </w:rPr>
      </w:r>
      <w: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Capacity mentioned in above table for the year[REDACTED],[REDACTED] and[REDACTED] &amp; first quarter of the year[REDACTED] is on annualized 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CTC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RW means - Round Wire 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r>
      <w:r>
        <w:rPr>
          <w:rStyle w:val="None"/>
          <w:i w:val="1"/>
          <w:iCs w:val="1"/>
          <w:spacing w:val="1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4"/>
          <w:sz w:val="16"/>
          <w:szCs w:val="16"/>
          <w:rtl w:val="0"/>
          <w:lang w:val="en-US"/>
        </w:rPr>
      </w: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The company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None"/>
          <w:i w:val="1"/>
          <w:iCs w:val="1"/>
          <w:spacing w:val="-2"/>
          <w:sz w:val="16"/>
          <w:szCs w:val="16"/>
          <w:rtl w:val="0"/>
          <w:lang w:val="en-US"/>
        </w:rPr>
      </w: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t>Specialize magnet winding 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t>For PICC - 26 days per month resulting in 312 working days in a year with per day three operating shifts with actual run time of 5.6 hours per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For CTC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t>For RW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The actual production capacity of the company is derived from a ‘Production Data’ on a monthly 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r>
        <w:t>The Company is expanding by setting up a plant at Plot No. F-223, Supa Parner Industrial Park, Mauje Palve Khurd, Taluka Parner, Dist – Ahmednagar, Maharashtra –[REDACTED]. The proposed plant will be developed in phases: Phase I, named Alpha I, with an installed capacity of 12,000 MT per annum, and Phase II, named Beta I, with a proposed installed capacity of 18,000 MT per annum. Currently, a consent to operate dated September 19,[REDACTED], has been obtained from the Maharashtra Pollution Control Board for Phase I CTO and commercial production of Phase I commenced in September[REDACTED]. Phase II is currently under construction, and actual production has not yet commenced.</w:t>
      </w:r>
    </w:p>
    <w:p>
      <w:pPr>
        <w:pStyle w:val="Body Text"/>
        <w:rPr>
          <w:rStyle w:val="None"/>
          <w:i w:val="1"/>
          <w:iCs w:val="1"/>
          <w:sz w:val="16"/>
          <w:szCs w:val="16"/>
        </w:rPr>
      </w:pPr>
      <w:r/>
    </w:p>
    <w:p>
      <w:pPr>
        <w:pStyle w:val="Body Text"/>
        <w:rPr>
          <w:rStyle w:val="None"/>
          <w:i w:val="1"/>
          <w:iCs w:val="1"/>
          <w:sz w:val="16"/>
          <w:szCs w:val="16"/>
        </w:rPr>
      </w:pPr>
      <w:r/>
    </w:p>
    <w:p>
      <w:pPr>
        <w:pStyle w:val="Body Text"/>
        <w:spacing w:before="136"/>
        <w:rPr>
          <w:rStyle w:val="None"/>
          <w:i w:val="1"/>
          <w:iCs w:val="1"/>
          <w:sz w:val="16"/>
          <w:szCs w:val="16"/>
        </w:rPr>
      </w:pPr>
      <w:r/>
    </w:p>
    <w:p>
      <w:pPr>
        <w:pStyle w:val="Body"/>
        <w:spacing w:before="1"/>
        <w:ind w:left="708" w:right="2" w:firstLine="0"/>
        <w:jc w:val="center"/>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pacing w:val="-1"/>
          <w:sz w:val="20"/>
          <w:szCs w:val="20"/>
          <w:rtl w:val="0"/>
        </w:rPr>
      </w: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r/>
    </w:p>
    <w:p>
      <w:pPr>
        <w:pStyle w:val="Body Text"/>
        <w:spacing w:before="65"/>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historical capacity utilisation for the standard magnet winding wires reflect under-utilisation, as our production of standard magnet winding wires Fiscal[REDACTED]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30,[REDACTED] and the Fiscals[REDACTED],[REDACTED] and[REDACTED],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t>As of October 31,[REDACTED], we had total borrowings (including fund-based borrowings and non-fund based borrowings and consisting of secured borrowings including term loans and working capital facilities, and unsecured borrowings including working capital facilities and unsecured loans) of ₹ 5,[REDACTED]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5"/>
          <w:rtl w:val="0"/>
          <w:lang w:val="en-US"/>
        </w:rPr>
      </w: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r/>
    </w:p>
    <w:p>
      <w:pPr>
        <w:pStyle w:val="Body"/>
        <w:spacing w:before="65"/>
        <w:ind w:left="796" w:right="152" w:firstLine="0"/>
        <w:jc w:val="both"/>
        <w:rPr>
          <w:rStyle w:val="None"/>
          <w:sz w:val="20"/>
          <w:szCs w:val="20"/>
        </w:rPr>
      </w:pP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t>on acceptable terms or at all. For further details in relation to the personal guarantees, see “History and Certain Corporate Matters – Guarantees provided to third parties by our Promoter Selling Shareholders” on page 245.</w:t>
      </w:r>
    </w:p>
    <w:p>
      <w:pPr>
        <w:pStyle w:val="Body Text"/>
        <w:spacing w:before="200"/>
        <w:ind w:left="796" w:right="16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While we have been in compliance with the financial covenants under our loan agreements in the three-month period ended June 30,[REDACTED] and Fiscals[REDACTED],[REDACTED] and[REDACTED],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obtain and maintain quality certifications and accreditations from independent certification entities in connection with the products we manufacture. For instance, we were awarded (i) ISO[REDACTED]:[REDACTED] – accreditation for the certification and approval of the quality management system; (ii) ISO[REDACTED]:[REDACTED] – accreditation for environment management system; (iii) ISO[REDACTED]:[REDACTED] – certification for occupational health and safety management; and (iv) IATF[REDACTED]:[REDACTED]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t>We are required to pay certain statutory dues including provident fund contributions under the Employees’ Provident Funds and Miscellaneous Provisions Act,[REDACTED], employee state insurance contributions under the Employees’ State Insurance Act,[REDACTED], professional tax, tax deduction at source (“TDS”), labour welfare fund, GST and income tax.</w:t>
      </w:r>
    </w:p>
    <w:p>
      <w:pPr>
        <w:pStyle w:val="Body Text"/>
        <w:spacing w:before="201"/>
        <w:ind w:left="796" w:right="15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table below sets out details of statutory dues paid by our Company, in relation to its employees during the period/ Fiscals indicated:</w:t>
      </w:r>
    </w:p>
    <w:p>
      <w:pPr>
        <w:pStyle w:val="Body"/>
        <w:spacing w:before="199"/>
        <w:ind w:right="148"/>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r/>
    </w:p>
    <w:p>
      <w:pPr>
        <w:pStyle w:val="Body"/>
        <w:spacing w:before="1"/>
        <w:ind w:left="489" w:firstLine="0"/>
        <w:rPr>
          <w:rStyle w:val="Hyperlink.8"/>
        </w:rPr>
      </w:pPr>
      <w:r>
        <w:rPr>
          <w:rStyle w:val="None"/>
          <w:i w:val="1"/>
          <w:iCs w:val="1"/>
          <w:spacing w:val="-2"/>
          <w:sz w:val="16"/>
          <w:szCs w:val="16"/>
          <w:rtl w:val="0"/>
          <w:lang w:val="de-DE"/>
        </w:rPr>
      </w:r>
      <w: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rPr>
          <w:rStyle w:val="None"/>
          <w:i w:val="1"/>
          <w:iCs w:val="1"/>
          <w:spacing w:val="11"/>
          <w:sz w:val="16"/>
          <w:szCs w:val="16"/>
          <w:rtl w:val="0"/>
          <w:lang w:val="en-US"/>
        </w:rPr>
      </w:r>
      <w:r>
        <w:rPr>
          <w:rStyle w:val="None"/>
          <w:i w:val="1"/>
          <w:iCs w:val="1"/>
          <w:spacing w:val="-2"/>
          <w:sz w:val="16"/>
          <w:szCs w:val="16"/>
          <w:rtl w:val="0"/>
          <w:lang w:val="en-US"/>
        </w:rPr>
      </w:r>
      <w:r>
        <w:t>*excludes contractual employees.</w:t>
      </w:r>
    </w:p>
    <w:p>
      <w:pPr>
        <w:pStyle w:val="Body"/>
        <w:spacing w:line="183" w:lineRule="exact"/>
        <w:ind w:left="465" w:firstLine="0"/>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r>
        <w:t>&amp; Goods and Services Tax includes only payment of taxes in cash.</w:t>
      </w:r>
    </w:p>
    <w:p>
      <w:pPr>
        <w:pStyle w:val="Body"/>
        <w:ind w:left="465" w:firstLine="0"/>
        <w:rPr>
          <w:rStyle w:val="Hyperlink.8"/>
        </w:rPr>
      </w:pPr>
      <w:r>
        <w:rPr>
          <w:rStyle w:val="None"/>
          <w:i w:val="1"/>
          <w:iCs w:val="1"/>
          <w:sz w:val="16"/>
          <w:szCs w:val="16"/>
          <w:vertAlign w:val="superscript"/>
          <w:rtl w:val="0"/>
        </w:rPr>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r>
        <w:t># Employer and Employee Contribution.</w:t>
      </w:r>
    </w:p>
    <w:p>
      <w:pPr>
        <w:pStyle w:val="Body Text"/>
        <w:spacing w:before="46"/>
        <w:rPr>
          <w:rStyle w:val="None"/>
          <w:i w:val="1"/>
          <w:iCs w:val="1"/>
          <w:sz w:val="16"/>
          <w:szCs w:val="16"/>
        </w:rPr>
      </w:pPr>
      <w:r/>
    </w:p>
    <w:p>
      <w:pPr>
        <w:pStyle w:val="Body Text"/>
        <w:ind w:left="796" w:right="150"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30,[REDACTED], and Fiscals[REDACTED],[REDACTED] and[REDACTED], we have experienced one accident at one of our manufacturing facilities in June[REDACTED].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r/>
    </w:p>
    <w:p>
      <w:pPr>
        <w:pStyle w:val="Heading 4"/>
        <w:numPr>
          <w:ilvl w:val="0"/>
          <w:numId w:val="54"/>
        </w:numPr>
        <w:spacing w:before="65"/>
        <w:ind w:right="162"/>
        <w:jc w:val="left"/>
        <w:rPr>
          <w:lang w:val="en-US"/>
        </w:rPr>
      </w:pPr>
      <w:r>
        <w:rPr>
          <w:rStyle w:val="Hyperlink.4"/>
          <w:rtl w:val="0"/>
          <w:lang w:val="en-US"/>
        </w:rPr>
      </w: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Pr>
        <w:pStyle w:val="Body Text"/>
        <w:spacing w:before="5"/>
        <w:rPr>
          <w:rStyle w:val="Hyperlink.4"/>
          <w:sz w:val="17"/>
          <w:szCs w:val="17"/>
        </w:rPr>
      </w:pPr>
      <w: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r/>
    </w:p>
    <w:p>
      <w:pPr>
        <w:pStyle w:val="Body Text"/>
        <w:spacing w:before="2"/>
      </w:pPr>
      <w:r/>
    </w:p>
    <w:p>
      <w:pPr>
        <w:pStyle w:val="Body Text"/>
        <w:ind w:left="796" w:right="157"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we plan to install a 3.2 MW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30,[REDACTED], or Fiscals[REDACTED],[REDACTED], and[REDACTED],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30,[REDACTED], and Fiscals[REDACTED],[REDACTED] and[REDACTED], 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lang w:val="en-US"/>
        </w:rPr>
      </w: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r/>
    </w:p>
    <w:p>
      <w:pPr>
        <w:pStyle w:val="Body Text"/>
        <w:spacing w:before="25"/>
        <w:rPr>
          <w:rStyle w:val="None"/>
          <w:i w:val="1"/>
          <w:iCs w:val="1"/>
          <w:sz w:val="18"/>
          <w:szCs w:val="18"/>
        </w:rPr>
      </w:pPr>
      <w:r/>
    </w:p>
    <w:p>
      <w:pPr>
        <w:pStyle w:val="Body Text"/>
        <w:ind w:left="796" w:right="15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30,[REDACTED] or Fiscals[REDACTED],[REDACTED] and[REDACTED],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r/>
    </w:p>
    <w:p>
      <w:pPr>
        <w:pStyle w:val="Heading 4"/>
        <w:numPr>
          <w:ilvl w:val="0"/>
          <w:numId w:val="56"/>
        </w:numPr>
        <w:spacing w:before="65"/>
        <w:ind w:right="159"/>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As of June 30,[REDACTED], we have a dedicated team of 20 employees focused on new product/ process development and maintenance. During the three-month period ended June 30,[REDACTED], and Fiscals[REDACTED],[REDACTED], and[REDACTED], we have 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₹4.49 million, ₹[REDACTED] million, ₹[REDACTED]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rPr>
          <w:rStyle w:val="Hyperlink.4"/>
          <w:rtl w:val="0"/>
          <w:lang w:val="en-US"/>
        </w:rPr>
      </w:r>
      <w:r>
        <w:t>The cost and availability of capital depends on our credit ratings. Set out below are our credit ratings received from Care Ratings Limited, in the three-month period ended June 30,[REDACTED], Fiscals[REDACTED],[REDACTED] and[REDACTED]:</w:t>
      </w:r>
    </w:p>
    <w:p>
      <w:pPr>
        <w:pStyle w:val="Body Text"/>
        <w:spacing w:before="4"/>
        <w:rPr>
          <w:rStyle w:val="Hyperlink.4"/>
          <w:sz w:val="17"/>
          <w:szCs w:val="17"/>
        </w:rPr>
      </w:pPr>
      <w: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r/>
    </w:p>
    <w:p>
      <w:pPr>
        <w:pStyle w:val="Body Text"/>
        <w:spacing w:before="5"/>
      </w:pPr>
      <w:r/>
    </w:p>
    <w:p>
      <w:pPr>
        <w:pStyle w:val="Body Text"/>
        <w:spacing w:before="1"/>
        <w:ind w:left="796" w:right="157"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1"/>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our rating outlook has been revised from ‘positive’ to ‘stable’ in our latest ratings obtained on December 10,[REDACTED], we have not experienced downgrading in our credit ratings received in the last three-month period ended June 30,[REDACTED] or Fiscals[REDACTED],[REDACTED] and[REDACTED],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rPr>
          <w:rStyle w:val="Hyperlink.4"/>
          <w:rtl w:val="0"/>
          <w:lang w:val="en-US"/>
        </w:rPr>
      </w:r>
      <w:r>
        <w:rPr>
          <w:rStyle w:val="Hyperlink.5"/>
          <w:rtl w:val="0"/>
          <w:lang w:val="en-US"/>
        </w:rPr>
      </w:r>
      <w:r>
        <w:t>Exchange rate fluctuations may adversely affect our business, financial conditions, cash flows and results of operations.</w:t>
      </w:r>
    </w:p>
    <w:p>
      <w:pPr>
        <w:pStyle w:val="Body Text"/>
        <w:spacing w:before="200"/>
        <w:ind w:left="796" w:right="16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r/>
    </w:p>
    <w:p>
      <w:pPr>
        <w:pStyle w:val="Body"/>
        <w:spacing w:before="65"/>
        <w:ind w:left="796" w:right="149" w:firstLine="0"/>
        <w:jc w:val="both"/>
        <w:rPr>
          <w:rStyle w:val="None"/>
          <w:sz w:val="20"/>
          <w:szCs w:val="20"/>
        </w:rPr>
      </w:pPr>
      <w:r>
        <w:rPr>
          <w:rStyle w:val="None"/>
          <w:sz w:val="20"/>
          <w:szCs w:val="20"/>
          <w:rtl w:val="0"/>
          <w:lang w:val="en-US"/>
        </w:rPr>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30,[REDACTED], or Fiscals[REDACTED],[REDACTED] and[REDACTED], we cannot assure you that such instance will not arise in the future. For details of risks in relation in relation to our export sales, please see “Risk Factors – We export our products to various countries and our revenue from outside India represented[REDACTED]%,[REDACTED]%,[REDACTED]% and[REDACTED]% of our sale of products for the three-month period ended June 30,[REDACTED], and Fiscals[REDACTED],[REDACTED] and[REDACTED],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Fraud, employee misconduct or similar incidents may adversely affect our results of operations and cash flows.</w:t>
      </w:r>
    </w:p>
    <w:p>
      <w:pPr>
        <w:pStyle w:val="Body Text"/>
        <w:spacing w:before="200"/>
        <w:ind w:left="796" w:right="15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30,[REDACTED], or Fiscals[REDACTED],[REDACTED] and[REDACTED],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Some of our manufacturing facilities and our Corporate Office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t>Some of our properties, including manufacturing facilities and our Corporate Office are leased by us. Our manufacturing facility at Unit 3 located at Chakan, Pune, Maharashtra, is on a leasehold basis for a period of three years with effect from August 2,[REDACTED].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rPr>
          <w:rStyle w:val="Hyperlink.4"/>
          <w:rtl w:val="0"/>
          <w:lang w:val="en-US"/>
        </w:rPr>
      </w:r>
      <w:r>
        <w:rPr>
          <w:rStyle w:val="Hyperlink.5"/>
          <w:rtl w:val="0"/>
          <w:lang w:val="en-US"/>
        </w:rPr>
      </w: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r>
        <w:t>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r/>
    </w:p>
    <w:p>
      <w:pPr>
        <w:pStyle w:val="Body Text"/>
        <w:spacing w:before="65"/>
        <w:ind w:left="808" w:right="15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to raise money from this Offer or any shortfall in the Offer proceeds may delay the implementation schedule and could adversely affect our growth plans. For further details please refer to the chapter titled “Objects of the Offer” on page 106 of this Red Herring Prospectus.</w:t>
      </w:r>
    </w:p>
    <w:p>
      <w:pPr>
        <w:pStyle w:val="Heading 4"/>
        <w:numPr>
          <w:ilvl w:val="0"/>
          <w:numId w:val="59"/>
        </w:numPr>
        <w:spacing w:before="201"/>
        <w:ind w:right="157"/>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t>A portion of the Net Proceeds may be utilised for repayment or prepayment of certain loan facilities availed by our Company.</w:t>
      </w:r>
    </w:p>
    <w:p>
      <w:pPr>
        <w:pStyle w:val="Body Text"/>
        <w:spacing w:before="200"/>
        <w:ind w:left="808" w:right="15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We propose to repay or pre-pay certain loan facilities availed by our Company from Bank from the Net Proceeds. For details, see “Objects of the Offer” on page 106.</w:t>
      </w:r>
    </w:p>
    <w:p>
      <w:pPr>
        <w:pStyle w:val="Body Text"/>
        <w:spacing w:before="200"/>
        <w:ind w:left="808" w:right="15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it-IT"/>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it-I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b w:val="1"/>
          <w:bCs w:val="1"/>
          <w:i w:val="1"/>
          <w:iCs w:val="1"/>
          <w:sz w:val="20"/>
          <w:szCs w:val="20"/>
          <w:rtl w:val="0"/>
          <w:lang w:val="en-US"/>
        </w:rPr>
      </w:r>
      <w:r>
        <w:rPr>
          <w:rStyle w:val="None"/>
          <w:b w:val="1"/>
          <w:bCs w:val="1"/>
          <w:i w:val="1"/>
          <w:iCs w:val="1"/>
          <w:spacing w:val="-1"/>
          <w:sz w:val="20"/>
          <w:szCs w:val="20"/>
          <w:rtl w:val="0"/>
          <w:lang w:val="en-US"/>
        </w:rPr>
      </w: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r>
        <w:t>the availability, terms and costs of 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None"/>
          <w:spacing w:val="-5"/>
          <w:sz w:val="20"/>
          <w:szCs w:val="20"/>
          <w:rtl w:val="0"/>
          <w:lang w:val="en-US"/>
        </w:rPr>
      </w:r>
      <w:r>
        <w:t>the grant of regulatory approvals; 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r>
        <w:t>general economic conditions in such markets.</w:t>
      </w:r>
    </w:p>
    <w:p>
      <w:pPr>
        <w:pStyle w:val="Body Text"/>
        <w:spacing w:before="199"/>
        <w:ind w:left="796" w:right="149" w:firstLine="0"/>
        <w:jc w:val="both"/>
      </w:pP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Our failure to keep our technical knowledge confidential could erode our competitive advantage.</w:t>
      </w:r>
    </w:p>
    <w:p>
      <w:pPr>
        <w:pStyle w:val="Body Text"/>
        <w:spacing w:before="199"/>
        <w:ind w:left="796" w:right="152"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30,[REDACTED] or Fiscals[REDACTED],[REDACTED] and[REDACTED],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r/>
    </w:p>
    <w:p>
      <w:pPr>
        <w:pStyle w:val="Heading 4"/>
        <w:numPr>
          <w:ilvl w:val="0"/>
          <w:numId w:val="63"/>
        </w:numPr>
        <w:spacing w:before="67"/>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Our Company has availed unsecured loans from financial institutions which may be recalled on demand.</w:t>
      </w:r>
    </w:p>
    <w:p>
      <w:pPr>
        <w:pStyle w:val="Body Text"/>
        <w:spacing w:before="200"/>
        <w:ind w:left="796" w:right="153" w:firstLine="0"/>
        <w:jc w:val="both"/>
      </w:pP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As of October 31,[REDACTED], our Company has outstanding unsecured loans amounting to ₹[REDACTED]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t>We are led by our Individual Promoters Kushal Subbayya Hegde, Pushpa Kushal Hegde, Rajesh Kushal Hegde, Rohit Kushal Hegde and Rakhi Girija Shetty.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30,[REDACTED], and the Fiscals[REDACTED],[REDACTED] and[REDACTED], we cannot assure you that we would be effectively able to replace any loss of members of our senior management team or key managerial personnels in the future.</w:t>
      </w:r>
    </w:p>
    <w:p>
      <w:pPr>
        <w:pStyle w:val="Body Text"/>
        <w:spacing w:before="201"/>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The following table sets forth the attrition rate for KMPs, SMs and other employees, respectively, in the period/ Fiscals indicated:</w:t>
      </w:r>
    </w:p>
    <w:p>
      <w:pPr>
        <w:pStyle w:val="Body Text"/>
        <w:spacing w:before="4"/>
        <w:rPr>
          <w:rStyle w:val="Hyperlink.4"/>
          <w:sz w:val="17"/>
          <w:szCs w:val="17"/>
        </w:rPr>
      </w:pPr>
      <w: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r/>
    </w:p>
    <w:p>
      <w:pPr>
        <w:pStyle w:val="Body Text"/>
        <w:spacing w:before="1"/>
      </w:pPr>
      <w: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r/>
    </w:p>
    <w:p>
      <w:pPr>
        <w:pStyle w:val="Body Text"/>
        <w:spacing w:before="1"/>
      </w:pPr>
      <w:r/>
    </w:p>
    <w:p>
      <w:pPr>
        <w:pStyle w:val="Body"/>
        <w:ind w:left="796"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3"/>
          <w:sz w:val="20"/>
          <w:szCs w:val="20"/>
          <w:rtl w:val="0"/>
        </w:rPr>
      </w:r>
      <w:r>
        <w:t>For further details regarding the employees, see “Our Business – Human Resources” on page 235.</w:t>
      </w:r>
    </w:p>
    <w:p>
      <w:pPr>
        <w:pStyle w:val="Body Text"/>
        <w:spacing w:before="200"/>
        <w:ind w:left="796" w:right="15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r/>
    </w:p>
    <w:p>
      <w:pPr>
        <w:pStyle w:val="Body Text"/>
        <w:spacing w:before="65"/>
        <w:ind w:left="796" w:right="163" w:firstLine="0"/>
        <w:jc w:val="both"/>
      </w:pP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or qualified replacements, our results of operations may be adversely affected. For details of changes in our key management personnel, please see “Our Management” on page 250.</w:t>
      </w:r>
    </w:p>
    <w:p>
      <w:pPr>
        <w:pStyle w:val="Body Text"/>
        <w:spacing w:before="200"/>
        <w:ind w:left="796" w:right="15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Ajay Shriram Patil,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As a result, the Board of Directors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t>During the three-month period ended June 30,[REDACTED], and preceding three Fiscals, our Company has availed certain incentives such as Merchandise Exports from India Scheme (“MEIS”) and Remission of Duties or Taxes on Export of Products Scheme (“RoDTEP”). The table below sets forth details relating to government incentive schemes:</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r/>
    </w:p>
    <w:p>
      <w:pPr>
        <w:pStyle w:val="Body Text"/>
        <w:spacing w:before="1"/>
      </w:pPr>
      <w:r/>
    </w:p>
    <w:p>
      <w:pPr>
        <w:pStyle w:val="Body Text"/>
        <w:ind w:left="796" w:right="151" w:firstLine="0"/>
        <w:jc w:val="both"/>
      </w:pP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In relation to our upcoming projects, including in relation to, setting up of our Supa Facility, we expect to receive incentives from the Maharashtra State Government under the Maharashtra Industrial Policy,[REDACTED]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pPr>
        <w:pStyle w:val="Body Text"/>
        <w:spacing w:before="200"/>
        <w:ind w:left="796" w:right="151"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20,[REDACTED] bearing reference number 66/[REDACTED],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r/>
    </w:p>
    <w:p>
      <w:pPr>
        <w:pStyle w:val="Body Text"/>
        <w:spacing w:before="65"/>
        <w:ind w:left="796" w:right="163" w:firstLine="0"/>
        <w:jc w:val="both"/>
      </w:pPr>
      <w:r>
        <w:rPr>
          <w:rStyle w:val="Hyperlink.4"/>
          <w:rtl w:val="0"/>
          <w:lang w:val="en-US"/>
        </w:rPr>
      </w:r>
      <w:r>
        <w:t>with effect from February 5,[REDACTED]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We may be unable to adequately protect intellectual property that we use and may be subject to risks of infringement claims.</w:t>
      </w:r>
    </w:p>
    <w:p>
      <w:pPr>
        <w:pStyle w:val="Body Text"/>
        <w:spacing w:before="200"/>
        <w:ind w:left="796" w:right="155"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t>Our trademark “KSH” is also used by 18 other entities, including, (i) Waterloo Motors Private Limited; (ii) KSH Project Management Services Private Limited; (iii) KSH Infra Park 5 Private Limited; (iv) KSH Infra Park VI Private Limited; (v) KSH Distriparks Private Limited; (vi) KSH Integrated Logistics Private Limited; (vii) Kushal Motors 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 Park VIII Private Limited; (xv) Waterloo Industrial Park IX Private Limited; (xvi) Waterloo Industrial Park IX B Private Limited; (xvii) Waterloo Industrial Park IX A Private Limited; and (xviii) KSH Infra Park IV Private Limited (“Group Entities”). We have entered into consent and waiver letters each dated May 22,[REDACTED], respectively, and authorisation letter dated November 27,[REDACTED],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30,[REDACTED] or Fiscals[REDACTED],[REDACTED] and[REDACTED], we cannot assure you that such instances shall not occur in the future.</w:t>
      </w:r>
    </w:p>
    <w:p>
      <w:pPr>
        <w:pStyle w:val="Heading 4"/>
        <w:numPr>
          <w:ilvl w:val="0"/>
          <w:numId w:val="48"/>
        </w:numPr>
        <w:spacing w:before="201"/>
        <w:ind w:right="164"/>
        <w:jc w:val="left"/>
        <w:rPr>
          <w:lang w:val="en-US"/>
        </w:rPr>
      </w:pPr>
      <w:r>
        <w:rPr>
          <w:rStyle w:val="Hyperlink.4"/>
          <w:rtl w:val="0"/>
          <w:lang w:val="en-US"/>
        </w:rPr>
      </w: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r/>
    </w:p>
    <w:p>
      <w:pPr>
        <w:pStyle w:val="Body Text"/>
        <w:spacing w:before="4"/>
        <w:rPr>
          <w:rStyle w:val="Hyperlink.4"/>
          <w:sz w:val="2"/>
          <w:szCs w:val="2"/>
        </w:rPr>
      </w:pPr>
      <w: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r/>
    </w:p>
    <w:p>
      <w:pPr>
        <w:pStyle w:val="Body"/>
        <w:spacing w:before="4"/>
        <w:ind w:left="808" w:right="148" w:firstLine="0"/>
        <w:jc w:val="both"/>
        <w:rPr>
          <w:rStyle w:val="Hyperlink.8"/>
        </w:rPr>
      </w:pPr>
      <w:r>
        <w:rPr>
          <w:rStyle w:val="None"/>
          <w:sz w:val="16"/>
          <w:szCs w:val="16"/>
          <w:vertAlign w:val="superscript"/>
          <w:rtl w:val="0"/>
        </w:rPr>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t>* Assets represent Fixed Assets including Capital Work in Progress and Inventory and excluding Freehold Land and Leasehold Land, Intangibles, 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r>
        <w:t>** Insurance policies do not include Marine Insurance, Transit Insurance and Burglary Policies.</w:t>
      </w:r>
    </w:p>
    <w:p>
      <w:pPr>
        <w:pStyle w:val="Body Text"/>
        <w:spacing w:before="12"/>
        <w:rPr>
          <w:rStyle w:val="None"/>
          <w:i w:val="1"/>
          <w:iCs w:val="1"/>
          <w:sz w:val="16"/>
          <w:szCs w:val="16"/>
        </w:rPr>
      </w:pPr>
      <w:r/>
    </w:p>
    <w:p>
      <w:pPr>
        <w:pStyle w:val="Body Text"/>
        <w:ind w:left="796" w:right="151"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30,[REDACTED], and Fiscal[REDACTED],[REDACTED], and[REDACTED]. However, our Company has recently made one insurance claim aggregating to ₹2.94 million on January 14,[REDACTED],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r>
      <w:r>
        <w:rPr>
          <w:rStyle w:val="None"/>
          <w:spacing w:val="-1"/>
          <w:rtl w:val="0"/>
          <w:lang w:val="en-US"/>
        </w:rPr>
      </w:r>
      <w:r>
        <w:rPr>
          <w:rStyle w:val="Hyperlink.4"/>
          <w:rtl w:val="0"/>
          <w:lang w:val="en-US"/>
        </w:rPr>
      </w: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rPr>
          <w:rStyle w:val="Hyperlink.4"/>
          <w:rtl w:val="0"/>
          <w:lang w:val="en-US"/>
        </w:rPr>
      </w:r>
      <w:r>
        <w:rPr>
          <w:rStyle w:val="Hyperlink.4"/>
          <w:rtl w:val="0"/>
          <w:lang w:val="en-US"/>
        </w:rPr>
      </w:r>
      <w:r>
        <w:rPr>
          <w:rStyle w:val="Hyperlink.4"/>
          <w:rtl w:val="0"/>
          <w:lang w:val="en-US"/>
        </w:rPr>
      </w:r>
      <w:r>
        <w:t>As at June 30,[REDACTED],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r/>
    </w:p>
    <w:p>
      <w:pPr>
        <w:pStyle w:val="Body"/>
        <w:spacing w:before="182"/>
        <w:ind w:left="796" w:right="151" w:firstLine="0"/>
        <w:jc w:val="both"/>
        <w:rPr>
          <w:rStyle w:val="None"/>
          <w:sz w:val="20"/>
          <w:szCs w:val="20"/>
        </w:rPr>
      </w:pP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rPr>
      </w:r>
      <w:r>
        <w:rPr>
          <w:rStyle w:val="None"/>
          <w:spacing w:val="-11"/>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de-DE"/>
        </w:rPr>
      </w:r>
      <w:r>
        <w:rPr>
          <w:rStyle w:val="None"/>
          <w:spacing w:val="-5"/>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rPr>
          <w:rStyle w:val="Hyperlink.4"/>
          <w:rtl w:val="0"/>
          <w:lang w:val="en-US"/>
        </w:rPr>
      </w:r>
      <w: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 Text"/>
        <w:spacing w:before="200"/>
        <w:ind w:left="796" w:right="15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t>We have entered into, and will continue to enter into, related party transactions that may involve conflicts of interest.</w:t>
      </w:r>
    </w:p>
    <w:p>
      <w:pPr>
        <w:pStyle w:val="Body Text"/>
        <w:spacing w:before="200"/>
        <w:ind w:left="796" w:right="147" w:firstLine="0"/>
        <w:jc w:val="both"/>
      </w:pP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in the past entered into transactions with several related parties. For details regarding our related party transactions for the Fiscals[REDACTED],[REDACTED],[REDACTED] and for the three-month period ended June 30,[REDACTED],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Act,[REDACTED]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Promoters and members of our Promoter Group will continue to hold a significant equity stake in our Company after the Offer and their interests may differ from those of the other shareholders.</w:t>
      </w:r>
    </w:p>
    <w:p>
      <w:pPr>
        <w:pStyle w:val="Body Text"/>
        <w:spacing w:before="201"/>
        <w:ind w:left="796" w:right="153" w:firstLine="0"/>
        <w:jc w:val="both"/>
      </w:pP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As on the date of this Red Herring Prospectus, our Promoters and members of the Promoter Group collectively hold[REDACTED]%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 4"/>
        <w:numPr>
          <w:ilvl w:val="0"/>
          <w:numId w:val="48"/>
        </w:numPr>
        <w:spacing w:before="198"/>
        <w:ind w:right="165"/>
        <w:jc w:val="left"/>
        <w:rPr>
          <w:lang w:val="en-US"/>
        </w:rPr>
      </w:pPr>
      <w:r>
        <w:rPr>
          <w:rStyle w:val="Hyperlink.4"/>
          <w:rtl w:val="0"/>
          <w:lang w:val="en-US"/>
        </w:rPr>
      </w:r>
      <w:r>
        <w:rPr>
          <w:rStyle w:val="None"/>
          <w:spacing w:val="-1"/>
          <w:rtl w:val="0"/>
          <w:lang w:val="en-US"/>
        </w:rPr>
      </w:r>
      <w:r>
        <w:rPr>
          <w:rStyle w:val="Hyperlink.5"/>
          <w:rtl w:val="0"/>
          <w:lang w:val="en-US"/>
        </w:rPr>
      </w:r>
      <w:r>
        <w:t>Technological failures could disrupt our operations and adversely affect our business operations and financial performance.</w:t>
      </w:r>
    </w:p>
    <w:p>
      <w:pPr>
        <w:pStyle w:val="Body Text"/>
        <w:spacing w:before="201"/>
        <w:ind w:left="796" w:right="15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20,[REDACTED],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30,[REDACTED], or Fiscals[REDACTED],[REDACTED] and[REDACTED],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r/>
    </w:p>
    <w:p>
      <w:pPr>
        <w:pStyle w:val="Heading 4"/>
        <w:numPr>
          <w:ilvl w:val="0"/>
          <w:numId w:val="69"/>
        </w:numPr>
        <w:spacing w:before="65"/>
        <w:ind w:right="164"/>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variation in the utilization of the Net Proceeds as disclosed in this 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Act,[REDACTED]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We may be susceptible to liabilities arising from violation of applicable anti-bribery and anti-corruption laws.</w:t>
      </w:r>
    </w:p>
    <w:p>
      <w:pPr>
        <w:pStyle w:val="Body Text"/>
        <w:spacing w:before="199"/>
        <w:ind w:left="796" w:right="14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ability to pay dividends in the future will depend on our future cash flows, working capital requirements, capital expenditures and financial condition.</w:t>
      </w:r>
    </w:p>
    <w:p>
      <w:pPr>
        <w:pStyle w:val="Body Text"/>
        <w:spacing w:before="200"/>
        <w:ind w:left="808" w:right="14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disclosures related to the educational qualifications of certain of our Promoters in this Red Herring Prospectus are based on declarations, affidavits, and undertakings furnished by them.</w:t>
      </w:r>
    </w:p>
    <w:p>
      <w:pPr>
        <w:pStyle w:val="Body Text"/>
        <w:spacing w:before="200"/>
        <w:ind w:left="796" w:right="155"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t>Our Promoter, Chairman and Executive Director, Kushal Subbayya Hegde,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r/>
    </w:p>
    <w:p>
      <w:pPr>
        <w:pStyle w:val="Body Text"/>
        <w:spacing w:before="65"/>
        <w:ind w:left="796" w:right="14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pPr>
        <w:pStyle w:val="Heading 4"/>
        <w:numPr>
          <w:ilvl w:val="0"/>
          <w:numId w:val="70"/>
        </w:numPr>
        <w:spacing w:before="201"/>
        <w:ind w:right="160"/>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Company will not receive any proceeds from the Offer for Sale. Our Promoter Selling Shareholders will 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The Offer comprises of a Fresh Issue and an Offer for Sale by the Promoter Selling Shareholders. Our Promoter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pPr>
        <w:pStyle w:val="Heading 2"/>
        <w:spacing w:before="67" w:line="448" w:lineRule="auto"/>
        <w:ind w:left="3478" w:right="3545" w:firstLine="0"/>
      </w:pPr>
      <w:bookmarkStart w:name="_bookmark6" w:id="5"/>
      <w:bookmarkEnd w:id="5"/>
      <w:r>
        <w:rPr>
          <w:rStyle w:val="Hyperlink.4"/>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r>
        <w:t>SECTION III – INTRODUCTION THE OFFER</w:t>
      </w:r>
    </w:p>
    <w:p>
      <w:pPr>
        <w:pStyle w:val="Body Tex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The following table summarizes details of the Offer:</w:t>
      </w:r>
    </w:p>
    <w:p>
      <w:pPr>
        <w:pStyle w:val="Body Text"/>
        <w:spacing w:before="3" w:after="1"/>
        <w:rPr>
          <w:rStyle w:val="Hyperlink.4"/>
          <w:sz w:val="17"/>
          <w:szCs w:val="17"/>
        </w:rPr>
      </w:pPr>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r/>
    </w:p>
    <w:p>
      <w:pPr>
        <w:pStyle w:val="Body"/>
        <w:tabs>
          <w:tab w:val="left" w:pos="448"/>
        </w:tabs>
        <w:spacing w:before="14" w:line="230" w:lineRule="exact"/>
        <w:ind w:left="88" w:firstLine="0"/>
        <w:rPr>
          <w:rStyle w:val="Hyperlink.8"/>
        </w:rPr>
      </w:pPr>
      <w:r>
        <w:rPr>
          <w:rStyle w:val="None"/>
          <w:i w:val="1"/>
          <w:iCs w:val="1"/>
          <w:spacing w:val="-10"/>
          <w:sz w:val="20"/>
          <w:szCs w:val="20"/>
          <w:rtl w:val="0"/>
        </w:rPr>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r>
        <w:t>*</w:t>
        <w:tab/>
        <w:t>To be updated upon finalization of the Offer 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The Offer has been authorized pursuant to the resolution passed by our Board dated May 6,[REDACTED]. The Fresh Issue has been authorized by our Shareholders by a special resolution dated May 6,[REDACTED]. Further, our Board has taken on record the consents of the Promoter Selling Shareholders to participate in the Offer for Sale pursuant to its resolution dated May 6,[REDACTED] and IPO Committee has taken on record further updated consents of the Promoter Selling Shareholders pursuant to its resolutions dated May 22,[REDACTED] and December 6,[REDACTED], respectively.</w:t>
      </w:r>
    </w:p>
    <w:p>
      <w:pPr>
        <w:pStyle w:val="Body Text"/>
        <w:spacing w:before="15"/>
        <w:rPr>
          <w:rStyle w:val="None"/>
          <w:i w:val="1"/>
          <w:iCs w:val="1"/>
          <w:sz w:val="16"/>
          <w:szCs w:val="16"/>
        </w:rPr>
      </w:pPr>
      <w: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r>
        <w:t>Our Promoter Selling Shareholders have confirmed and authorised their participation in the Offer for Sale as set out below:</w:t>
      </w:r>
    </w:p>
    <w:p>
      <w:pPr>
        <w:pStyle w:val="Body Text"/>
        <w:spacing w:before="3"/>
        <w:rPr>
          <w:rStyle w:val="None"/>
          <w:i w:val="1"/>
          <w:iCs w:val="1"/>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r/>
    </w:p>
    <w:p>
      <w:pPr>
        <w:pStyle w:val="Body Text"/>
        <w:spacing w:before="1"/>
        <w:rPr>
          <w:rStyle w:val="None"/>
          <w:i w:val="1"/>
          <w:iCs w:val="1"/>
          <w:sz w:val="16"/>
          <w:szCs w:val="16"/>
        </w:rPr>
      </w:pPr>
      <w: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r>
        <w:t>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p>
    <w:p>
      <w:pPr>
        <w:pStyle w:val="Body Text"/>
        <w:spacing w:before="16"/>
        <w:rPr>
          <w:rStyle w:val="Hyperlink.4"/>
          <w:sz w:val="16"/>
          <w:szCs w:val="16"/>
        </w:rPr>
      </w:pPr>
      <w: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t>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Rules,[REDACTED], the Allotment for the valid Bids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t>Our Company, in consultation with the BRLMs, may allocate up to 60% of the QIB Portion to Anchor Investors on a discretionary basis in accordance with the SEBI ICDR Regulations. 40% of the Anchor Investor Portion shall be reserved in the following manner (i)[REDACTED]%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pPr>
        <w:pStyle w:val="Body Text"/>
        <w:spacing w:before="15"/>
        <w:rPr>
          <w:rStyle w:val="None"/>
          <w:i w:val="1"/>
          <w:iCs w:val="1"/>
          <w:sz w:val="16"/>
          <w:szCs w:val="16"/>
        </w:rPr>
      </w:pPr>
      <w:r/>
    </w:p>
    <w:p>
      <w:pPr>
        <w:pStyle w:val="Body"/>
        <w:ind w:left="88" w:right="152"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t>For further details including in relation to grounds for rejection of Bids, see “Offer Structure”, “Offer Procedure” and “Terms of the Offer” on pages 417, 420 and 411.</w:t>
      </w:r>
    </w:p>
    <w:p>
      <w:pPr>
        <w:pStyle w:val="Body"/>
        <w:sectPr>
          <w:headerReference w:type="default" r:id="rId131"/>
          <w:footerReference w:type="default" r:id="rId132"/>
          <w:pgSz w:w="11920" w:h="16840" w:orient="portrait"/>
          <w:pgMar w:top="1100" w:right="566" w:bottom="280" w:left="992" w:header="0" w:footer="0"/>
          <w:bidi w:val="0"/>
        </w:sectPr>
      </w:pPr>
      <w:r/>
    </w:p>
    <w:p>
      <w:pPr>
        <w:pStyle w:val="Heading 2"/>
        <w:spacing w:before="67"/>
        <w:ind w:left="7" w:right="72" w:firstLine="0"/>
      </w:pPr>
      <w:bookmarkStart w:name="_bookmark8" w:id="7"/>
      <w:bookmarkEnd w:id="7"/>
      <w:r>
        <w:rPr>
          <w:rStyle w:val="Hyperlink.4"/>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r>
        <w:t>SUMMARY FINANCIAL 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t>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280 and 356, respectively.</w:t>
      </w:r>
    </w:p>
    <w:p>
      <w:pPr>
        <w:pStyle w:val="Body Text"/>
        <w:rPr>
          <w:rStyle w:val="None"/>
          <w:i w:val="1"/>
          <w:iCs w:val="1"/>
        </w:rPr>
      </w:pPr>
      <w:r/>
    </w:p>
    <w:p>
      <w:pPr>
        <w:pStyle w:val="Body Text"/>
        <w:spacing w:before="170"/>
        <w:rPr>
          <w:rStyle w:val="None"/>
          <w:i w:val="1"/>
          <w:iCs w:val="1"/>
        </w:rPr>
      </w:pPr>
      <w:r/>
    </w:p>
    <w:p>
      <w:pPr>
        <w:pStyle w:val="Body"/>
        <w:ind w:left="3060" w:firstLine="0"/>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pacing w:val="-1"/>
          <w:sz w:val="20"/>
          <w:szCs w:val="20"/>
          <w:rtl w:val="0"/>
        </w:rPr>
      </w: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r/>
    </w:p>
    <w:p>
      <w:pPr>
        <w:pStyle w:val="Heading 2"/>
        <w:spacing w:before="67"/>
        <w:ind w:left="3479" w:right="3545" w:firstLine="0"/>
      </w:pPr>
      <w:bookmarkStart w:name="_bookmark9" w:id="8"/>
      <w:bookmarkEnd w:id="8"/>
      <w:r>
        <w:rPr>
          <w:rStyle w:val="Hyperlink.4"/>
          <w:rtl w:val="0"/>
        </w:rPr>
      </w:r>
      <w:r>
        <w:rPr>
          <w:rStyle w:val="Hyperlink.4"/>
          <w:rtl w:val="0"/>
          <w:lang w:val="de-DE"/>
        </w:rPr>
      </w:r>
      <w:r>
        <w:rPr>
          <w:rStyle w:val="None"/>
          <w:spacing w:val="0"/>
          <w:rtl w:val="0"/>
        </w:rPr>
      </w:r>
      <w:r>
        <w:rPr>
          <w:rStyle w:val="Hyperlink.5"/>
          <w:rtl w:val="0"/>
          <w:lang w:val="en-US"/>
        </w:rPr>
      </w:r>
      <w:r>
        <w:t>GENERAL INFORMATION</w:t>
      </w:r>
    </w:p>
    <w:p>
      <w:pPr>
        <w:pStyle w:val="Heading 3"/>
        <w:spacing w:before="0" w:line="430" w:lineRule="atLeast"/>
        <w:ind w:right="6992"/>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t>Registered Office of our Company KSH International Limited</w:t>
      </w:r>
    </w:p>
    <w:p>
      <w:pPr>
        <w:pStyle w:val="Body Text"/>
        <w:ind w:left="88" w:right="6992"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11/3, 11/4 and 11/5, Village Birdewadi Chakan, Taluka-Khed</w:t>
      </w:r>
    </w:p>
    <w:p>
      <w:pPr>
        <w:pStyle w:val="Body Text"/>
        <w:spacing w:line="228" w:lineRule="exact"/>
        <w:ind w:left="88" w:firstLine="0"/>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r>
        <w:t>Pune –[REDACTED]</w:t>
      </w:r>
    </w:p>
    <w:p>
      <w:pPr>
        <w:pStyle w:val="Body Text"/>
        <w:spacing w:before="1"/>
        <w:ind w:left="88" w:firstLine="0"/>
      </w:pPr>
      <w:r>
        <w:rPr>
          <w:rStyle w:val="Hyperlink.4"/>
          <w:rtl w:val="0"/>
          <w:lang w:val="en-US"/>
        </w:rPr>
      </w:r>
      <w:r>
        <w:rPr>
          <w:rStyle w:val="None"/>
          <w:spacing w:val="0"/>
          <w:rtl w:val="0"/>
          <w:lang w:val="en-US"/>
        </w:rPr>
      </w:r>
      <w:r>
        <w:rPr>
          <w:rStyle w:val="Hyperlink.5"/>
          <w:rtl w:val="0"/>
          <w:lang w:val="en-US"/>
        </w:rPr>
      </w:r>
      <w:r>
        <w:t>Maharashtra, India</w:t>
      </w:r>
    </w:p>
    <w:p>
      <w:pPr>
        <w:pStyle w:val="Body"/>
        <w:spacing w:before="199"/>
        <w:ind w:left="88" w:right="152"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For details of change in our registered office, see “History and Certain Corporate Matters – Changes in our Registered Office” on page 243.</w:t>
      </w:r>
    </w:p>
    <w:p>
      <w:pPr>
        <w:pStyle w:val="Heading 3"/>
        <w:spacing w:before="0" w:line="430" w:lineRule="atLeast"/>
        <w:ind w:right="6992"/>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t>Corporate Office of our Company KSH International Limited</w:t>
      </w:r>
    </w:p>
    <w:p>
      <w:pPr>
        <w:pStyle w:val="Body Text"/>
        <w:ind w:left="88" w:right="6992"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201, Tower-2, Montreal Business Centre Off Pallod Farms, Baner</w:t>
      </w:r>
    </w:p>
    <w:p>
      <w:pPr>
        <w:pStyle w:val="Body Text"/>
        <w:spacing w:before="1"/>
        <w:ind w:left="88" w:right="8746" w:firstLine="0"/>
      </w:pPr>
      <w:r>
        <w:rPr>
          <w:rStyle w:val="Hyperlink.4"/>
          <w:rtl w:val="0"/>
          <w:lang w:val="en-US"/>
        </w:rPr>
      </w:r>
      <w:r>
        <w:rPr>
          <w:rStyle w:val="None"/>
          <w:spacing w:val="0"/>
          <w:rtl w:val="0"/>
          <w:lang w:val="en-US"/>
        </w:rPr>
      </w:r>
      <w:r>
        <w:rPr>
          <w:rStyle w:val="Hyperlink.4"/>
          <w:rtl w:val="0"/>
          <w:lang w:val="en-US"/>
        </w:rPr>
      </w:r>
      <w:r>
        <w:t>Pune[REDACTED] Maharashtra, India</w:t>
      </w:r>
    </w:p>
    <w:p>
      <w:pPr>
        <w:pStyle w:val="Heading 3"/>
        <w:spacing w:before="201"/>
      </w:pP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5"/>
          <w:rtl w:val="0"/>
          <w:lang w:val="en-US"/>
        </w:rPr>
      </w:r>
      <w:r>
        <w:t>Company registration number and corporate identity 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r>
        <w:t>Registration number:[REDACTED]</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r>
        <w:t>Corporate identity number: U[REDACTED]PN[REDACTED]PLC[REDACTED]</w:t>
      </w:r>
    </w:p>
    <w:p>
      <w:pPr>
        <w:pStyle w:val="Heading 3"/>
        <w:spacing w:before="159"/>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it-IT"/>
        </w:rPr>
      </w:r>
      <w:r>
        <w:t>Address of the RoC</w:t>
      </w:r>
    </w:p>
    <w:p>
      <w:pPr>
        <w:pStyle w:val="Body Text"/>
        <w:spacing w:before="199"/>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Our Company is registered with the Registrar of Companies, Maharashtra at Pune, which is situated at the following address:</w:t>
      </w:r>
    </w:p>
    <w:p>
      <w:pPr>
        <w:pStyle w:val="Heading 3"/>
      </w:pPr>
      <w:r>
        <w:rPr>
          <w:rStyle w:val="Hyperlink.4"/>
          <w:rtl w:val="0"/>
          <w:lang w:val="it-IT"/>
        </w:rPr>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r>
        <w:t>Registrar of Companies, Maharashtra at Pune</w:t>
      </w:r>
    </w:p>
    <w:p>
      <w:pPr>
        <w:pStyle w:val="Body Text"/>
        <w:spacing w:before="199"/>
        <w:ind w:left="88" w:right="7924" w:firstLine="0"/>
      </w:pPr>
      <w:r>
        <w:rPr>
          <w:rStyle w:val="Hyperlink.4"/>
          <w:rtl w:val="0"/>
          <w:lang w:val="en-US"/>
        </w:rPr>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r>
        <w:t>PCNTDA Green Building Block A 1st and 2nd floor Near Akurdi Railway Station Akurdi, Pune –[REDACTED] Maharashtra, India</w:t>
      </w:r>
    </w:p>
    <w:p>
      <w:pPr>
        <w:pStyle w:val="Heading 3"/>
        <w:spacing w:before="202"/>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r>
        <w:t>Board of Directors of our Company</w:t>
      </w:r>
    </w:p>
    <w:p>
      <w:pPr>
        <w:pStyle w:val="Body Text"/>
        <w:spacing w:before="200"/>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r>
        <w:t>The following table sets out the brief details of our Board of Directors as on the date of this Red Herring Prospectus:</w:t>
      </w:r>
    </w:p>
    <w:p>
      <w:pPr>
        <w:pStyle w:val="Body Text"/>
        <w:spacing w:before="3"/>
        <w:rPr>
          <w:rStyle w:val="Hyperlink.4"/>
          <w:sz w:val="17"/>
          <w:szCs w:val="17"/>
        </w:rPr>
      </w:pPr>
      <w: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r/>
    </w:p>
    <w:p>
      <w:pPr>
        <w:pStyle w:val="Body Text"/>
        <w:spacing w:before="4"/>
      </w:pPr>
      <w:r/>
    </w:p>
    <w:p>
      <w:pPr>
        <w:pStyle w:val="Body"/>
        <w:ind w:left="88" w:firstLine="0"/>
        <w:rPr>
          <w:rStyle w:val="None"/>
          <w:sz w:val="20"/>
          <w:szCs w:val="20"/>
        </w:rPr>
      </w:pPr>
      <w:r>
        <w:rPr>
          <w:rStyle w:val="None"/>
          <w:sz w:val="20"/>
          <w:szCs w:val="20"/>
          <w:rtl w:val="0"/>
        </w:rPr>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r>
        <w:t>For brief profiles and further details of our Board of Directors,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r/>
    </w:p>
    <w:p>
      <w:pPr>
        <w:pStyle w:val="Heading 3"/>
        <w:spacing w:before="67"/>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r>
        <w:t>Company Secretary and Compliance Officer</w:t>
      </w:r>
    </w:p>
    <w:p>
      <w:pPr>
        <w:pStyle w:val="Body Text"/>
        <w:spacing w:line="430" w:lineRule="atLeast"/>
        <w:ind w:left="88" w:right="1092" w:firstLine="0"/>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Sarthak Malvadkar is our Company Secretary and Compliance Officer. His contact details are as set forth below: Gat No. 11/3, 11/4, 11/5, Village Birdewadi</w:t>
      </w:r>
    </w:p>
    <w:p>
      <w:pPr>
        <w:pStyle w:val="Body Text"/>
        <w:ind w:left="88" w:right="8220"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Taluka Khed, District Pune –[REDACTED]</w:t>
      </w:r>
    </w:p>
    <w:p>
      <w:pPr>
        <w:pStyle w:val="Body Text"/>
        <w:spacing w:line="228" w:lineRule="exact"/>
        <w:ind w:left="88" w:firstLine="0"/>
      </w:pPr>
      <w:r>
        <w:rPr>
          <w:rStyle w:val="Hyperlink.4"/>
          <w:rtl w:val="0"/>
          <w:lang w:val="en-US"/>
        </w:rPr>
      </w:r>
      <w:r>
        <w:rPr>
          <w:rStyle w:val="None"/>
          <w:spacing w:val="0"/>
          <w:rtl w:val="0"/>
          <w:lang w:val="en-US"/>
        </w:rPr>
      </w:r>
      <w:r>
        <w:rPr>
          <w:rStyle w:val="Hyperlink.5"/>
          <w:rtl w:val="0"/>
          <w:lang w:val="en-US"/>
        </w:rPr>
      </w:r>
      <w:r>
        <w:t>Maharashtra, India</w:t>
      </w:r>
    </w:p>
    <w:p>
      <w:pPr>
        <w:pStyle w:val="Body"/>
        <w:spacing w:before="1"/>
        <w:ind w:left="88" w:firstLine="0"/>
        <w:rPr>
          <w:rStyle w:val="None"/>
          <w:sz w:val="20"/>
          <w:szCs w:val="20"/>
        </w:rPr>
      </w:pPr>
      <w:r>
        <w:rPr>
          <w:rStyle w:val="None"/>
          <w:b w:val="1"/>
          <w:bCs w:val="1"/>
          <w:sz w:val="20"/>
          <w:szCs w:val="20"/>
          <w:rtl w:val="0"/>
          <w:lang w:val="it-IT"/>
        </w:rPr>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r>
        <w:t>Telephone: +[REDACTED]</w:t>
      </w:r>
    </w:p>
    <w:p>
      <w:pPr>
        <w:pStyle w:val="Body Text"/>
        <w:ind w:left="88" w:firstLine="0"/>
      </w:pPr>
      <w:r>
        <w:rPr>
          <w:rStyle w:val="None"/>
          <w:b w:val="1"/>
          <w:bCs w:val="1"/>
          <w:rtl w:val="0"/>
          <w:lang w:val="en-US"/>
        </w:rPr>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Heading 3"/>
      </w:pPr>
      <w:r>
        <w:rPr>
          <w:rStyle w:val="Hyperlink.4"/>
          <w:rtl w:val="0"/>
        </w:rPr>
      </w:r>
      <w:r>
        <w:rPr>
          <w:rStyle w:val="None"/>
          <w:spacing w:val="-7"/>
          <w:rtl w:val="0"/>
        </w:rPr>
      </w:r>
      <w:r>
        <w:rPr>
          <w:rStyle w:val="Hyperlink.5"/>
          <w:rtl w:val="0"/>
        </w:rPr>
      </w:r>
      <w:r>
        <w:t>Investor grievances</w:t>
      </w:r>
    </w:p>
    <w:p>
      <w:pPr>
        <w:pStyle w:val="Body Text"/>
        <w:spacing w:before="199"/>
        <w:ind w:left="88"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 Text"/>
        <w:spacing w:before="200"/>
        <w:ind w:left="88" w:right="162"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Book Running Lead Managers</w:t>
      </w:r>
    </w:p>
    <w:p>
      <w:pPr>
        <w:pStyle w:val="Body Text"/>
        <w:spacing w:before="5"/>
        <w:rPr>
          <w:rStyle w:val="None"/>
          <w:b w:val="1"/>
          <w:bCs w:val="1"/>
          <w:sz w:val="9"/>
          <w:szCs w:val="9"/>
        </w:rPr>
      </w:pPr>
      <w: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r/>
    </w:p>
    <w:p>
      <w:pPr>
        <w:pStyle w:val="Body"/>
        <w:spacing w:before="91"/>
        <w:ind w:left="117" w:firstLine="0"/>
        <w:rPr>
          <w:rStyle w:val="None"/>
          <w:b w:val="1"/>
          <w:bCs w:val="1"/>
          <w:sz w:val="20"/>
          <w:szCs w:val="20"/>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r>
        <w:t>Nuvama Wealth Management Limited</w:t>
      </w:r>
    </w:p>
    <w:p>
      <w:pPr>
        <w:pStyle w:val="Body Text"/>
        <w:ind w:left="117" w:right="1327"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[REDACTED], Wing A, Building No. 3 Inspire BKC G Block, Bandra Kurla Complex</w:t>
      </w:r>
    </w:p>
    <w:p>
      <w:pPr>
        <w:pStyle w:val="Body Text"/>
        <w:ind w:left="117" w:right="1579"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Bandra East, Mumbai –[REDACTED] Maharashtra, India</w:t>
      </w:r>
    </w:p>
    <w:p>
      <w:pPr>
        <w:pStyle w:val="Body"/>
        <w:ind w:left="117" w:right="2750" w:firstLine="0"/>
        <w:jc w:val="both"/>
        <w:rPr>
          <w:rStyle w:val="Hyperlink.9"/>
        </w:rPr>
      </w:pPr>
      <w:r>
        <w:rPr>
          <w:rStyle w:val="None"/>
          <w:b w:val="1"/>
          <w:bCs w:val="1"/>
          <w:sz w:val="20"/>
          <w:szCs w:val="20"/>
          <w:rtl w:val="0"/>
          <w:lang w:val="it-IT"/>
        </w:rPr>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t>Telephone: [REDACTED] Email: [REDACTED] Website: www.nuvama.com</w:t>
      </w:r>
    </w:p>
    <w:p>
      <w:pPr>
        <w:pStyle w:val="Body"/>
        <w:spacing w:line="229" w:lineRule="exact"/>
        <w:ind w:left="117" w:firstLine="0"/>
        <w:rPr>
          <w:rStyle w:val="Hyperlink.9"/>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r>
        <w:t>Investor grievance E-mail: [REDACTED]</w:t>
      </w:r>
    </w:p>
    <w:p>
      <w:pPr>
        <w:pStyle w:val="Body"/>
        <w:ind w:left="117" w:firstLine="0"/>
        <w:rPr>
          <w:rStyle w:val="Hyperlink.9"/>
        </w:rPr>
      </w:pP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r>
        <w:t>Contact person: Lokesh Shah/ Soumavo Sarkar</w:t>
      </w:r>
    </w:p>
    <w:p>
      <w:pPr>
        <w:pStyle w:val="Body"/>
        <w:ind w:left="117"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r>
        <w:t>SEBI registration no.: INM[REDACTED]</w:t>
      </w:r>
    </w:p>
    <w:p>
      <w:pPr>
        <w:pStyle w:val="Body"/>
        <w:spacing w:before="91"/>
        <w:ind w:left="117" w:right="1841" w:firstLine="0"/>
      </w:pPr>
      <w:r>
        <w:rPr>
          <w:rStyle w:val="Hyperlink.4"/>
          <w:rFonts w:ascii="Arial Unicode MS" w:cs="Arial Unicode MS" w:hAnsi="Arial Unicode MS" w:eastAsia="Arial Unicode MS"/>
          <w:b w:val="0"/>
          <w:bCs w:val="0"/>
          <w:i w:val="0"/>
          <w:iCs w:val="0"/>
        </w:rPr>
      </w:r>
      <w:r/>
    </w:p>
    <w:p>
      <w:pPr>
        <w:pStyle w:val="Body"/>
        <w:spacing w:before="91"/>
        <w:ind w:left="117" w:right="1841" w:firstLine="0"/>
        <w:rPr>
          <w:rStyle w:val="Hyperlink.9"/>
        </w:rPr>
      </w:pPr>
      <w:r>
        <w:rPr>
          <w:rStyle w:val="None"/>
          <w:b w:val="1"/>
          <w:bCs w:val="1"/>
          <w:sz w:val="20"/>
          <w:szCs w:val="20"/>
          <w:rtl w:val="0"/>
          <w:lang w:val="en-US"/>
        </w:rPr>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r>
        <w:t>ICICI Securities Limited ICICI Venture House Appasaheb Marathe Marg Prabhadevi, Mumbai –[REDACTED] Maharashtra, India</w:t>
      </w:r>
    </w:p>
    <w:p>
      <w:pPr>
        <w:pStyle w:val="Body"/>
        <w:ind w:left="117" w:right="1642"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r>
        <w:t>Telephone: [REDACTED] Email: [REDACTED] Website: www.icicisecurities.com Investor grievance E-mail: [REDACTED]</w:t>
      </w:r>
    </w:p>
    <w:p>
      <w:pPr>
        <w:pStyle w:val="Body"/>
        <w:spacing w:line="230" w:lineRule="exact"/>
        <w:ind w:left="117" w:firstLine="0"/>
        <w:rPr>
          <w:rStyle w:val="Hyperlink.9"/>
        </w:rPr>
      </w:pP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r>
        <w:t>Contact person: Kishan Rastogi/Abhijit Diwan</w:t>
      </w:r>
    </w:p>
    <w:p>
      <w:pPr>
        <w:pStyle w:val="Body"/>
        <w:ind w:left="117"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r>
        <w:t>SEBI registration no.: INM[REDACTED]</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r/>
    </w:p>
    <w:p>
      <w:pPr>
        <w:pStyle w:val="Body Text"/>
        <w:spacing w:before="1"/>
      </w:pPr>
      <w:r/>
    </w:p>
    <w:p>
      <w:pPr>
        <w:pStyle w:val="Heading 3"/>
        <w:spacing w:before="0"/>
      </w:pPr>
      <w:r>
        <w:rPr>
          <w:rStyle w:val="Hyperlink.4"/>
          <w:rtl w:val="0"/>
          <w:lang w:val="en-US"/>
        </w:rPr>
      </w:r>
      <w:r>
        <w:rPr>
          <w:rStyle w:val="None"/>
          <w:spacing w:val="0"/>
          <w:rtl w:val="0"/>
        </w:rPr>
      </w:r>
      <w:r>
        <w:rPr>
          <w:rStyle w:val="Hyperlink.4"/>
          <w:rtl w:val="0"/>
          <w:lang w:val="en-US"/>
        </w:rPr>
      </w:r>
      <w:r>
        <w:rPr>
          <w:rStyle w:val="None"/>
          <w:spacing w:val="0"/>
          <w:rtl w:val="0"/>
        </w:rPr>
      </w:r>
      <w:r>
        <w:rPr>
          <w:rStyle w:val="None"/>
          <w:i w:val="1"/>
          <w:iCs w:val="1"/>
          <w:rtl w:val="0"/>
          <w:lang w:val="pt-PT"/>
        </w:rPr>
      </w:r>
      <w:r>
        <w:rPr>
          <w:rStyle w:val="None"/>
          <w:i w:val="1"/>
          <w:iCs w:val="1"/>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Statement of inter-se allocation of responsibilities among the BRLMs</w:t>
      </w:r>
    </w:p>
    <w:p>
      <w:pPr>
        <w:pStyle w:val="Body Text"/>
        <w:spacing w:before="200"/>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The responsibilities and coordination by the BRLMs for various activities in the Offer are as follows:</w:t>
      </w:r>
    </w:p>
    <w:p>
      <w:pPr>
        <w:pStyle w:val="Body Text"/>
        <w:spacing w:before="3" w:after="1"/>
        <w:rPr>
          <w:rStyle w:val="Hyperlink.4"/>
          <w:sz w:val="17"/>
          <w:szCs w:val="17"/>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r/>
    </w:p>
    <w:p>
      <w:pPr>
        <w:pStyle w:val="Table Paragraph"/>
        <w:spacing w:line="186" w:lineRule="exact"/>
        <w:jc w:val="center"/>
        <w:sectPr>
          <w:type w:val="continuous"/>
          <w:pgSz w:w="11920" w:h="16840" w:orient="portrait"/>
          <w:pgMar w:top="120" w:right="566" w:bottom="280" w:left="992" w:header="0" w:footer="0"/>
          <w:bidi w:val="0"/>
        </w:sectPr>
      </w:pPr>
      <w:r/>
    </w:p>
    <w:p>
      <w:pPr>
        <w:pStyle w:val="Body Text"/>
        <w:spacing w:before="4"/>
        <w:rPr>
          <w:rStyle w:val="Hyperlink.4"/>
          <w:sz w:val="2"/>
          <w:szCs w:val="2"/>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r/>
    </w:p>
    <w:p>
      <w:pPr>
        <w:pStyle w:val="Heading 3"/>
        <w:spacing w:before="190"/>
      </w:pPr>
      <w:r>
        <w:rPr>
          <w:rStyle w:val="Hyperlink.4"/>
          <w:rtl w:val="0"/>
          <w:lang w:val="fr-FR"/>
        </w:rPr>
      </w:r>
      <w:r>
        <w:rPr>
          <w:rStyle w:val="None"/>
          <w:spacing w:val="0"/>
          <w:rtl w:val="0"/>
        </w:rPr>
      </w:r>
      <w:r>
        <w:rPr>
          <w:rStyle w:val="Hyperlink.5"/>
          <w:rtl w:val="0"/>
          <w:lang w:val="en-US"/>
        </w:rPr>
      </w:r>
      <w:r>
        <w:t>Syndicate Members</w:t>
      </w:r>
    </w:p>
    <w:p>
      <w:pPr>
        <w:pStyle w:val="Body"/>
        <w:spacing w:before="199"/>
        <w:ind w:left="88" w:firstLine="0"/>
        <w:rPr>
          <w:rStyle w:val="None"/>
          <w:b w:val="1"/>
          <w:bCs w:val="1"/>
          <w:sz w:val="20"/>
          <w:szCs w:val="20"/>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r>
        <w:t>Nuvama Wealth Management Limited</w:t>
      </w:r>
    </w:p>
    <w:p>
      <w:pPr>
        <w:pStyle w:val="Body Text"/>
        <w:spacing w:before="1"/>
        <w:ind w:left="88" w:right="7485"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[REDACTED], Wing A, Building No 3 Inspire BKC, G Block</w:t>
      </w:r>
    </w:p>
    <w:p>
      <w:pPr>
        <w:pStyle w:val="Body Text"/>
        <w:ind w:left="88" w:right="6992"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Bandra Kurla Complex, Bandra East Mumbai[REDACTED]</w:t>
      </w:r>
    </w:p>
    <w:p>
      <w:pPr>
        <w:pStyle w:val="Body Text"/>
        <w:ind w:left="88" w:firstLine="0"/>
      </w:pPr>
      <w:r>
        <w:rPr>
          <w:rStyle w:val="Hyperlink.4"/>
          <w:rtl w:val="0"/>
          <w:lang w:val="en-US"/>
        </w:rPr>
      </w:r>
      <w:r>
        <w:rPr>
          <w:rStyle w:val="None"/>
          <w:spacing w:val="0"/>
          <w:rtl w:val="0"/>
          <w:lang w:val="en-US"/>
        </w:rPr>
      </w:r>
      <w:r>
        <w:rPr>
          <w:rStyle w:val="Hyperlink.5"/>
          <w:rtl w:val="0"/>
          <w:lang w:val="en-US"/>
        </w:rPr>
      </w:r>
      <w:r>
        <w:t>Maharashtra, India</w:t>
      </w:r>
    </w:p>
    <w:p>
      <w:pPr>
        <w:pStyle w:val="Body"/>
        <w:ind w:left="88" w:firstLine="0"/>
        <w:rPr>
          <w:rStyle w:val="Hyperlink.9"/>
        </w:rPr>
      </w:pPr>
      <w:r>
        <w:rPr>
          <w:rStyle w:val="None"/>
          <w:b w:val="1"/>
          <w:b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r>
        <w:t>Telephone: +[REDACTED][REDACTED]</w:t>
      </w:r>
    </w:p>
    <w:p>
      <w:pPr>
        <w:pStyle w:val="Body Text"/>
        <w:spacing w:line="229" w:lineRule="exact"/>
        <w:ind w:left="88" w:firstLine="0"/>
      </w:pPr>
      <w:r>
        <w:rPr>
          <w:rStyle w:val="None"/>
          <w:b w:val="1"/>
          <w:bCs w:val="1"/>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 [REDACTED], and [REDACTED]</w:t>
      </w:r>
    </w:p>
    <w:p>
      <w:pPr>
        <w:pStyle w:val="Body"/>
        <w:spacing w:line="229" w:lineRule="exact"/>
        <w:ind w:left="88" w:firstLine="0"/>
        <w:rPr>
          <w:rStyle w:val="Hyperlink.9"/>
        </w:rPr>
      </w:pPr>
      <w:r>
        <w:rPr>
          <w:rStyle w:val="None"/>
          <w:b w:val="1"/>
          <w:bCs w:val="1"/>
          <w:sz w:val="20"/>
          <w:szCs w:val="20"/>
          <w:rtl w:val="0"/>
          <w:lang w:val="en-US"/>
        </w:rPr>
      </w:r>
      <w:r>
        <w:rPr>
          <w:rStyle w:val="Hyperlink.9"/>
          <w:rtl w:val="0"/>
        </w:rPr>
      </w:r>
      <w:r>
        <w:rPr>
          <w:rStyle w:val="None"/>
          <w:spacing w:val="-11"/>
          <w:sz w:val="20"/>
          <w:szCs w:val="20"/>
          <w:rtl w:val="0"/>
        </w:rPr>
      </w:r>
      <w:r>
        <w:rPr>
          <w:rStyle w:val="Hyperlink.10"/>
        </w:rPr>
      </w:r>
      <w:r>
        <w:rPr>
          <w:rStyle w:val="Hyperlink.10"/>
        </w:rPr>
      </w:r>
      <w:r>
        <w:rPr>
          <w:rStyle w:val="Hyperlink.10"/>
        </w:rPr>
      </w:r>
      <w:r>
        <w:rPr>
          <w:rStyle w:val="Hyperlink.10"/>
          <w:rtl w:val="0"/>
        </w:rPr>
      </w:r>
      <w:r>
        <w:rPr/>
      </w:r>
      <w:r>
        <w:t>Website: www.nuvama.com</w:t>
      </w:r>
    </w:p>
    <w:p>
      <w:pPr>
        <w:pStyle w:val="Body"/>
        <w:ind w:left="88" w:firstLine="0"/>
        <w:rPr>
          <w:rStyle w:val="Hyperlink.9"/>
        </w:rPr>
      </w:pP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r>
        <w:t>Contact Person: Prakash Boricha</w:t>
      </w:r>
    </w:p>
    <w:p>
      <w:pPr>
        <w:pStyle w:val="Body"/>
        <w:spacing w:before="1"/>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r>
        <w:t>SEBI Registration Number: INZ[REDACTED]</w:t>
      </w:r>
    </w:p>
    <w:p>
      <w:pPr>
        <w:pStyle w:val="Body Text"/>
        <w:spacing w:before="1"/>
      </w:pPr>
      <w:r/>
    </w:p>
    <w:p>
      <w:pPr>
        <w:pStyle w:val="Body"/>
        <w:ind w:left="88" w:right="7684" w:firstLine="0"/>
        <w:rPr>
          <w:rStyle w:val="Hyperlink.9"/>
        </w:rPr>
      </w:pPr>
      <w:r>
        <w:rPr>
          <w:rStyle w:val="None"/>
          <w:b w:val="1"/>
          <w:bCs w:val="1"/>
          <w:sz w:val="20"/>
          <w:szCs w:val="20"/>
          <w:rtl w:val="0"/>
          <w:lang w:val="en-US"/>
        </w:rPr>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r>
        <w:t>ICICI Securities Limited ICICI Venture House Appasaheb Marathe Marg Prabhadevi, Mumbai –[REDACTED] Maharashtra, India</w:t>
      </w:r>
    </w:p>
    <w:p>
      <w:pPr>
        <w:pStyle w:val="Body"/>
        <w:ind w:left="88" w:right="7485"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t>Telephone: [REDACTED] Email: [REDACTED] Website: www.icicisecurities.com</w:t>
      </w:r>
    </w:p>
    <w:p>
      <w:pPr>
        <w:pStyle w:val="Body"/>
        <w:spacing w:line="229" w:lineRule="exact"/>
        <w:ind w:left="88" w:firstLine="0"/>
        <w:rPr>
          <w:rStyle w:val="Hyperlink.9"/>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r>
        <w:t>Investor grievance E-mail: [REDACTED]</w:t>
      </w:r>
    </w:p>
    <w:p>
      <w:pPr>
        <w:pStyle w:val="Body"/>
        <w:ind w:left="88" w:firstLine="0"/>
        <w:rPr>
          <w:rStyle w:val="Hyperlink.9"/>
        </w:rPr>
      </w:pP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r>
        <w:t>Contact person: Kishan Rastogi/Abhijit Diwan</w:t>
      </w:r>
    </w:p>
    <w:p>
      <w:pPr>
        <w:pStyle w:val="Body"/>
        <w:sectPr>
          <w:headerReference w:type="default" r:id="rId139"/>
          <w:footerReference w:type="default" r:id="rId140"/>
          <w:pgSz w:w="11920" w:h="16840" w:orient="portrait"/>
          <w:pgMar w:top="1140" w:right="566" w:bottom="920" w:left="992" w:header="0" w:footer="0"/>
          <w:bidi w:val="0"/>
        </w:sectPr>
      </w:pPr>
      <w:r/>
    </w:p>
    <w:p>
      <w:pPr>
        <w:pStyle w:val="Body"/>
        <w:spacing w:before="65"/>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r>
        <w:t>SEBI registration no.: INM[REDACTED]</w:t>
      </w:r>
    </w:p>
    <w:p>
      <w:pPr>
        <w:pStyle w:val="Heading 3"/>
        <w:spacing w:before="31" w:line="430" w:lineRule="atLeast"/>
        <w:ind w:right="6005"/>
      </w:pP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r>
        <w:t>Legal Counsel to our Company as to Indian Law Trilegal</w:t>
      </w:r>
    </w:p>
    <w:p>
      <w:pPr>
        <w:pStyle w:val="Body Tex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One World Centre</w:t>
      </w:r>
    </w:p>
    <w:p>
      <w:pPr>
        <w:pStyle w:val="Body Text"/>
        <w:spacing w:before="1"/>
        <w:ind w:left="88" w:firstLine="0"/>
      </w:pP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r>
        <w:t>10th Floor, Tower 2A &amp; 2B</w:t>
      </w:r>
    </w:p>
    <w:p>
      <w:pPr>
        <w:pStyle w:val="Body Text"/>
        <w:ind w:left="88" w:right="6503"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Senapati Bapat Marg, Lower Parel (West) Mumbai –[REDACTED]</w:t>
      </w:r>
    </w:p>
    <w:p>
      <w:pPr>
        <w:pStyle w:val="Body Text"/>
        <w:spacing w:line="228" w:lineRule="exact"/>
        <w:ind w:left="88" w:firstLine="0"/>
      </w:pPr>
      <w:r>
        <w:rPr>
          <w:rStyle w:val="Hyperlink.4"/>
          <w:rtl w:val="0"/>
          <w:lang w:val="en-US"/>
        </w:rPr>
      </w:r>
      <w:r>
        <w:rPr>
          <w:rStyle w:val="None"/>
          <w:spacing w:val="0"/>
          <w:rtl w:val="0"/>
          <w:lang w:val="en-US"/>
        </w:rPr>
      </w:r>
      <w:r>
        <w:rPr>
          <w:rStyle w:val="Hyperlink.5"/>
          <w:rtl w:val="0"/>
          <w:lang w:val="en-US"/>
        </w:rPr>
      </w:r>
      <w:r>
        <w:t>Maharashtra, India</w:t>
      </w:r>
    </w:p>
    <w:p>
      <w:pPr>
        <w:pStyle w:val="Body"/>
        <w:ind w:left="88" w:firstLine="0"/>
        <w:rPr>
          <w:rStyle w:val="Hyperlink.9"/>
        </w:rPr>
      </w:pPr>
      <w:r>
        <w:rPr>
          <w:rStyle w:val="None"/>
          <w:b w:val="1"/>
          <w:bCs w:val="1"/>
          <w:sz w:val="20"/>
          <w:szCs w:val="20"/>
          <w:rtl w:val="0"/>
          <w:lang w:val="en-US"/>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r>
        <w:t>Email: [REDACTED]</w:t>
      </w:r>
    </w:p>
    <w:p>
      <w:pPr>
        <w:pStyle w:val="Body"/>
        <w:spacing w:before="1"/>
        <w:ind w:left="88" w:firstLine="0"/>
        <w:rPr>
          <w:rStyle w:val="Hyperlink.9"/>
        </w:rPr>
      </w:pPr>
      <w:r>
        <w:rPr>
          <w:rStyle w:val="None"/>
          <w:b w:val="1"/>
          <w:b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r>
        <w:t>Telephone: [REDACTED]</w:t>
      </w:r>
    </w:p>
    <w:p>
      <w:pPr>
        <w:pStyle w:val="Body Text"/>
        <w:spacing w:before="1"/>
      </w:pPr>
      <w:r/>
    </w:p>
    <w:p>
      <w:pPr>
        <w:pStyle w:val="Heading 3"/>
        <w:spacing w:before="0"/>
      </w:pP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r>
        <w:t>Registrar to the Offer</w:t>
      </w:r>
    </w:p>
    <w:p>
      <w:pPr>
        <w:pStyle w:val="Body"/>
        <w:spacing w:before="199"/>
        <w:ind w:left="88" w:right="6503" w:firstLine="0"/>
        <w:rPr>
          <w:rStyle w:val="Hyperlink.9"/>
        </w:rPr>
      </w:pPr>
      <w:r>
        <w:rPr>
          <w:rStyle w:val="None"/>
          <w:b w:val="1"/>
          <w:bCs w:val="1"/>
          <w:sz w:val="20"/>
          <w:szCs w:val="20"/>
          <w:rtl w:val="0"/>
          <w:lang w:val="en-US"/>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r>
        <w:t>MUFG Intime India Private Limited (Formerly Link Intime India Private Limited) C-101, Embassy 247</w:t>
      </w:r>
    </w:p>
    <w:p>
      <w:pPr>
        <w:pStyle w:val="Body Text"/>
        <w:ind w:left="88" w:right="7173" w:firstLine="0"/>
        <w:jc w:val="both"/>
      </w:pP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r>
        <w:t>1st Floor, L B S Marg, Vikhroli (West) Mumbai[REDACTED], (Maharashtra), India Telephone: [REDACTED]</w:t>
      </w:r>
    </w:p>
    <w:p>
      <w:pPr>
        <w:pStyle w:val="Body Text"/>
        <w:spacing w:before="1"/>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Body"/>
        <w:spacing w:line="229" w:lineRule="exact"/>
        <w:ind w:left="88" w:firstLine="0"/>
        <w:rPr>
          <w:rStyle w:val="Hyperlink.9"/>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r>
        <w:t>Investor grievance E-mail: [REDACTED]</w:t>
      </w:r>
    </w:p>
    <w:p>
      <w:pPr>
        <w:pStyle w:val="Body"/>
        <w:ind w:left="88" w:right="6992" w:firstLine="0"/>
        <w:rPr>
          <w:rStyle w:val="Hyperlink.9"/>
        </w:rPr>
      </w:pP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r>
        <w:t>Website: www.in.mpms.mufg.com Contact Person: Shanti Gopalkrishnan SEBI Registration No.: INR[REDACTED]</w:t>
      </w:r>
    </w:p>
    <w:p>
      <w:pPr>
        <w:pStyle w:val="Body Text"/>
        <w:spacing w:before="1"/>
        <w:ind w:left="88" w:firstLine="0"/>
      </w:pP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URL of SEBI website: www.sebi.gov.in/sebiweb/other/OtherAction.do?doRecognisedFpi=yes&amp;intmId=10</w:t>
      </w:r>
    </w:p>
    <w:p>
      <w:pPr>
        <w:pStyle w:val="Body Text"/>
        <w:ind w:left="88" w:firstLine="0"/>
      </w:pPr>
      <w:r>
        <w:rPr>
          <w:rStyle w:val="None"/>
          <w:b w:val="1"/>
          <w:bCs w:val="1"/>
          <w:rtl w:val="0"/>
          <w:lang w:val="en-US"/>
        </w:rPr>
      </w:r>
      <w:r>
        <w:rPr>
          <w:rStyle w:val="None"/>
          <w:b w:val="1"/>
          <w:bCs w:val="1"/>
          <w:spacing w:val="0"/>
          <w:rtl w:val="0"/>
          <w:lang w:val="en-US"/>
        </w:rPr>
      </w:r>
      <w:r>
        <w:rPr>
          <w:rStyle w:val="Hyperlink.5"/>
          <w:rtl w:val="0"/>
          <w:lang w:val="en-US"/>
        </w:rPr>
      </w:r>
      <w:r>
        <w:t>CIN: U[REDACTED]MH[REDACTED]PTC[REDACTED]</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r>
        <w:t>Bankers to the Offer Escrow Collection Bank HDFC Bank Limited</w:t>
      </w:r>
    </w:p>
    <w:p>
      <w:pPr>
        <w:pStyle w:val="Body Text"/>
        <w:ind w:left="88" w:right="6005"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HDFC Bank Limited, FIG-OPS Department – Lodha I Think Techno Campus, O-3 Level</w:t>
      </w:r>
    </w:p>
    <w:p>
      <w:pPr>
        <w:pStyle w:val="Body Text"/>
        <w:ind w:left="88" w:right="5111"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Next to Kanjurmarg Railway Station, Kanjurmarg (East) Mumbai –[REDACTED], Maharashtra, India</w:t>
      </w:r>
    </w:p>
    <w:p>
      <w:pPr>
        <w:pStyle w:val="Body Text"/>
        <w:ind w:left="88" w:firstLine="0"/>
      </w:pPr>
      <w:r>
        <w:rPr>
          <w:rStyle w:val="None"/>
          <w:b w:val="1"/>
          <w:bCs w:val="1"/>
          <w:rtl w:val="0"/>
          <w:lang w:val="en-US"/>
        </w:rPr>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Telephone: [REDACTED], [REDACTED] and [REDACTED]</w:t>
      </w:r>
    </w:p>
    <w:p>
      <w:pPr>
        <w:pStyle w:val="Body Text"/>
        <w:ind w:left="88" w:right="2223" w:firstLine="0"/>
      </w:pPr>
      <w:r>
        <w:rPr>
          <w:rStyle w:val="None"/>
          <w:b w:val="1"/>
          <w:bCs w:val="1"/>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t>Email: [REDACTED], [REDACTED] [REDACTED], [REDACTED], and [REDACTED] Website: www.hdfcbank.com</w:t>
      </w:r>
    </w:p>
    <w:p>
      <w:pPr>
        <w:pStyle w:val="Body Text"/>
        <w:spacing w:line="229" w:lineRule="exact"/>
        <w:ind w:left="88" w:firstLine="0"/>
      </w:pP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Contact Person: Eric Bacha/ Sachin Gawade/ Pravin Teli/ Siddharth Jadhav/ Tushar Gavankar</w:t>
      </w:r>
    </w:p>
    <w:p>
      <w:pPr>
        <w:pStyle w:val="Body"/>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spacing w:before="1"/>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L[REDACTED]MH[REDACTED]PLC[REDACTED]</w:t>
      </w:r>
    </w:p>
    <w:p>
      <w:pPr>
        <w:pStyle w:val="Body Text"/>
      </w:pPr>
      <w:r/>
    </w:p>
    <w:p>
      <w:pPr>
        <w:pStyle w:val="Body"/>
        <w:ind w:left="88" w:firstLine="0"/>
        <w:rPr>
          <w:rStyle w:val="None"/>
          <w:b w:val="1"/>
          <w:bCs w:val="1"/>
          <w:i w:val="1"/>
          <w:iCs w:val="1"/>
          <w:sz w:val="20"/>
          <w:szCs w:val="20"/>
        </w:rPr>
      </w:pPr>
      <w:r>
        <w:rPr>
          <w:rStyle w:val="None"/>
          <w:b w:val="1"/>
          <w:bCs w:val="1"/>
          <w:i w:val="1"/>
          <w:iCs w:val="1"/>
          <w:sz w:val="20"/>
          <w:szCs w:val="20"/>
          <w:rtl w:val="0"/>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r>
        <w:t>Public Offer Account Bank</w:t>
      </w:r>
    </w:p>
    <w:p>
      <w:pPr>
        <w:pStyle w:val="Heading 3"/>
        <w:spacing w:line="229" w:lineRule="exact"/>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ICICI Bank Limited</w:t>
      </w:r>
    </w:p>
    <w:p>
      <w:pPr>
        <w:pStyle w:val="Body Text"/>
        <w:spacing w:line="229" w:lineRule="exac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Capital Market Division</w:t>
      </w:r>
    </w:p>
    <w:p>
      <w:pPr>
        <w:pStyle w:val="Body"/>
        <w:ind w:left="88" w:right="7551" w:firstLine="0"/>
        <w:rPr>
          <w:rStyle w:val="Hyperlink.9"/>
        </w:rPr>
      </w:pPr>
      <w:r>
        <w:rPr>
          <w:rStyle w:val="Hyperlink.9"/>
          <w:rtl w:val="0"/>
        </w:rPr>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t>163, 5th Floor, H.T.Parekh Marg Backbay Reclamation Churchgate, Mumbai –[REDACTED] Telephone:[REDACTED] Email: [REDACTED] Website: www.icicibank.com Contact Person: Varun Badai</w:t>
      </w:r>
    </w:p>
    <w:p>
      <w:pPr>
        <w:pStyle w:val="Body"/>
        <w:spacing w:before="2"/>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L[REDACTED]GJ[REDACTED]PLC[REDACTED]</w:t>
      </w:r>
    </w:p>
    <w:p>
      <w:pPr>
        <w:pStyle w:val="Body Text"/>
        <w:sectPr>
          <w:headerReference w:type="default" r:id="rId141"/>
          <w:footerReference w:type="default" r:id="rId142"/>
          <w:pgSz w:w="11920" w:h="16840" w:orient="portrait"/>
          <w:pgMar w:top="1100" w:right="566" w:bottom="280" w:left="992" w:header="0" w:footer="0"/>
          <w:bidi w:val="0"/>
        </w:sectPr>
      </w:pPr>
      <w:r/>
    </w:p>
    <w:p>
      <w:pPr>
        <w:pStyle w:val="Heading 3"/>
        <w:spacing w:line="229" w:lineRule="exact"/>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HDFC Bank Limited</w:t>
      </w:r>
    </w:p>
    <w:p>
      <w:pPr>
        <w:pStyle w:val="Body Text"/>
        <w:ind w:left="88" w:right="6005"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HDFC Bank Limited, FIG-OPS Department – Lodha I Think Techno Campus, O-3 Level</w:t>
      </w:r>
    </w:p>
    <w:p>
      <w:pPr>
        <w:pStyle w:val="Body Text"/>
        <w:ind w:left="88" w:right="5111"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Next to Kanjurmarg Railway Station, Kanjurmarg (East) Mumbai –[REDACTED], Maharashtra, India</w:t>
      </w:r>
    </w:p>
    <w:p>
      <w:pPr>
        <w:pStyle w:val="Body Text"/>
        <w:spacing w:before="1"/>
        <w:ind w:left="88" w:firstLine="0"/>
      </w:pPr>
      <w:r>
        <w:rPr>
          <w:rStyle w:val="None"/>
          <w:b w:val="1"/>
          <w:bCs w:val="1"/>
          <w:rtl w:val="0"/>
          <w:lang w:val="en-US"/>
        </w:rPr>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Telephone: [REDACTED], [REDACTED] and [REDACTED]</w:t>
      </w:r>
    </w:p>
    <w:p>
      <w:pPr>
        <w:pStyle w:val="Body Text"/>
        <w:ind w:left="88" w:right="2223" w:firstLine="0"/>
      </w:pPr>
      <w:r>
        <w:rPr>
          <w:rStyle w:val="None"/>
          <w:b w:val="1"/>
          <w:bCs w:val="1"/>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t>Email: [REDACTED], [REDACTED] [REDACTED], [REDACTED], and [REDACTED] Website: www.hdfcbank.com</w:t>
      </w:r>
    </w:p>
    <w:p>
      <w:pPr>
        <w:pStyle w:val="Body Text"/>
        <w:spacing w:line="229" w:lineRule="exact"/>
        <w:ind w:left="88" w:firstLine="0"/>
      </w:pP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Contact Person: Eric Bacha/ Sachin Gawade/ Pravin Teli/ Siddharth Jadhav/ Tushar Gavankar</w:t>
      </w:r>
    </w:p>
    <w:p>
      <w:pPr>
        <w:pStyle w:val="Body"/>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spacing w:before="1"/>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L[REDACTED]MH[REDACTED]PLC[REDACTED]</w:t>
      </w:r>
    </w:p>
    <w:p>
      <w:pPr>
        <w:pStyle w:val="Body Text"/>
      </w:pPr>
      <w: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pacing w:val="-1"/>
          <w:sz w:val="20"/>
          <w:szCs w:val="20"/>
          <w:rtl w:val="0"/>
        </w:rPr>
      </w:r>
      <w:r>
        <w:t>Sponsor Banks</w:t>
      </w:r>
    </w:p>
    <w:p>
      <w:pPr>
        <w:pStyle w:val="Heading 3"/>
        <w:spacing w:before="199" w:line="229" w:lineRule="exact"/>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ICICI Bank Limited</w:t>
      </w:r>
    </w:p>
    <w:p>
      <w:pPr>
        <w:pStyle w:val="Body Text"/>
        <w:spacing w:line="229" w:lineRule="exac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Capital Market Division</w:t>
      </w:r>
    </w:p>
    <w:p>
      <w:pPr>
        <w:pStyle w:val="Body"/>
        <w:spacing w:before="1"/>
        <w:ind w:left="88" w:right="7551" w:firstLine="0"/>
        <w:rPr>
          <w:rStyle w:val="Hyperlink.9"/>
        </w:rPr>
      </w:pPr>
      <w:r>
        <w:rPr>
          <w:rStyle w:val="Hyperlink.9"/>
          <w:rtl w:val="0"/>
        </w:rPr>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t>163, 5th Floor, H.T.Parekh Marg Backbay Reclamation Churchgate, Mumbai –[REDACTED] Telephone:[REDACTED] Email: [REDACTED] Website: www.icicibank.com Contact Person: Varun Badai</w:t>
      </w:r>
    </w:p>
    <w:p>
      <w:pPr>
        <w:pStyle w:val="Body"/>
        <w:spacing w:before="1"/>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L[REDACTED]GJ[REDACTED]PLC[REDACTED]</w:t>
      </w:r>
    </w:p>
    <w:p>
      <w:pPr>
        <w:pStyle w:val="Heading 3"/>
        <w:spacing w:before="229"/>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HDFC Bank Limited</w:t>
      </w:r>
    </w:p>
    <w:p>
      <w:pPr>
        <w:pStyle w:val="Body Text"/>
        <w:ind w:left="88" w:right="6005"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HDFC Bank Limited, FIG-OPS Department – Lodha I Think Techno Campus, O-3 Level</w:t>
      </w:r>
    </w:p>
    <w:p>
      <w:pPr>
        <w:pStyle w:val="Body Text"/>
        <w:spacing w:before="1"/>
        <w:ind w:left="88" w:right="5111"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Next to Kanjurmarg Railway Station, Kanjurmarg (East) Mumbai –[REDACTED], Maharashtra, India</w:t>
      </w:r>
    </w:p>
    <w:p>
      <w:pPr>
        <w:pStyle w:val="Body Text"/>
        <w:spacing w:before="1" w:line="229" w:lineRule="exact"/>
        <w:ind w:left="88" w:firstLine="0"/>
      </w:pPr>
      <w:r>
        <w:rPr>
          <w:rStyle w:val="None"/>
          <w:b w:val="1"/>
          <w:bCs w:val="1"/>
          <w:rtl w:val="0"/>
          <w:lang w:val="en-US"/>
        </w:rPr>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Telephone: [REDACTED], [REDACTED] and [REDACTED]</w:t>
      </w:r>
    </w:p>
    <w:p>
      <w:pPr>
        <w:pStyle w:val="Body Text"/>
        <w:ind w:left="88" w:right="2223" w:firstLine="0"/>
      </w:pPr>
      <w:r>
        <w:rPr>
          <w:rStyle w:val="None"/>
          <w:b w:val="1"/>
          <w:bCs w:val="1"/>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t>Email: [REDACTED], [REDACTED] [REDACTED], [REDACTED], and [REDACTED] Website: www.hdfcbank.com</w:t>
      </w:r>
    </w:p>
    <w:p>
      <w:pPr>
        <w:pStyle w:val="Body Text"/>
        <w:ind w:left="88" w:firstLine="0"/>
      </w:pP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Contact Person: Eric Bacha/ Sachin Gawade/ Pravin Teli/ Siddharth Jadhav/ Tushar Gavankar</w:t>
      </w:r>
    </w:p>
    <w:p>
      <w:pPr>
        <w:pStyle w:val="Body"/>
        <w:spacing w:before="1" w:line="229" w:lineRule="exact"/>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spacing w:line="229" w:lineRule="exact"/>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L[REDACTED]MH[REDACTED]PLC[REDACTED]</w:t>
      </w:r>
    </w:p>
    <w:p>
      <w:pPr>
        <w:pStyle w:val="Body Text"/>
      </w:pPr>
      <w:r/>
    </w:p>
    <w:p>
      <w:pPr>
        <w:pStyle w:val="Heading 3"/>
        <w:spacing w:before="1"/>
      </w:pPr>
      <w:r>
        <w:rPr>
          <w:rStyle w:val="Hyperlink.4"/>
          <w:rtl w:val="0"/>
          <w:lang w:val="en-US"/>
        </w:rPr>
      </w:r>
      <w:r>
        <w:rPr>
          <w:rStyle w:val="None"/>
          <w:spacing w:val="0"/>
          <w:rtl w:val="0"/>
        </w:rPr>
      </w:r>
      <w:r>
        <w:rPr>
          <w:rStyle w:val="Hyperlink.5"/>
          <w:rtl w:val="0"/>
          <w:lang w:val="es-ES_tradnl"/>
        </w:rPr>
      </w:r>
      <w:r>
        <w:t>Designated Intermediaries</w:t>
      </w:r>
    </w:p>
    <w:p>
      <w:pPr>
        <w:pStyle w:val="Heading 4"/>
        <w:spacing w:before="199"/>
        <w:ind w:left="88" w:firstLine="0"/>
        <w:jc w:val="left"/>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t>Self-Certified Syndicate 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w:t>
        <w:tab/>
        <w:t>Application</w:t>
        <w:tab/>
        <w:t>Forms,</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Eligible SCSBs and mobile applications enabled for UPI Mechanism</w:t>
      </w:r>
    </w:p>
    <w:p>
      <w:pPr>
        <w:pStyle w:val="Body Text"/>
        <w:spacing w:before="200"/>
        <w:ind w:left="88" w:right="157"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r/>
    </w:p>
    <w:p>
      <w:pPr>
        <w:pStyle w:val="Body Text"/>
        <w:spacing w:before="200"/>
        <w:ind w:left="88"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t>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w:t>
      </w:r>
    </w:p>
    <w:p>
      <w:pPr>
        <w:pStyle w:val="Heading 4"/>
        <w:ind w:left="88" w:firstLine="0"/>
      </w:pPr>
      <w:r>
        <w:rPr>
          <w:rStyle w:val="Hyperlink.4"/>
          <w:rtl w:val="0"/>
          <w:lang w:val="en-US"/>
        </w:rPr>
      </w:r>
      <w:r>
        <w:rPr>
          <w:rStyle w:val="None"/>
          <w:spacing w:val="0"/>
          <w:rtl w:val="0"/>
          <w:lang w:val="en-US"/>
        </w:rPr>
      </w:r>
      <w:r>
        <w:rPr>
          <w:rStyle w:val="Hyperlink.5"/>
          <w:rtl w:val="0"/>
          <w:lang w:val="en-US"/>
        </w:rPr>
      </w:r>
      <w:r>
        <w:t>Registered Brokers</w:t>
      </w:r>
    </w:p>
    <w:p>
      <w:pPr>
        <w:pStyle w:val="Body Text"/>
        <w:spacing w:before="200"/>
        <w:ind w:left="88" w:right="15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t>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Registrar and Share Transfer Agents</w:t>
      </w:r>
    </w:p>
    <w:p>
      <w:pPr>
        <w:pStyle w:val="Body Text"/>
        <w:tabs>
          <w:tab w:val="left" w:pos="9907"/>
        </w:tabs>
        <w:spacing w:before="200"/>
        <w:ind w:left="88" w:right="152" w:firstLine="0"/>
        <w:jc w:val="both"/>
      </w:pP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t>The list of the RTAs eligible to accept ASBA Forms at the Designated RTA Locations,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Collecting Depository Participants</w:t>
      </w:r>
    </w:p>
    <w:p>
      <w:pPr>
        <w:pStyle w:val="Body Text"/>
        <w:tabs>
          <w:tab w:val="left" w:pos="9905"/>
        </w:tabs>
        <w:spacing w:before="200"/>
        <w:ind w:left="88" w:right="15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t>The list of the CDPs eligible to accept ASBA Forms at the Designated CDP Locations, including details such as their name and contact details, is provided on the websites of the Stock Exchanges at https://www.bseindia.com/Static/PublicIssues/RtaDp.aspx</w:t>
        <w:tab/>
        <w:t>and</w:t>
      </w:r>
    </w:p>
    <w:p>
      <w:pPr>
        <w:pStyle w:val="Body Text"/>
        <w:spacing w:before="1"/>
        <w:ind w:left="88" w:firstLine="0"/>
        <w:jc w:val="both"/>
      </w:pPr>
      <w:r>
        <w:rPr>
          <w:rStyle w:val="Hyperlink.5"/>
        </w:rPr>
      </w:r>
      <w:r>
        <w:rPr>
          <w:rStyle w:val="Hyperlink.5"/>
        </w:rPr>
      </w:r>
      <w:r>
        <w:rPr>
          <w:rStyle w:val="Hyperlink.5"/>
        </w:rPr>
      </w:r>
      <w:r>
        <w:rPr>
          <w:rStyle w:val="Hyperlink.5"/>
          <w:rtl w:val="0"/>
          <w:lang w:val="en-US"/>
        </w:rPr>
      </w:r>
      <w:r>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t>https://www.nseindia.com/products/content/equities/ipos/asba_procedures.htm, respectively, as updated from time to time.</w:t>
      </w:r>
    </w:p>
    <w:p>
      <w:pPr>
        <w:pStyle w:val="Heading 3"/>
      </w:pPr>
      <w:r>
        <w:rPr>
          <w:rStyle w:val="Hyperlink.5"/>
          <w:rtl w:val="0"/>
          <w:lang w:val="nl-NL"/>
        </w:rPr>
      </w:r>
      <w:r>
        <w:t>Experts</w:t>
      </w:r>
    </w:p>
    <w:p>
      <w:pPr>
        <w:pStyle w:val="Body Text"/>
        <w:spacing w:before="199"/>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Except as stated below, our Company has not obtained any expert opinions:</w:t>
      </w:r>
    </w:p>
    <w:p>
      <w:pPr>
        <w:pStyle w:val="Body Text"/>
        <w:spacing w:before="200"/>
        <w:ind w:left="88"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t>Our Company has received the written consent dated November 27,[REDACTED] from our Statutory Auditors, Kirtane &amp; Pandit, LLP, Chartered Accountants, to include their name as required under section 26 (5) of the Companies Act,[REDACTED] read with SEBI ICDR Regulations, in this Red Herring Prospectus and as an “expert” as defined under section 2(38) of the Companies Act,[REDACTED], to the extent and in their capacity as our Statutory Auditors, and in respect of their (i) examination report dated October 18,[REDACTED] on the Restated Financial Statements; and (ii) the statement of special tax benefits available to the Company and its shareholders under the direct and indirect tax laws in India dated November 27,[REDACTED],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Our Company has received written consent dated November 27,[REDACTED] from Lalit Muljibhai Sarvaiya, to include their name as required under section 26 of the Companies Act,[REDACTED] read with SEBI ICDR Regulations, in this Red Herring Prospectus, and as an “expert” as defined under section 2(38) of the Companies Act,[REDACTED]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Our Company has received written consent dated December 10,[REDACTED] from Kanj &amp; Co. LLP, independent practicing company secretary, to include their name as required under Section 26 of the Companies Act,[REDACTED] in this Red Herring Prospectus and as an ‘expert’ as defined under Section 2(38) of Companies Act,[REDACTED] in respect of the certificate issued in their capacity as a practicing company secretary to our Company,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r/>
    </w:p>
    <w:p>
      <w:pPr>
        <w:pStyle w:val="Heading 3"/>
        <w:spacing w:before="67"/>
      </w:pP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r>
        <w:t>Statutory Auditors to our Company</w:t>
      </w:r>
    </w:p>
    <w:p>
      <w:pPr>
        <w:pStyle w:val="Body"/>
        <w:spacing w:before="200" w:line="229" w:lineRule="exact"/>
        <w:ind w:left="88" w:firstLine="0"/>
        <w:rPr>
          <w:rStyle w:val="None"/>
          <w:b w:val="1"/>
          <w:bCs w:val="1"/>
          <w:sz w:val="20"/>
          <w:szCs w:val="20"/>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r>
        <w:t>Kirtane &amp; Pandit, LLP, Chartered Accountants</w:t>
      </w:r>
    </w:p>
    <w:p>
      <w:pPr>
        <w:pStyle w:val="Body Text"/>
        <w:spacing w:line="229" w:lineRule="exact"/>
        <w:ind w:left="88" w:firstLine="0"/>
      </w:pP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t>5th Floor, Wing A, Gopal House</w:t>
      </w:r>
    </w:p>
    <w:p>
      <w:pPr>
        <w:pStyle w:val="Body Text"/>
        <w:spacing w:before="1"/>
        <w:ind w:left="88" w:right="8220"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S. No. 127/1B/1, Plot A1 Opp Harshal Hall Kothrud</w:t>
      </w:r>
    </w:p>
    <w:p>
      <w:pPr>
        <w:pStyle w:val="Body Text"/>
        <w:spacing w:before="1"/>
        <w:ind w:left="88" w:firstLine="0"/>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r>
        <w:t>Pune –[REDACTED]</w:t>
      </w:r>
    </w:p>
    <w:p>
      <w:pPr>
        <w:pStyle w:val="Body Text"/>
        <w:spacing w:line="229" w:lineRule="exact"/>
        <w:ind w:left="88" w:firstLine="0"/>
      </w:pPr>
      <w:r>
        <w:rPr>
          <w:rStyle w:val="Hyperlink.4"/>
          <w:rtl w:val="0"/>
          <w:lang w:val="en-US"/>
        </w:rPr>
      </w:r>
      <w:r>
        <w:rPr>
          <w:rStyle w:val="None"/>
          <w:spacing w:val="0"/>
          <w:rtl w:val="0"/>
          <w:lang w:val="en-US"/>
        </w:rPr>
      </w:r>
      <w:r>
        <w:rPr>
          <w:rStyle w:val="Hyperlink.5"/>
          <w:rtl w:val="0"/>
          <w:lang w:val="en-US"/>
        </w:rPr>
      </w:r>
      <w:r>
        <w:t>Maharashtra, India</w:t>
      </w:r>
    </w:p>
    <w:p>
      <w:pPr>
        <w:pStyle w:val="Body Text"/>
        <w:spacing w:line="229" w:lineRule="exact"/>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Body"/>
        <w:spacing w:before="1"/>
        <w:ind w:left="88" w:firstLine="0"/>
        <w:rPr>
          <w:rStyle w:val="Hyperlink.9"/>
        </w:rPr>
      </w:pPr>
      <w:r>
        <w:rPr>
          <w:rStyle w:val="None"/>
          <w:b w:val="1"/>
          <w:b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r>
        <w:t>Telephone: + 91[REDACTED]</w:t>
      </w:r>
    </w:p>
    <w:p>
      <w:pPr>
        <w:pStyle w:val="Body"/>
        <w:ind w:left="88" w:firstLine="0"/>
        <w:rPr>
          <w:rStyle w:val="Hyperlink.9"/>
        </w:rPr>
      </w:pP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Hyperlink.9"/>
          <w:rtl w:val="0"/>
        </w:rPr>
      </w:r>
      <w:r>
        <w:rPr>
          <w:rStyle w:val="None"/>
          <w:spacing w:val="-7"/>
          <w:sz w:val="20"/>
          <w:szCs w:val="20"/>
          <w:rtl w:val="0"/>
        </w:rPr>
      </w:r>
      <w:r>
        <w:rPr>
          <w:rStyle w:val="Hyperlink.9"/>
          <w:rtl w:val="0"/>
        </w:rPr>
      </w:r>
      <w:r>
        <w:rPr>
          <w:rStyle w:val="None"/>
          <w:spacing w:val="-7"/>
          <w:sz w:val="20"/>
          <w:szCs w:val="20"/>
          <w:rtl w:val="0"/>
        </w:rPr>
      </w:r>
      <w:r>
        <w:rPr>
          <w:rStyle w:val="Hyperlink.10"/>
          <w:rtl w:val="0"/>
        </w:rPr>
      </w:r>
      <w:r>
        <w:t>Firm registration number:[REDACTED]W/ W[REDACTED]</w:t>
      </w:r>
    </w:p>
    <w:p>
      <w:pPr>
        <w:pStyle w:val="Body"/>
        <w:spacing w:before="1"/>
        <w:ind w:left="88" w:firstLine="0"/>
        <w:rPr>
          <w:rStyle w:val="Hyperlink.9"/>
        </w:rPr>
      </w:pPr>
      <w:r>
        <w:rPr>
          <w:rStyle w:val="None"/>
          <w:b w:val="1"/>
          <w:bCs w:val="1"/>
          <w:sz w:val="20"/>
          <w:szCs w:val="20"/>
          <w:rtl w:val="0"/>
          <w:lang w:val="nl-NL"/>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r>
        <w:t>Peer review number:[REDACTED]</w:t>
      </w:r>
    </w:p>
    <w:p>
      <w:pPr>
        <w:pStyle w:val="Heading 3"/>
        <w:spacing w:before="199"/>
      </w:pP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r>
        <w:t>Changes in Auditors</w:t>
      </w:r>
    </w:p>
    <w:p>
      <w:pPr>
        <w:pStyle w:val="Body Text"/>
        <w:spacing w:before="200"/>
        <w:ind w:left="88" w:firstLine="0"/>
      </w:pP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t>Except as stated below, there has been no change in our statutory auditors in the three years preceding the date of this Red Herring Prospectus:</w:t>
      </w:r>
    </w:p>
    <w:p>
      <w:pPr>
        <w:pStyle w:val="Body Text"/>
        <w:spacing w:before="4"/>
        <w:rPr>
          <w:rStyle w:val="Hyperlink.4"/>
          <w:sz w:val="17"/>
          <w:szCs w:val="17"/>
        </w:rPr>
      </w:pPr>
      <w: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r/>
    </w:p>
    <w:p>
      <w:pPr>
        <w:pStyle w:val="Body Text"/>
        <w:spacing w:before="3"/>
        <w:rPr>
          <w:rStyle w:val="Hyperlink.4"/>
          <w:sz w:val="12"/>
          <w:szCs w:val="12"/>
        </w:rPr>
      </w:pPr>
      <w: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r/>
    </w:p>
    <w:p>
      <w:pPr>
        <w:pStyle w:val="Heading 3"/>
        <w:spacing w:before="91"/>
      </w:pP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r>
        <w:t>Bankers to our Company</w:t>
      </w:r>
    </w:p>
    <w:p>
      <w:pPr>
        <w:pStyle w:val="Body"/>
        <w:spacing w:before="199"/>
        <w:ind w:left="88" w:firstLine="0"/>
        <w:rPr>
          <w:rStyle w:val="None"/>
          <w:b w:val="1"/>
          <w:bCs w:val="1"/>
          <w:sz w:val="20"/>
          <w:szCs w:val="20"/>
        </w:rPr>
      </w:pPr>
      <w:r>
        <w:rPr>
          <w:rStyle w:val="None"/>
          <w:b w:val="1"/>
          <w:bCs w:val="1"/>
          <w:sz w:val="20"/>
          <w:szCs w:val="20"/>
          <w:rtl w:val="0"/>
        </w:rPr>
      </w:r>
      <w:r>
        <w:rPr>
          <w:rStyle w:val="None"/>
          <w:b w:val="1"/>
          <w:bCs w:val="1"/>
          <w:spacing w:val="-7"/>
          <w:sz w:val="20"/>
          <w:szCs w:val="20"/>
          <w:rtl w:val="0"/>
        </w:rPr>
      </w:r>
      <w:r>
        <w:rPr>
          <w:rStyle w:val="None"/>
          <w:b w:val="1"/>
          <w:bCs w:val="1"/>
          <w:spacing w:val="-3"/>
          <w:sz w:val="20"/>
          <w:szCs w:val="20"/>
          <w:rtl w:val="0"/>
        </w:rPr>
      </w:r>
      <w:r>
        <w:t>Citibank N.A.</w:t>
      </w:r>
    </w:p>
    <w:p>
      <w:pPr>
        <w:pStyle w:val="Body Text"/>
        <w:spacing w:before="1"/>
        <w:ind w:left="88" w:right="1776" w:firstLine="0"/>
      </w:pP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t>8th Floor, Onyx Tower North Main Road</w:t>
      </w:r>
    </w:p>
    <w:p>
      <w:pPr>
        <w:pStyle w:val="Body Text"/>
        <w:ind w:left="88" w:right="442"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Koregaon Park, Pune –[REDACTED] Maharashtra, India</w:t>
      </w:r>
    </w:p>
    <w:p>
      <w:pPr>
        <w:pStyle w:val="Body"/>
        <w:ind w:left="88" w:firstLine="0"/>
        <w:rPr>
          <w:rStyle w:val="Hyperlink.9"/>
        </w:rPr>
      </w:pPr>
      <w:r>
        <w:rPr>
          <w:rStyle w:val="None"/>
          <w:b w:val="1"/>
          <w:b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r>
        <w:t>Telephone: [REDACTED]</w:t>
      </w:r>
    </w:p>
    <w:p>
      <w:pPr>
        <w:pStyle w:val="Body"/>
        <w:ind w:left="88" w:firstLine="0"/>
        <w:rPr>
          <w:rStyle w:val="Hyperlink.9"/>
        </w:rPr>
      </w:pP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r>
        <w:t>Contact Person: Hitesh Ramani</w:t>
      </w:r>
    </w:p>
    <w:p>
      <w:pPr>
        <w:pStyle w:val="Body Text"/>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Website: http://commercialbanking.citibank.com</w:t>
      </w:r>
    </w:p>
    <w:p>
      <w:pPr>
        <w:pStyle w:val="Body Text"/>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Body Text"/>
      </w:pPr>
      <w:r>
        <w:rPr>
          <w:rStyle w:val="Hyperlink.4"/>
          <w:rFonts w:ascii="Arial Unicode MS" w:cs="Arial Unicode MS" w:hAnsi="Arial Unicode MS" w:eastAsia="Arial Unicode MS"/>
          <w:b w:val="0"/>
          <w:bCs w:val="0"/>
          <w:i w:val="0"/>
          <w:iCs w:val="0"/>
        </w:rPr>
      </w:r>
      <w:r/>
    </w:p>
    <w:p>
      <w:pPr>
        <w:pStyle w:val="Body Text"/>
      </w:pPr>
      <w:r/>
    </w:p>
    <w:p>
      <w:pPr>
        <w:pStyle w:val="Body Text"/>
        <w:spacing w:before="60"/>
      </w:pPr>
      <w:r/>
    </w:p>
    <w:p>
      <w:pPr>
        <w:pStyle w:val="Heading 3"/>
        <w:spacing w:before="0"/>
      </w:pPr>
      <w:r>
        <w:rPr>
          <w:rStyle w:val="Hyperlink.4"/>
          <w:rtl w:val="0"/>
          <w:lang w:val="de-DE"/>
        </w:rPr>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r>
        <w:t>Export-Import Bank of India</w:t>
      </w:r>
    </w:p>
    <w:p>
      <w:pPr>
        <w:pStyle w:val="Body Text"/>
        <w:spacing w:before="1"/>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401, 401(A), 401(B)</w:t>
      </w:r>
    </w:p>
    <w:p>
      <w:pPr>
        <w:pStyle w:val="Body Text"/>
        <w:spacing w:line="229" w:lineRule="exact"/>
        <w:ind w:left="88" w:firstLine="0"/>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r>
        <w:t>&amp; 402, 402(A), 402(B), 4th Floor</w:t>
      </w:r>
    </w:p>
    <w:p>
      <w:pPr>
        <w:pStyle w:val="Body Text"/>
        <w:ind w:left="88" w:right="2099"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Signature Building, Bhandarkar road Shivaji Nagar, Pune –[REDACTED] Maharashtra, India</w:t>
      </w:r>
    </w:p>
    <w:p>
      <w:pPr>
        <w:pStyle w:val="Body"/>
        <w:spacing w:before="1"/>
        <w:ind w:left="88" w:right="2479"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t>Telephone: [REDACTED] Contact Person: Chitra Raste Website: www.eximbankindia.in/ Email: [REDACTED]</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r/>
    </w:p>
    <w:p>
      <w:pPr>
        <w:pStyle w:val="Body Text"/>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rPr>
          <w:rStyle w:val="Hyperlink.4"/>
        </w:rPr>
      </w:r>
      <w:r/>
    </w:p>
    <w:p>
      <w:pPr>
        <w:pStyle w:val="Body"/>
        <w:spacing w:before="91"/>
        <w:ind w:left="88" w:right="648" w:firstLine="0"/>
        <w:rPr>
          <w:rStyle w:val="Hyperlink.9"/>
        </w:rPr>
      </w:pPr>
      <w:r>
        <w:rPr>
          <w:rStyle w:val="None"/>
          <w:b w:val="1"/>
          <w:bCs w:val="1"/>
          <w:sz w:val="20"/>
          <w:szCs w:val="20"/>
          <w:rtl w:val="0"/>
          <w:lang w:val="en-US"/>
        </w:rPr>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r>
        <w:t>IndusInd Bank Limited[REDACTED] Gen Thimmayya Road, Cantonment</w:t>
      </w:r>
    </w:p>
    <w:p>
      <w:pPr>
        <w:pStyle w:val="Body Text"/>
        <w:spacing w:before="1" w:line="229" w:lineRule="exact"/>
        <w:ind w:left="88" w:firstLine="0"/>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r>
        <w:t>Pune –[REDACTED]</w:t>
      </w:r>
    </w:p>
    <w:p>
      <w:pPr>
        <w:pStyle w:val="Body Text"/>
        <w:spacing w:line="229" w:lineRule="exact"/>
        <w:ind w:left="88" w:firstLine="0"/>
      </w:pPr>
      <w:r>
        <w:rPr>
          <w:rStyle w:val="Hyperlink.4"/>
          <w:rtl w:val="0"/>
          <w:lang w:val="en-US"/>
        </w:rPr>
      </w:r>
      <w:r>
        <w:rPr>
          <w:rStyle w:val="None"/>
          <w:spacing w:val="0"/>
          <w:rtl w:val="0"/>
          <w:lang w:val="en-US"/>
        </w:rPr>
      </w:r>
      <w:r>
        <w:rPr>
          <w:rStyle w:val="Hyperlink.5"/>
          <w:rtl w:val="0"/>
          <w:lang w:val="en-US"/>
        </w:rPr>
      </w:r>
      <w:r>
        <w:t>Maharashtra, India</w:t>
      </w:r>
    </w:p>
    <w:p>
      <w:pPr>
        <w:pStyle w:val="Body"/>
        <w:spacing w:before="1"/>
        <w:ind w:left="88" w:right="38"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t>Telephone: [REDACTED] Contact Person: Sharmila Joshi Website: www.indusind.com/ Email: [REDACTED]</w:t>
      </w:r>
    </w:p>
    <w:p>
      <w:pPr>
        <w:pStyle w:val="Heading 3"/>
        <w:spacing w:before="91"/>
      </w:pPr>
      <w:r>
        <w:rPr>
          <w:rStyle w:val="None"/>
          <w:rFonts w:ascii="Arial Unicode MS" w:cs="Arial Unicode MS" w:hAnsi="Arial Unicode MS" w:eastAsia="Arial Unicode MS"/>
          <w:b w:val="0"/>
          <w:bCs w:val="0"/>
          <w:i w:val="0"/>
          <w:iCs w:val="0"/>
        </w:rPr>
      </w:r>
      <w:r/>
    </w:p>
    <w:p>
      <w:pPr>
        <w:pStyle w:val="Heading 3"/>
        <w:spacing w:before="91"/>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ICICI Bank Limited</w:t>
      </w:r>
    </w:p>
    <w:p>
      <w:pPr>
        <w:pStyle w:val="Body Text"/>
        <w:spacing w:before="1"/>
        <w:ind w:left="88" w:right="959"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t>ICICI Bank, CBG, 3rd Floor, 362, Satguru House Next to Tanishq Showroom, CTS No. 30</w:t>
      </w:r>
    </w:p>
    <w:p>
      <w:pPr>
        <w:pStyle w:val="Body Text"/>
        <w:ind w:left="88" w:right="2250"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Bund Garden Road, Pune –[REDACTED] Maharashtra, India</w:t>
      </w:r>
    </w:p>
    <w:p>
      <w:pPr>
        <w:pStyle w:val="Body"/>
        <w:ind w:left="88" w:right="2250"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t>Telephone: +[REDACTED] Contact Person: Cherag Gyara Website: www.icicibank.com Email: [REDACTED]</w:t>
      </w:r>
    </w:p>
    <w:p>
      <w:pPr>
        <w:pStyle w:val="Body"/>
        <w:sectPr>
          <w:type w:val="continuous"/>
          <w:pgSz w:w="11920" w:h="16840" w:orient="portrait"/>
          <w:pgMar w:top="120" w:right="566" w:bottom="280" w:left="992" w:header="0" w:footer="0"/>
          <w:cols w:num="2" w:equalWidth="0">
            <w:col w:w="3530" w:space="2148"/>
            <w:col w:w="5960" w:space="0"/>
          </w:cols>
          <w:bidi w:val="0"/>
        </w:sectPr>
      </w:pPr>
      <w:r/>
    </w:p>
    <w:p>
      <w:pPr>
        <w:pStyle w:val="Heading 3"/>
        <w:spacing w:before="65"/>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HDFC Bank Limited</w:t>
      </w:r>
    </w:p>
    <w:p>
      <w:pPr>
        <w:pStyle w:val="Body Text"/>
        <w:ind w:left="88" w:right="627" w:firstLine="0"/>
      </w:pP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t>5th Floor, Marathon IT Park Bund Garden Road</w:t>
      </w:r>
    </w:p>
    <w:p>
      <w:pPr>
        <w:pStyle w:val="Body Text"/>
        <w:spacing w:before="2"/>
        <w:ind w:left="88" w:firstLine="0"/>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r>
        <w:t>Pune –[REDACTED]</w:t>
      </w:r>
    </w:p>
    <w:p>
      <w:pPr>
        <w:pStyle w:val="Body Text"/>
        <w:ind w:left="88" w:firstLine="0"/>
      </w:pPr>
      <w:r>
        <w:rPr>
          <w:rStyle w:val="Hyperlink.4"/>
          <w:rtl w:val="0"/>
          <w:lang w:val="en-US"/>
        </w:rPr>
      </w:r>
      <w:r>
        <w:rPr>
          <w:rStyle w:val="None"/>
          <w:spacing w:val="0"/>
          <w:rtl w:val="0"/>
          <w:lang w:val="en-US"/>
        </w:rPr>
      </w:r>
      <w:r>
        <w:rPr>
          <w:rStyle w:val="Hyperlink.5"/>
          <w:rtl w:val="0"/>
          <w:lang w:val="en-US"/>
        </w:rPr>
      </w:r>
      <w:r>
        <w:t>Maharashtra, India</w:t>
      </w:r>
    </w:p>
    <w:p>
      <w:pPr>
        <w:pStyle w:val="Body"/>
        <w:ind w:left="88" w:right="102"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t>Telephone: [REDACTED] Contact Person: Manisha Shukla Website: www.hdfcbank.com</w:t>
      </w:r>
    </w:p>
    <w:p>
      <w:pPr>
        <w:pStyle w:val="Body Text"/>
        <w:spacing w:line="229" w:lineRule="exact"/>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Heading 3"/>
        <w:spacing w:before="65"/>
      </w:pPr>
      <w:r>
        <w:rPr>
          <w:rStyle w:val="None"/>
          <w:rFonts w:ascii="Arial Unicode MS" w:cs="Arial Unicode MS" w:hAnsi="Arial Unicode MS" w:eastAsia="Arial Unicode MS"/>
          <w:b w:val="0"/>
          <w:bCs w:val="0"/>
          <w:i w:val="0"/>
          <w:iCs w:val="0"/>
        </w:rPr>
      </w:r>
      <w:r/>
    </w:p>
    <w:p>
      <w:pPr>
        <w:pStyle w:val="Heading 3"/>
        <w:spacing w:before="65"/>
      </w:pP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r>
        <w:t>State Bank of India, Industrial Finance Branch</w:t>
      </w:r>
    </w:p>
    <w:p>
      <w:pPr>
        <w:pStyle w:val="Body Text"/>
        <w:ind w:left="88" w:right="2099"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Tara Chambers, Mumbai-Pune Road, Wakdewadi</w:t>
      </w:r>
    </w:p>
    <w:p>
      <w:pPr>
        <w:pStyle w:val="Body Text"/>
        <w:spacing w:before="2"/>
        <w:ind w:left="88" w:firstLine="0"/>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r>
        <w:t>Pune –[REDACTED]</w:t>
      </w:r>
    </w:p>
    <w:p>
      <w:pPr>
        <w:pStyle w:val="Body Text"/>
        <w:ind w:left="88" w:firstLine="0"/>
      </w:pPr>
      <w:r>
        <w:rPr>
          <w:rStyle w:val="Hyperlink.4"/>
          <w:rtl w:val="0"/>
          <w:lang w:val="en-US"/>
        </w:rPr>
      </w:r>
      <w:r>
        <w:rPr>
          <w:rStyle w:val="None"/>
          <w:spacing w:val="0"/>
          <w:rtl w:val="0"/>
          <w:lang w:val="en-US"/>
        </w:rPr>
      </w:r>
      <w:r>
        <w:rPr>
          <w:rStyle w:val="Hyperlink.5"/>
          <w:rtl w:val="0"/>
          <w:lang w:val="en-US"/>
        </w:rPr>
      </w:r>
      <w:r>
        <w:t>Maharashtra, India</w:t>
      </w:r>
    </w:p>
    <w:p>
      <w:pPr>
        <w:pStyle w:val="Body"/>
        <w:ind w:left="88" w:right="2099"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t>Telephone: [REDACTED] Contact Person: Tushar Wakhele Website: www.sbi.co.in</w:t>
      </w:r>
    </w:p>
    <w:p>
      <w:pPr>
        <w:pStyle w:val="Body Text"/>
        <w:spacing w:line="229" w:lineRule="exact"/>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r/>
    </w:p>
    <w:p>
      <w:pPr>
        <w:pStyle w:val="Body Text"/>
        <w:spacing w:before="2"/>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rPr>
          <w:rStyle w:val="Hyperlink.4"/>
        </w:rPr>
      </w:r>
      <w:r/>
    </w:p>
    <w:p>
      <w:pPr>
        <w:pStyle w:val="Body Text"/>
        <w:spacing w:before="91"/>
        <w:ind w:left="88" w:right="498" w:firstLine="0"/>
      </w:pP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The Federal Bank Limited Ground Floor, Kubera Chambers Opp. Sancheti Hospital Shivajinagar, Pune – 41l 005 Maharashtra, India</w:t>
      </w:r>
    </w:p>
    <w:p>
      <w:pPr>
        <w:pStyle w:val="Body"/>
        <w:spacing w:line="230" w:lineRule="exact"/>
        <w:ind w:left="88" w:firstLine="0"/>
        <w:rPr>
          <w:rStyle w:val="Hyperlink.9"/>
        </w:rPr>
      </w:pPr>
      <w:r>
        <w:rPr>
          <w:rStyle w:val="None"/>
          <w:b w:val="1"/>
          <w:bCs w:val="1"/>
          <w:sz w:val="20"/>
          <w:szCs w:val="20"/>
          <w:rtl w:val="0"/>
          <w:lang w:val="en-US"/>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r>
        <w:t>Telephone: +[REDACTED][REDACTED]</w:t>
      </w:r>
    </w:p>
    <w:p>
      <w:pPr>
        <w:pStyle w:val="Body"/>
        <w:spacing w:before="1"/>
        <w:ind w:left="88" w:firstLine="0"/>
        <w:rPr>
          <w:rStyle w:val="Hyperlink.9"/>
        </w:rPr>
      </w:pP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r>
        <w:t>Contact Person: Ashish Mathew Pulloor</w:t>
      </w:r>
    </w:p>
    <w:p>
      <w:pPr>
        <w:pStyle w:val="Body"/>
        <w:spacing w:line="229" w:lineRule="exact"/>
        <w:ind w:left="88" w:firstLine="0"/>
        <w:rPr>
          <w:rStyle w:val="Hyperlink.9"/>
        </w:rPr>
      </w:pPr>
      <w:r>
        <w:rPr>
          <w:rStyle w:val="None"/>
          <w:b w:val="1"/>
          <w:bCs w:val="1"/>
          <w:sz w:val="20"/>
          <w:szCs w:val="20"/>
          <w:rtl w:val="0"/>
          <w:lang w:val="en-US"/>
        </w:rPr>
      </w:r>
      <w:r>
        <w:rPr>
          <w:rStyle w:val="Hyperlink.9"/>
          <w:rtl w:val="0"/>
        </w:rPr>
      </w:r>
      <w:r>
        <w:rPr>
          <w:rStyle w:val="None"/>
          <w:spacing w:val="-13"/>
          <w:sz w:val="20"/>
          <w:szCs w:val="20"/>
          <w:rtl w:val="0"/>
        </w:rPr>
      </w:r>
      <w:r>
        <w:rPr>
          <w:rStyle w:val="Hyperlink.10"/>
        </w:rPr>
      </w:r>
      <w:r>
        <w:rPr>
          <w:rStyle w:val="Hyperlink.10"/>
        </w:rPr>
      </w:r>
      <w:r>
        <w:rPr>
          <w:rStyle w:val="Hyperlink.10"/>
        </w:rPr>
      </w:r>
      <w:r>
        <w:rPr>
          <w:rStyle w:val="Hyperlink.10"/>
          <w:rtl w:val="0"/>
        </w:rPr>
      </w:r>
      <w:r>
        <w:rPr/>
      </w:r>
      <w:r>
        <w:t>Website: www.federalbank.co.in</w:t>
      </w:r>
    </w:p>
    <w:p>
      <w:pPr>
        <w:pStyle w:val="Body Text"/>
        <w:spacing w:line="229" w:lineRule="exact"/>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Heading 3"/>
        <w:spacing w:before="91"/>
      </w:pPr>
      <w:r>
        <w:rPr>
          <w:rStyle w:val="None"/>
          <w:rFonts w:ascii="Arial Unicode MS" w:cs="Arial Unicode MS" w:hAnsi="Arial Unicode MS" w:eastAsia="Arial Unicode MS"/>
          <w:b w:val="0"/>
          <w:bCs w:val="0"/>
          <w:i w:val="0"/>
          <w:iCs w:val="0"/>
        </w:rPr>
      </w:r>
      <w:r/>
    </w:p>
    <w:p>
      <w:pPr>
        <w:pStyle w:val="Heading 3"/>
        <w:spacing w:before="91"/>
      </w:pP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en-US"/>
        </w:rPr>
      </w:r>
      <w:r>
        <w:t>Bajaj Finance Limited</w:t>
      </w:r>
    </w:p>
    <w:p>
      <w:pPr>
        <w:pStyle w:val="Body Text"/>
        <w:spacing w:before="1" w:line="229" w:lineRule="exact"/>
        <w:ind w:left="88" w:firstLine="0"/>
      </w:pPr>
      <w:r>
        <w:rPr>
          <w:rStyle w:val="Hyperlink.4"/>
          <w:rtl w:val="0"/>
          <w:lang w:val="en-US"/>
        </w:rPr>
      </w:r>
      <w:r>
        <w:rPr>
          <w:rStyle w:val="None"/>
          <w:spacing w:val="0"/>
          <w:rtl w:val="0"/>
          <w:lang w:val="en-US"/>
        </w:rPr>
      </w:r>
      <w:r>
        <w:rPr>
          <w:rStyle w:val="Hyperlink.5"/>
          <w:rtl w:val="0"/>
          <w:lang w:val="en-US"/>
        </w:rPr>
      </w:r>
      <w:r>
        <w:t>The Capital</w:t>
      </w:r>
    </w:p>
    <w:p>
      <w:pPr>
        <w:pStyle w:val="Body Text"/>
        <w:ind w:left="88" w:right="3044"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Unit no.[REDACTED], B- wing BKC, Mumbai Maharashtra India</w:t>
      </w:r>
    </w:p>
    <w:p>
      <w:pPr>
        <w:pStyle w:val="Body"/>
        <w:ind w:left="88" w:right="2394"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t>Telephone: [REDACTED] Contact Person: Anand Soni Website: www.bajajfinance.com Email: [REDACTED]</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r/>
    </w:p>
    <w:p>
      <w:pPr>
        <w:pStyle w:val="Body Text"/>
      </w:pPr>
      <w:r/>
    </w:p>
    <w:p>
      <w:pPr>
        <w:pStyle w:val="Heading 3"/>
        <w:spacing w:befor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en-US"/>
        </w:rPr>
      </w:r>
      <w:r>
        <w:t>Grading of the Offer</w:t>
      </w:r>
    </w:p>
    <w:p>
      <w:pPr>
        <w:pStyle w:val="Body Text"/>
        <w:spacing w:before="200"/>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credit rating agency registered with SEBI has been appointed for obtaining grading for the Offer.</w:t>
      </w:r>
    </w:p>
    <w:p>
      <w:pPr>
        <w:pStyle w:val="Heading 3"/>
      </w:pPr>
      <w:r>
        <w:rPr>
          <w:rStyle w:val="Hyperlink.4"/>
          <w:rtl w:val="0"/>
          <w:lang w:val="en-US"/>
        </w:rPr>
      </w:r>
      <w:r>
        <w:rPr>
          <w:rStyle w:val="None"/>
          <w:spacing w:val="-10"/>
          <w:rtl w:val="0"/>
        </w:rPr>
      </w:r>
      <w:r>
        <w:rPr>
          <w:rStyle w:val="Hyperlink.5"/>
          <w:rtl w:val="0"/>
          <w:lang w:val="en-US"/>
        </w:rPr>
      </w:r>
      <w:r>
        <w:t>Appraising Entity</w:t>
      </w:r>
    </w:p>
    <w:p>
      <w:pPr>
        <w:pStyle w:val="Body Text"/>
        <w:spacing w:before="202"/>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appraising entity has been appointed in relation to the Offer.</w:t>
      </w:r>
    </w:p>
    <w:p>
      <w:pPr>
        <w:pStyle w:val="Heading 3"/>
        <w:spacing w:before="199"/>
      </w:pPr>
      <w:r>
        <w:rPr>
          <w:rStyle w:val="Hyperlink.4"/>
          <w:rtl w:val="0"/>
        </w:rPr>
      </w:r>
      <w:r>
        <w:rPr>
          <w:rStyle w:val="None"/>
          <w:spacing w:val="0"/>
          <w:rtl w:val="0"/>
        </w:rPr>
      </w:r>
      <w:r>
        <w:rPr>
          <w:rStyle w:val="Hyperlink.5"/>
          <w:rtl w:val="0"/>
          <w:lang w:val="en-US"/>
        </w:rPr>
      </w:r>
      <w:r>
        <w:t>Monitoring Agency</w:t>
      </w:r>
    </w:p>
    <w:p>
      <w:pPr>
        <w:pStyle w:val="Body Text"/>
        <w:spacing w:before="200"/>
        <w:ind w:left="88" w:right="154" w:firstLine="0"/>
        <w:jc w:val="both"/>
      </w:pP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As the size of the Fresh Issue exceeds ₹1,[REDACTED]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“Objects of the Offer” on page 106.</w:t>
      </w:r>
    </w:p>
    <w:p>
      <w:pPr>
        <w:pStyle w:val="Heading 3"/>
        <w:spacing w:before="201"/>
        <w:jc w:val="both"/>
      </w:pPr>
      <w:r>
        <w:rPr>
          <w:rStyle w:val="Hyperlink.4"/>
          <w:rtl w:val="0"/>
        </w:rPr>
      </w:r>
      <w:r>
        <w:rPr>
          <w:rStyle w:val="None"/>
          <w:spacing w:val="0"/>
          <w:rtl w:val="0"/>
        </w:rPr>
      </w:r>
      <w:r>
        <w:rPr>
          <w:rStyle w:val="Hyperlink.5"/>
          <w:rtl w:val="0"/>
          <w:lang w:val="en-US"/>
        </w:rPr>
      </w:r>
      <w:r>
        <w:t>Credit Rating</w:t>
      </w:r>
    </w:p>
    <w:p>
      <w:pPr>
        <w:pStyle w:val="Body Text"/>
        <w:spacing w:before="200"/>
        <w:ind w:left="8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As the Offer is of Equity Shares, credit rating is not required.</w:t>
      </w:r>
    </w:p>
    <w:p>
      <w:pPr>
        <w:pStyle w:val="Heading 3"/>
        <w:spacing w:before="199"/>
        <w:jc w:val="both"/>
      </w:pPr>
      <w:r>
        <w:rPr>
          <w:rStyle w:val="Hyperlink.4"/>
          <w:rtl w:val="0"/>
          <w:lang w:val="de-DE"/>
        </w:rPr>
      </w:r>
      <w:r>
        <w:rPr>
          <w:rStyle w:val="None"/>
          <w:spacing w:val="0"/>
          <w:rtl w:val="0"/>
        </w:rPr>
      </w:r>
      <w:r>
        <w:rPr>
          <w:rStyle w:val="Hyperlink.5"/>
          <w:rtl w:val="0"/>
        </w:rPr>
      </w:r>
      <w:r>
        <w:t>Debenture Trustee</w:t>
      </w:r>
    </w:p>
    <w:p>
      <w:pPr>
        <w:pStyle w:val="Body Text"/>
        <w:spacing w:before="200"/>
        <w:ind w:left="8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As the Offer is of Equity Shares, the appointment of trustee is not required.</w:t>
      </w:r>
    </w:p>
    <w:p>
      <w:pPr>
        <w:pStyle w:val="Heading 3"/>
        <w:jc w:val="both"/>
      </w:pPr>
      <w:r>
        <w:rPr>
          <w:rStyle w:val="Hyperlink.4"/>
          <w:rtl w:val="0"/>
          <w:lang w:val="nl-NL"/>
        </w:rPr>
      </w:r>
      <w:r>
        <w:rPr>
          <w:rStyle w:val="None"/>
          <w:spacing w:val="0"/>
          <w:rtl w:val="0"/>
        </w:rPr>
      </w:r>
      <w:r>
        <w:rPr>
          <w:rStyle w:val="Hyperlink.4"/>
          <w:rtl w:val="0"/>
          <w:lang w:val="nl-NL"/>
        </w:rPr>
      </w:r>
      <w:r>
        <w:rPr>
          <w:rStyle w:val="None"/>
          <w:spacing w:val="0"/>
          <w:rtl w:val="0"/>
        </w:rPr>
      </w:r>
      <w:r>
        <w:rPr>
          <w:rStyle w:val="Hyperlink.5"/>
          <w:rtl w:val="0"/>
          <w:lang w:val="en-US"/>
        </w:rPr>
      </w:r>
      <w:r>
        <w:t>Green Shoe Option</w:t>
      </w:r>
    </w:p>
    <w:p>
      <w:pPr>
        <w:pStyle w:val="Body Text"/>
        <w:spacing w:before="199"/>
        <w:ind w:left="8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green shoe option is contemplated under the Offer.</w:t>
      </w:r>
    </w:p>
    <w:p>
      <w:pPr>
        <w:pStyle w:val="Heading 3"/>
        <w:spacing w:before="202"/>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r>
        <w:t>Filing of the Draft Red Herring Prospectus</w:t>
      </w:r>
    </w:p>
    <w:p>
      <w:pPr>
        <w:pStyle w:val="Body Text"/>
        <w:spacing w:before="200"/>
        <w:ind w:left="88" w:right="151" w:firstLine="0"/>
        <w:jc w:val="both"/>
      </w:pPr>
      <w:r>
        <w:rPr>
          <w:rStyle w:val="Hyperlink.4"/>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 copy of the Draft Red Herring Prospectus has been filed through SEBI’s online intermediary portal at https://siportal.sebi.gov.in, as specified in Regulation 25(8) of the SEBI ICDR Regulations and in accordance with SEBI ICDR Master Circular. It has also been filed at:</w:t>
      </w:r>
    </w:p>
    <w:p>
      <w:pPr>
        <w:pStyle w:val="Heading 3"/>
        <w:spacing w:before="198"/>
        <w:jc w:val="both"/>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r>
        <w:t>Securities and Exchange Board of India</w:t>
      </w:r>
    </w:p>
    <w:p>
      <w:pPr>
        <w:pStyle w:val="Body Text"/>
        <w:spacing w:before="1"/>
        <w:ind w:left="88" w:right="5111"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t>Corporation Finance Department Division of Issues and Listing SEBI Bhavan, Plot No. C4 A, ‘G’ Block</w:t>
      </w:r>
    </w:p>
    <w:p>
      <w:pPr>
        <w:pStyle w:val="Body Text"/>
        <w:spacing w:before="1"/>
        <w:ind w:left="88" w:right="6992" w:firstLine="0"/>
      </w:pPr>
      <w:r>
        <w:rPr>
          <w:rStyle w:val="Hyperlink.4"/>
          <w:rtl w:val="0"/>
          <w:lang w:val="en-US"/>
        </w:rPr>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Bandra Kurla Complex, Bandra (E) Mumbai –[REDACTED], Maharashtra, India</w:t>
      </w:r>
    </w:p>
    <w:p>
      <w:pPr>
        <w:pStyle w:val="Heading 3"/>
      </w:pPr>
      <w:r>
        <w:rPr>
          <w:rStyle w:val="Hyperlink.4"/>
          <w:rtl w:val="0"/>
          <w:lang w:val="en-US"/>
        </w:rPr>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r>
        <w:t>Filing of this Red Herring Prospectus and Prospectus</w:t>
      </w:r>
    </w:p>
    <w:p>
      <w:pPr>
        <w:pStyle w:val="Body Text"/>
        <w:spacing w:before="199"/>
        <w:ind w:left="88" w:right="160"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 copy of this Red Herring Prospectus, along with the material contracts and documents required to be filed under Section 32 of the Companies Act, have been filed with the RoC at its office and a copy of the Prospectus to be filed under Section 26 of the Companies Act,[REDACTED],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r/>
    </w:p>
    <w:p>
      <w:pPr>
        <w:pStyle w:val="Heading 3"/>
        <w:spacing w:before="67"/>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pt-PT"/>
        </w:rPr>
      </w:r>
      <w:r>
        <w:t>Book Building Process</w:t>
      </w:r>
    </w:p>
    <w:p>
      <w:pPr>
        <w:pStyle w:val="Body Text"/>
        <w:spacing w:before="200"/>
        <w:ind w:left="88" w:right="15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pPr>
        <w:pStyle w:val="Body Text"/>
        <w:spacing w:before="199"/>
        <w:ind w:left="88" w:right="15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t>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(i)[REDACTED]% of the Anchor Investor Portion shall be reserved for domestic Mutual Funds; and</w:t>
      </w:r>
    </w:p>
    <w:p>
      <w:pPr>
        <w:pStyle w:val="Body Text"/>
        <w:ind w:left="88"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r>
      <w:r>
        <w:rPr>
          <w:rStyle w:val="None"/>
          <w:spacing w:val="-5"/>
          <w:sz w:val="20"/>
          <w:szCs w:val="20"/>
          <w:rtl w:val="0"/>
        </w:rPr>
      </w:r>
      <w:r>
        <w:rPr>
          <w:rStyle w:val="Hyperlink.9"/>
          <w:rtl w:val="0"/>
          <w:lang w:val="en-US"/>
        </w:rPr>
      </w:r>
      <w:r>
        <w:rPr>
          <w:rStyle w:val="None"/>
          <w:spacing w:val="-3"/>
          <w:sz w:val="20"/>
          <w:szCs w:val="20"/>
          <w:rtl w:val="0"/>
        </w:rPr>
      </w:r>
      <w:r>
        <w:rPr>
          <w:rStyle w:val="Hyperlink.9"/>
          <w:rtl w:val="0"/>
          <w:lang w:val="en-US"/>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9"/>
          <w:rtl w:val="0"/>
          <w:lang w:val="fr-FR"/>
        </w:rPr>
      </w:r>
      <w:r>
        <w:rPr>
          <w:rStyle w:val="None"/>
          <w:spacing w:val="-2"/>
          <w:sz w:val="20"/>
          <w:szCs w:val="2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10"/>
          <w:rtl w:val="0"/>
          <w:lang w:val="en-US"/>
        </w:rPr>
      </w:r>
      <w:r>
        <w:t>For further details, see “Terms of the Offer” and “Offer Procedure” on pages 411 and 420, 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t>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t>The Book Building Process under the SEBI ICDR Regulations and the Bidding process are subject to change from 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r>
        <w:t>Bidders should note that the Offer is also subject to (i) filing of the Prospectus by our Company with the RoC; and (ii) our Company obtaining final listing and trading approvals from the Stock Exchanges, which our Company shall apply for after Allotment.</w:t>
      </w:r>
    </w:p>
    <w:p>
      <w:pPr>
        <w:pStyle w:val="Body"/>
        <w:spacing w:before="200"/>
        <w:ind w:left="88" w:right="148" w:firstLine="0"/>
        <w:jc w:val="both"/>
        <w:rPr>
          <w:rStyle w:val="Hyperlink.9"/>
        </w:rPr>
      </w:pPr>
      <w:r>
        <w:rPr>
          <w:rStyle w:val="Hyperlink.9"/>
          <w:rtl w:val="0"/>
          <w:lang w:val="en-US"/>
        </w:rPr>
      </w:r>
      <w:r>
        <w:rPr>
          <w:rStyle w:val="Hyperlink.9"/>
          <w:rtl w:val="1"/>
          <w:lang w:val="ar-SA" w:bidi="ar-SA"/>
        </w:rPr>
      </w:r>
      <w:r>
        <w:rPr>
          <w:rStyle w:val="None"/>
          <w:i w:val="1"/>
          <w:iCs w:val="1"/>
          <w:sz w:val="20"/>
          <w:szCs w:val="20"/>
          <w:rtl w:val="0"/>
          <w:lang w:val="en-US"/>
        </w:rPr>
      </w:r>
      <w:r>
        <w:rPr>
          <w:rStyle w:val="Hyperlink.9"/>
          <w:rtl w:val="0"/>
        </w:rPr>
      </w:r>
      <w:r>
        <w:rPr>
          <w:rStyle w:val="Hyperlink.9"/>
          <w:rtl w:val="0"/>
          <w:lang w:val="en-US"/>
        </w:rPr>
      </w:r>
      <w:r>
        <w:rPr>
          <w:rStyle w:val="Hyperlink.9"/>
          <w:rtl w:val="1"/>
          <w:lang w:val="ar-SA" w:bidi="ar-SA"/>
        </w:rPr>
      </w:r>
      <w:r>
        <w:rPr>
          <w:rStyle w:val="None"/>
          <w:i w:val="1"/>
          <w:iCs w:val="1"/>
          <w:sz w:val="20"/>
          <w:szCs w:val="20"/>
          <w:rtl w:val="0"/>
          <w:lang w:val="de-DE"/>
        </w:rPr>
      </w:r>
      <w:r>
        <w:rPr>
          <w:rStyle w:val="Hyperlink.9"/>
          <w:rtl w:val="0"/>
        </w:rPr>
      </w:r>
      <w:r>
        <w:rPr>
          <w:rStyle w:val="Hyperlink.9"/>
          <w:rtl w:val="0"/>
          <w:lang w:val="en-US"/>
        </w:rPr>
      </w:r>
      <w:r>
        <w:t>For further details on the method and procedure for Bidding, see “Offer Procedure” and “Offer Structure” on pages 420 and 417, respectively.</w:t>
      </w:r>
    </w:p>
    <w:p>
      <w:pPr>
        <w:pStyle w:val="Heading 3"/>
        <w:jc w:val="both"/>
      </w:pPr>
      <w:r>
        <w:rPr>
          <w:rStyle w:val="Hyperlink.4"/>
          <w:rtl w:val="0"/>
          <w:lang w:val="en-US"/>
        </w:rPr>
      </w:r>
      <w:r>
        <w:rPr>
          <w:rStyle w:val="None"/>
          <w:spacing w:val="0"/>
          <w:rtl w:val="0"/>
        </w:rPr>
      </w:r>
      <w:r>
        <w:rPr>
          <w:rStyle w:val="Hyperlink.5"/>
          <w:rtl w:val="0"/>
          <w:lang w:val="en-US"/>
        </w:rPr>
      </w:r>
      <w:r>
        <w:t>Underwriting Agreement</w:t>
      </w:r>
    </w:p>
    <w:p>
      <w:pPr>
        <w:pStyle w:val="Body Text"/>
        <w:spacing w:before="200"/>
        <w:ind w:left="88" w:right="15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Underwriting Agreement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r>
      <w: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r/>
    </w:p>
    <w:p>
      <w:pPr>
        <w:pStyle w:val="Body Text"/>
        <w:spacing w:before="2"/>
        <w:rPr>
          <w:rStyle w:val="None"/>
          <w:i w:val="1"/>
          <w:iCs w:val="1"/>
        </w:rPr>
      </w:pPr>
      <w:r/>
    </w:p>
    <w:p>
      <w:pPr>
        <w:pStyle w:val="Body Text"/>
        <w:ind w:left="88" w:right="159" w:firstLine="0"/>
        <w:jc w:val="both"/>
      </w:pPr>
      <w:r>
        <w:rPr>
          <w:rStyle w:val="Hyperlink.4"/>
          <w:rtl w:val="0"/>
          <w:lang w:val="en-US"/>
        </w:rPr>
      </w:r>
      <w: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w:t>
      </w:r>
    </w:p>
    <w:p>
      <w:pPr>
        <w:pStyle w:val="Body Text"/>
        <w:spacing w:before="199"/>
        <w:ind w:left="88"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r/>
    </w:p>
    <w:p>
      <w:pPr>
        <w:pStyle w:val="Heading 2"/>
        <w:spacing w:before="67"/>
        <w:ind w:left="3480" w:right="3545" w:firstLine="0"/>
      </w:pPr>
      <w:bookmarkStart w:name="_bookmark10" w:id="9"/>
      <w:bookmarkEnd w:id="9"/>
      <w:r>
        <w:rPr>
          <w:rStyle w:val="Hyperlink.4"/>
          <w:rtl w:val="0"/>
        </w:rPr>
      </w:r>
      <w:r>
        <w:rPr>
          <w:rStyle w:val="Hyperlink.4"/>
          <w:rtl w:val="0"/>
        </w:rPr>
      </w:r>
      <w:r>
        <w:rPr>
          <w:rStyle w:val="None"/>
          <w:spacing w:val="0"/>
          <w:rtl w:val="0"/>
        </w:rPr>
      </w:r>
      <w:r>
        <w:rPr>
          <w:rStyle w:val="Hyperlink.5"/>
          <w:rtl w:val="0"/>
          <w:lang w:val="de-DE"/>
        </w:rPr>
      </w:r>
      <w:r>
        <w:t>CAPITAL STRUCTURE</w:t>
      </w:r>
    </w:p>
    <w:p>
      <w:pPr>
        <w:pStyle w:val="Body Text"/>
        <w:spacing w:before="200"/>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The share capital of our Company, as on the date of this Red Herring Prospectus, is set forth below:</w:t>
      </w:r>
    </w:p>
    <w:p>
      <w:pPr>
        <w:pStyle w:val="Body"/>
        <w:ind w:left="8444" w:firstLine="0"/>
        <w:rPr>
          <w:rStyle w:val="None"/>
          <w:i w:val="1"/>
          <w:iCs w:val="1"/>
          <w:sz w:val="18"/>
          <w:szCs w:val="18"/>
        </w:rPr>
      </w:pPr>
      <w:r>
        <w:rPr>
          <w:rStyle w:val="None"/>
          <w:i w:val="1"/>
          <w:iCs w:val="1"/>
          <w:sz w:val="18"/>
          <w:szCs w:val="18"/>
          <w:rtl w:val="0"/>
          <w:lang w:val="it-IT"/>
        </w:rPr>
      </w:r>
      <w:r>
        <w:rPr>
          <w:rStyle w:val="None"/>
          <w:i w:val="1"/>
          <w:iCs w:val="1"/>
          <w:spacing w:val="-3"/>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r>
        <w:t>(in ₹,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r/>
    </w:p>
    <w:p>
      <w:pPr>
        <w:pStyle w:val="Body"/>
        <w:tabs>
          <w:tab w:val="left" w:pos="448"/>
        </w:tabs>
        <w:spacing w:before="11"/>
        <w:ind w:left="88" w:firstLine="0"/>
        <w:rPr>
          <w:rStyle w:val="Hyperlink.8"/>
        </w:rPr>
      </w:pPr>
      <w:r>
        <w:rPr>
          <w:rStyle w:val="None"/>
          <w:i w:val="1"/>
          <w:iCs w:val="1"/>
          <w:spacing w:val="-10"/>
          <w:sz w:val="16"/>
          <w:szCs w:val="16"/>
          <w:vertAlign w:val="superscript"/>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r>
        <w:t>*</w:t>
        <w:tab/>
        <w:t>To be updated upon finalisation of the Offer Price, and subject to Basis of Allotment.</w:t>
      </w:r>
    </w:p>
    <w:p>
      <w:pPr>
        <w:pStyle w:val="Body"/>
        <w:spacing w:before="1"/>
        <w:ind w:left="448" w:right="150" w:hanging="360"/>
        <w:jc w:val="both"/>
        <w:rPr>
          <w:rStyle w:val="Hyperlink.8"/>
        </w:rPr>
      </w:pPr>
      <w:r>
        <w:rPr>
          <w:rStyle w:val="None"/>
          <w:i w:val="1"/>
          <w:iCs w:val="1"/>
          <w:sz w:val="16"/>
          <w:szCs w:val="16"/>
          <w:vertAlign w:val="superscript"/>
          <w:rtl w:val="0"/>
        </w:rPr>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t>(1)  For details in relation to the changes in the authorised share capital of our Company in the last 10 years, see “History and Certain Corporate Matters – Amendments to our Memorandum of Association in the last 10 years” on page 244.</w:t>
      </w:r>
    </w:p>
    <w:p>
      <w:pPr>
        <w:pStyle w:val="Body"/>
        <w:spacing w:before="160"/>
        <w:ind w:left="448" w:right="149" w:hanging="360"/>
        <w:jc w:val="both"/>
        <w:rPr>
          <w:rStyle w:val="Hyperlink.8"/>
        </w:rPr>
      </w:pPr>
      <w:r>
        <w:rPr>
          <w:rStyle w:val="None"/>
          <w:i w:val="1"/>
          <w:iCs w:val="1"/>
          <w:sz w:val="16"/>
          <w:szCs w:val="16"/>
          <w:vertAlign w:val="superscript"/>
          <w:rtl w:val="0"/>
        </w:rPr>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t>(2)  The Offer has been approved by our Board pursuant to the resolution passed at its meeting held on May 6,[REDACTED] and our Shareholders have authorized the Fresh Issue pursuant to a special resolution passed at their meeting held on May 6,[REDACTED]. Further, our Board has taken on record the consents of the Promoter Selling Shareholders to participate in the Offer for Sale pursuant to its resolution dated May 6,[REDACTED] and IPO Committee has taken on record further updated consents of the Promoter Selling Shareholders pursuant to its resolutions dated May 22,[REDACTED] and December 6,[REDACTED], respectively.</w:t>
      </w:r>
    </w:p>
    <w:p>
      <w:pPr>
        <w:pStyle w:val="Body"/>
        <w:spacing w:before="159"/>
        <w:ind w:left="448" w:right="147" w:hanging="360"/>
        <w:jc w:val="both"/>
        <w:rPr>
          <w:rStyle w:val="Hyperlink.8"/>
        </w:rPr>
      </w:pPr>
      <w:r>
        <w:rPr>
          <w:rStyle w:val="None"/>
          <w:i w:val="1"/>
          <w:iCs w:val="1"/>
          <w:sz w:val="16"/>
          <w:szCs w:val="16"/>
          <w:vertAlign w:val="superscript"/>
          <w:rtl w:val="0"/>
        </w:rPr>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r>
        <w:t>(3)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r/>
    </w:p>
    <w:p>
      <w:pPr>
        <w:pStyle w:val="Heading 3"/>
        <w:spacing w:before="73"/>
        <w:ind w:left="87" w:firstLine="0"/>
      </w:pPr>
      <w:r>
        <w:rPr>
          <w:rStyle w:val="Hyperlink.8"/>
        </w:rPr>
      </w:r>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