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5EE99" w14:textId="679D7EEE" w:rsidR="00733832" w:rsidRDefault="00733832" w:rsidP="00D63859">
      <w:pPr>
        <w:jc w:val="both"/>
        <w:rPr>
          <w:b/>
          <w:bCs/>
        </w:rPr>
      </w:pPr>
      <w:r>
        <w:rPr>
          <w:b/>
          <w:bCs/>
        </w:rPr>
        <w:t>EXECUTIVE SUMMARY</w:t>
      </w:r>
    </w:p>
    <w:p w14:paraId="512703DD" w14:textId="273F682F" w:rsidR="00733832" w:rsidRPr="00D63859" w:rsidRDefault="006E2EED" w:rsidP="00D63859">
      <w:pPr>
        <w:jc w:val="both"/>
      </w:pPr>
      <w:r>
        <w:t>Every organization in India's power sector</w:t>
      </w:r>
      <w:r w:rsidR="00D778CA">
        <w:t xml:space="preserve"> </w:t>
      </w:r>
      <w:r>
        <w:t xml:space="preserve">sits on valuable operational data: feeder-level demand, plant generation, market clearing prices, grid injection and drawal </w:t>
      </w:r>
      <w:r w:rsidR="00733832">
        <w:t>figures.</w:t>
      </w:r>
      <w:r w:rsidR="00733832" w:rsidRPr="002B2710">
        <w:t xml:space="preserve"> However, this data exists in fragments, silos and inconsistent formats, with no unified framework for access. Every utility maintains data differently</w:t>
      </w:r>
      <w:r w:rsidR="00D63859">
        <w:t xml:space="preserve"> and </w:t>
      </w:r>
      <w:r w:rsidR="00733832" w:rsidRPr="00733832">
        <w:t>sharing th</w:t>
      </w:r>
      <w:r w:rsidR="00733832">
        <w:t xml:space="preserve">is </w:t>
      </w:r>
      <w:r w:rsidR="00733832" w:rsidRPr="00733832">
        <w:t xml:space="preserve">data </w:t>
      </w:r>
      <w:r w:rsidR="00D63859">
        <w:t>becomes a</w:t>
      </w:r>
      <w:r w:rsidR="00733832" w:rsidRPr="00733832">
        <w:t xml:space="preserve"> manual, slow, and legally exposed process</w:t>
      </w:r>
      <w:r w:rsidR="00733832">
        <w:t xml:space="preserve"> with</w:t>
      </w:r>
      <w:r w:rsidR="00733832" w:rsidRPr="00733832">
        <w:t xml:space="preserve"> no reliable record </w:t>
      </w:r>
      <w:r w:rsidR="00D63859">
        <w:t>of “</w:t>
      </w:r>
      <w:r w:rsidR="00D63859" w:rsidRPr="002B2710">
        <w:t>Who is accessing the data</w:t>
      </w:r>
      <w:r w:rsidR="00D63859">
        <w:t xml:space="preserve">, why and when?” </w:t>
      </w:r>
    </w:p>
    <w:p w14:paraId="2E80A7E2" w14:textId="77777777" w:rsidR="00666ECA" w:rsidRDefault="00666ECA" w:rsidP="00666ECA">
      <w:r>
        <w:t>The GNA Energy BAP is a ready-to-use digital gateway that lets your organization discover, request, and receive energy data and services — such as smart-meter (AMI) readings, load forecasts, tariff catalogues, and demand-response programs — from any connected provider on an open energy network, without negotiating a custom data-sharing agreement or building a point-to-point integration for every partner.</w:t>
      </w:r>
    </w:p>
    <w:p w14:paraId="18B542B9" w14:textId="77777777" w:rsidR="00666ECA" w:rsidRDefault="00666ECA" w:rsidP="00666ECA">
      <w:r>
        <w:t>It replaces email attachments, FTP file drops, one-off APIs, and manual approval paperwork with a single, secure, consent-based digital marketplace: your organization plugs in once, and can then transact with every other participant on the network — the same way a UPI app lets one bank talk to every other bank without a private integration for each one.</w:t>
      </w:r>
    </w:p>
    <w:p w14:paraId="388FFC55" w14:textId="099BE7A6" w:rsidR="00D778CA" w:rsidRDefault="00D778CA" w:rsidP="00D778CA">
      <w:pPr>
        <w:jc w:val="both"/>
        <w:rPr>
          <w:b/>
          <w:bCs/>
        </w:rPr>
      </w:pPr>
      <w:r w:rsidRPr="00D778CA">
        <w:rPr>
          <w:b/>
          <w:bCs/>
        </w:rPr>
        <w:t xml:space="preserve">PROBLMES FACED BY DISCOMs </w:t>
      </w:r>
    </w:p>
    <w:p w14:paraId="5E042AF4" w14:textId="58BAC585" w:rsidR="00994A23" w:rsidRDefault="00994A23" w:rsidP="00D778CA">
      <w:pPr>
        <w:jc w:val="both"/>
      </w:pPr>
      <w:r w:rsidRPr="00994A23">
        <w:t>Every provider exposes data differently, so consuming five data sources means maintaining five different pipelines, five different schemas, and five different failure points.</w:t>
      </w:r>
      <w:r w:rsidR="00DA2AE3" w:rsidRPr="00DA2AE3">
        <w:t xml:space="preserve"> </w:t>
      </w:r>
      <w:r w:rsidR="00DA2AE3">
        <w:t>Files move by email, FTP, or shared drives with no standard format, no delivery guarantee, and no tamper-evidence — errors and delays are discovered only after the fact.</w:t>
      </w:r>
      <w:r w:rsidR="00227C3F" w:rsidRPr="00227C3F">
        <w:t xml:space="preserve"> </w:t>
      </w:r>
      <w:r w:rsidR="00227C3F">
        <w:t>Consent is usually a signed PDF sitting in someone's inbox, not something a system can check automatically — making it hard to prove who approved what, and when.</w:t>
      </w:r>
    </w:p>
    <w:p w14:paraId="5C7FDE46" w14:textId="3DF85E96" w:rsidR="00D778CA" w:rsidRDefault="00F37BC4" w:rsidP="00D778CA">
      <w:pPr>
        <w:jc w:val="both"/>
      </w:pPr>
      <w:r>
        <w:rPr>
          <w:b/>
        </w:rPr>
        <w:t>PLATFORM</w:t>
      </w:r>
      <w:r>
        <w:rPr>
          <w:b/>
        </w:rPr>
        <w:br/>
      </w:r>
      <w:r w:rsidRPr="00F37BC4">
        <w:t>The platform provides a standardized mechanism to, discover, request, approv</w:t>
      </w:r>
      <w:r w:rsidR="00BF66B6">
        <w:t>al</w:t>
      </w:r>
      <w:r w:rsidRPr="00F37BC4">
        <w:t>, and securely exchange datasets across the IES ecosystem. Every data transaction is governed through a common workflow and automatically recorded, ensuring secure, transparent, and auditable data sharing.</w:t>
      </w:r>
      <w:r w:rsidR="00D778CA">
        <w:t xml:space="preserve"> </w:t>
      </w:r>
    </w:p>
    <w:tbl>
      <w:tblPr>
        <w:tblW w:w="0" w:type="auto"/>
        <w:jc w:val="center"/>
        <w:tblLook w:val="04A0" w:firstRow="1" w:lastRow="0" w:firstColumn="1" w:lastColumn="0" w:noHBand="0" w:noVBand="1"/>
      </w:tblPr>
      <w:tblGrid>
        <w:gridCol w:w="9072"/>
      </w:tblGrid>
      <w:tr w:rsidR="00D778CA" w14:paraId="6856C7DF" w14:textId="77777777" w:rsidTr="00BC62CA">
        <w:trPr>
          <w:jc w:val="center"/>
        </w:trPr>
        <w:tc>
          <w:tcPr>
            <w:tcW w:w="9072" w:type="dxa"/>
            <w:shd w:val="clear" w:color="auto" w:fill="FFF1E4"/>
            <w:tcMar>
              <w:top w:w="120" w:type="dxa"/>
              <w:left w:w="160" w:type="dxa"/>
              <w:bottom w:w="120" w:type="dxa"/>
              <w:right w:w="160" w:type="dxa"/>
            </w:tcMar>
          </w:tcPr>
          <w:p w14:paraId="307F080F" w14:textId="77777777" w:rsidR="00D778CA" w:rsidRDefault="00D778CA" w:rsidP="00BC62CA">
            <w:pPr>
              <w:spacing w:after="80"/>
              <w:jc w:val="both"/>
            </w:pPr>
            <w:r>
              <w:rPr>
                <w:b/>
                <w:color w:val="0B2A3D"/>
                <w:sz w:val="23"/>
              </w:rPr>
              <w:t>Key Benefits</w:t>
            </w:r>
          </w:p>
          <w:p w14:paraId="0B94F27A" w14:textId="08BE2848" w:rsidR="00F37BC4" w:rsidRPr="00F37BC4" w:rsidRDefault="00F37BC4" w:rsidP="00F37BC4">
            <w:pPr>
              <w:pStyle w:val="ListBullet"/>
            </w:pPr>
            <w:r w:rsidRPr="00F37BC4">
              <w:t>Less manual work cuts the time your team spend fulfilling one-off data requests.</w:t>
            </w:r>
          </w:p>
          <w:p w14:paraId="6C26F3CE" w14:textId="77777777" w:rsidR="00F37BC4" w:rsidRPr="00F37BC4" w:rsidRDefault="00F37BC4" w:rsidP="00F37BC4">
            <w:pPr>
              <w:pStyle w:val="ListBullet"/>
            </w:pPr>
            <w:r w:rsidRPr="00F37BC4">
              <w:t>Provable compliance: demonstrates MOP Framework compliance with a system of record, not a spreadsheet.</w:t>
            </w:r>
          </w:p>
          <w:p w14:paraId="4D80FC2A" w14:textId="204E2B72" w:rsidR="00D778CA" w:rsidRDefault="00F37BC4" w:rsidP="00F37BC4">
            <w:pPr>
              <w:pStyle w:val="ListBullet"/>
            </w:pPr>
            <w:r w:rsidRPr="00F37BC4">
              <w:t>Lower exposure: a documented, auditable trail for every disclosure reduces your compliance risk.</w:t>
            </w:r>
          </w:p>
        </w:tc>
      </w:tr>
    </w:tbl>
    <w:p w14:paraId="643EB670" w14:textId="77777777" w:rsidR="00D778CA" w:rsidRDefault="00D778CA" w:rsidP="00D778CA">
      <w:pPr>
        <w:spacing w:after="80"/>
        <w:jc w:val="both"/>
      </w:pPr>
    </w:p>
    <w:p w14:paraId="6370DCC9" w14:textId="01869A41" w:rsidR="00F37BC4" w:rsidRPr="00F37BC4" w:rsidRDefault="00D778CA" w:rsidP="00F37BC4">
      <w:pPr>
        <w:jc w:val="both"/>
        <w:rPr>
          <w:sz w:val="20"/>
        </w:rPr>
      </w:pPr>
      <w:r>
        <w:rPr>
          <w:b/>
          <w:color w:val="5B6470"/>
        </w:rPr>
        <w:t>Example</w:t>
      </w:r>
      <w:r w:rsidR="00F37BC4">
        <w:rPr>
          <w:b/>
          <w:color w:val="5B6470"/>
        </w:rPr>
        <w:t xml:space="preserve">: </w:t>
      </w:r>
      <w:r w:rsidR="00502477">
        <w:rPr>
          <w:i/>
          <w:color w:val="736655"/>
          <w:sz w:val="21"/>
        </w:rPr>
        <w:t>Struggling to collect and reconcile smart-meter (AMI), forecast, and settlement data from multiple vendors and sub-systems, each with a different format and access process.</w:t>
      </w:r>
    </w:p>
    <w:p w14:paraId="54E9CD43" w14:textId="7BD2E5E7" w:rsidR="00D778CA" w:rsidRDefault="00D778CA" w:rsidP="00D778CA">
      <w:pPr>
        <w:jc w:val="both"/>
      </w:pPr>
    </w:p>
    <w:p w14:paraId="45487876" w14:textId="77777777" w:rsidR="00D778CA" w:rsidRPr="00D778CA" w:rsidRDefault="00D778CA" w:rsidP="00D778CA">
      <w:pPr>
        <w:jc w:val="both"/>
        <w:rPr>
          <w:b/>
          <w:bCs/>
        </w:rPr>
      </w:pPr>
    </w:p>
    <w:tbl>
      <w:tblPr>
        <w:tblStyle w:val="TableGrid"/>
        <w:tblW w:w="0" w:type="auto"/>
        <w:jc w:val="center"/>
        <w:tblLook w:val="04A0" w:firstRow="1" w:lastRow="0" w:firstColumn="1" w:lastColumn="0" w:noHBand="0" w:noVBand="1"/>
      </w:tblPr>
      <w:tblGrid>
        <w:gridCol w:w="2157"/>
        <w:gridCol w:w="3305"/>
        <w:gridCol w:w="4166"/>
      </w:tblGrid>
      <w:tr w:rsidR="00D778CA" w14:paraId="0F3A9DE1" w14:textId="77777777" w:rsidTr="00003B4E">
        <w:trPr>
          <w:jc w:val="center"/>
        </w:trPr>
        <w:tc>
          <w:tcPr>
            <w:tcW w:w="2157" w:type="dxa"/>
            <w:shd w:val="clear" w:color="auto" w:fill="0B2A3D"/>
          </w:tcPr>
          <w:p w14:paraId="06D012B0" w14:textId="1A4D65B6" w:rsidR="00D778CA" w:rsidRPr="00D778CA" w:rsidRDefault="00D778CA" w:rsidP="00BC62CA">
            <w:pPr>
              <w:jc w:val="both"/>
              <w:rPr>
                <w:b/>
                <w:bCs/>
              </w:rPr>
            </w:pPr>
            <w:r w:rsidRPr="00D778CA">
              <w:rPr>
                <w:b/>
                <w:bCs/>
                <w:color w:val="FFFFFF" w:themeColor="background1"/>
              </w:rPr>
              <w:lastRenderedPageBreak/>
              <w:t>PAIN POINTS</w:t>
            </w:r>
          </w:p>
        </w:tc>
        <w:tc>
          <w:tcPr>
            <w:tcW w:w="3305" w:type="dxa"/>
            <w:shd w:val="clear" w:color="auto" w:fill="0B2A3D"/>
          </w:tcPr>
          <w:p w14:paraId="77699A30" w14:textId="42E7A23E" w:rsidR="00D778CA" w:rsidRDefault="00D778CA" w:rsidP="00BC62CA">
            <w:pPr>
              <w:jc w:val="both"/>
            </w:pPr>
            <w:r>
              <w:rPr>
                <w:b/>
                <w:color w:val="FFFFFF"/>
                <w:sz w:val="21"/>
              </w:rPr>
              <w:t>TRADITIONAL METHOD</w:t>
            </w:r>
          </w:p>
        </w:tc>
        <w:tc>
          <w:tcPr>
            <w:tcW w:w="4166" w:type="dxa"/>
            <w:shd w:val="clear" w:color="auto" w:fill="0B2A3D"/>
          </w:tcPr>
          <w:p w14:paraId="294D22BE" w14:textId="5C0B1450" w:rsidR="00D778CA" w:rsidRDefault="00D778CA" w:rsidP="00BC62CA">
            <w:pPr>
              <w:jc w:val="both"/>
            </w:pPr>
            <w:r>
              <w:rPr>
                <w:b/>
                <w:color w:val="FFFFFF"/>
                <w:sz w:val="21"/>
              </w:rPr>
              <w:t>WITH IES BPP</w:t>
            </w:r>
          </w:p>
        </w:tc>
      </w:tr>
      <w:tr w:rsidR="00003B4E" w14:paraId="3F401853" w14:textId="77777777" w:rsidTr="00003B4E">
        <w:trPr>
          <w:jc w:val="center"/>
        </w:trPr>
        <w:tc>
          <w:tcPr>
            <w:tcW w:w="2157" w:type="dxa"/>
            <w:shd w:val="clear" w:color="auto" w:fill="F7F9FA"/>
          </w:tcPr>
          <w:p w14:paraId="56C785D2" w14:textId="25B292F5" w:rsidR="00003B4E" w:rsidRDefault="00003B4E" w:rsidP="00003B4E">
            <w:pPr>
              <w:jc w:val="both"/>
            </w:pPr>
            <w:r>
              <w:rPr>
                <w:sz w:val="20"/>
              </w:rPr>
              <w:t>Onboarding a new partner</w:t>
            </w:r>
          </w:p>
        </w:tc>
        <w:tc>
          <w:tcPr>
            <w:tcW w:w="3305" w:type="dxa"/>
            <w:shd w:val="clear" w:color="auto" w:fill="F7F9FA"/>
          </w:tcPr>
          <w:p w14:paraId="3F65B543" w14:textId="302654D6" w:rsidR="00003B4E" w:rsidRDefault="00003B4E" w:rsidP="00003B4E">
            <w:pPr>
              <w:jc w:val="both"/>
            </w:pPr>
            <w:r>
              <w:rPr>
                <w:sz w:val="20"/>
              </w:rPr>
              <w:t>Weeks to months of legal + custom integration</w:t>
            </w:r>
          </w:p>
        </w:tc>
        <w:tc>
          <w:tcPr>
            <w:tcW w:w="4166" w:type="dxa"/>
            <w:shd w:val="clear" w:color="auto" w:fill="F7F9FA"/>
          </w:tcPr>
          <w:p w14:paraId="3BE79B5D" w14:textId="6C023255" w:rsidR="00003B4E" w:rsidRDefault="00003B4E" w:rsidP="00003B4E">
            <w:pPr>
              <w:jc w:val="both"/>
            </w:pPr>
            <w:r>
              <w:rPr>
                <w:sz w:val="20"/>
              </w:rPr>
              <w:t>Under an hour via guided wizard</w:t>
            </w:r>
          </w:p>
        </w:tc>
      </w:tr>
      <w:tr w:rsidR="00003B4E" w14:paraId="570D6BD9" w14:textId="77777777" w:rsidTr="00003B4E">
        <w:trPr>
          <w:jc w:val="center"/>
        </w:trPr>
        <w:tc>
          <w:tcPr>
            <w:tcW w:w="2157" w:type="dxa"/>
            <w:shd w:val="clear" w:color="auto" w:fill="FFFFFF"/>
          </w:tcPr>
          <w:p w14:paraId="18F20451" w14:textId="7DE77BB8" w:rsidR="00003B4E" w:rsidRDefault="00003B4E" w:rsidP="00003B4E">
            <w:pPr>
              <w:jc w:val="both"/>
            </w:pPr>
            <w:r>
              <w:rPr>
                <w:sz w:val="20"/>
              </w:rPr>
              <w:t>Consent</w:t>
            </w:r>
          </w:p>
        </w:tc>
        <w:tc>
          <w:tcPr>
            <w:tcW w:w="3305" w:type="dxa"/>
            <w:shd w:val="clear" w:color="auto" w:fill="FFFFFF"/>
          </w:tcPr>
          <w:p w14:paraId="179C5AF0" w14:textId="05772950" w:rsidR="00003B4E" w:rsidRDefault="00003B4E" w:rsidP="00003B4E">
            <w:pPr>
              <w:jc w:val="both"/>
            </w:pPr>
            <w:r>
              <w:rPr>
                <w:sz w:val="20"/>
              </w:rPr>
              <w:t>Signed PDF / email, hard to verify later</w:t>
            </w:r>
          </w:p>
        </w:tc>
        <w:tc>
          <w:tcPr>
            <w:tcW w:w="4166" w:type="dxa"/>
            <w:shd w:val="clear" w:color="auto" w:fill="FFFFFF"/>
          </w:tcPr>
          <w:p w14:paraId="645975EA" w14:textId="780AC0EE" w:rsidR="00003B4E" w:rsidRDefault="00003B4E" w:rsidP="00003B4E">
            <w:pPr>
              <w:jc w:val="both"/>
            </w:pPr>
            <w:r>
              <w:rPr>
                <w:sz w:val="20"/>
              </w:rPr>
              <w:t>System-generated, cryptographically signed consent receipt</w:t>
            </w:r>
          </w:p>
        </w:tc>
      </w:tr>
      <w:tr w:rsidR="00003B4E" w14:paraId="584DA9DB" w14:textId="77777777" w:rsidTr="00003B4E">
        <w:trPr>
          <w:jc w:val="center"/>
        </w:trPr>
        <w:tc>
          <w:tcPr>
            <w:tcW w:w="2157" w:type="dxa"/>
            <w:shd w:val="clear" w:color="auto" w:fill="F7F9FA"/>
          </w:tcPr>
          <w:p w14:paraId="38EF3581" w14:textId="25CDA718" w:rsidR="00003B4E" w:rsidRDefault="00003B4E" w:rsidP="00003B4E">
            <w:pPr>
              <w:jc w:val="both"/>
            </w:pPr>
            <w:r>
              <w:rPr>
                <w:sz w:val="20"/>
              </w:rPr>
              <w:t>Data delivery</w:t>
            </w:r>
          </w:p>
        </w:tc>
        <w:tc>
          <w:tcPr>
            <w:tcW w:w="3305" w:type="dxa"/>
            <w:shd w:val="clear" w:color="auto" w:fill="F7F9FA"/>
          </w:tcPr>
          <w:p w14:paraId="4BE46F41" w14:textId="7B357ADA" w:rsidR="00003B4E" w:rsidRDefault="00003B4E" w:rsidP="00003B4E">
            <w:pPr>
              <w:jc w:val="both"/>
            </w:pPr>
            <w:r>
              <w:rPr>
                <w:sz w:val="20"/>
              </w:rPr>
              <w:t>Email attachments, FTP, shared drives</w:t>
            </w:r>
          </w:p>
        </w:tc>
        <w:tc>
          <w:tcPr>
            <w:tcW w:w="4166" w:type="dxa"/>
            <w:shd w:val="clear" w:color="auto" w:fill="F7F9FA"/>
          </w:tcPr>
          <w:p w14:paraId="158CDED7" w14:textId="00EA5ACF" w:rsidR="00003B4E" w:rsidRDefault="00003B4E" w:rsidP="00003B4E">
            <w:pPr>
              <w:jc w:val="both"/>
            </w:pPr>
            <w:r>
              <w:rPr>
                <w:sz w:val="20"/>
              </w:rPr>
              <w:t>Standardized, automated, in-platform delivery</w:t>
            </w:r>
          </w:p>
        </w:tc>
      </w:tr>
      <w:tr w:rsidR="00003B4E" w14:paraId="45EBAFE6" w14:textId="77777777" w:rsidTr="00003B4E">
        <w:trPr>
          <w:jc w:val="center"/>
        </w:trPr>
        <w:tc>
          <w:tcPr>
            <w:tcW w:w="2157" w:type="dxa"/>
            <w:shd w:val="clear" w:color="auto" w:fill="FFFFFF"/>
          </w:tcPr>
          <w:p w14:paraId="367A28E6" w14:textId="575B7C95" w:rsidR="00003B4E" w:rsidRDefault="00003B4E" w:rsidP="00003B4E">
            <w:pPr>
              <w:jc w:val="both"/>
            </w:pPr>
            <w:r>
              <w:rPr>
                <w:sz w:val="20"/>
              </w:rPr>
              <w:t>Recurring data</w:t>
            </w:r>
          </w:p>
        </w:tc>
        <w:tc>
          <w:tcPr>
            <w:tcW w:w="3305" w:type="dxa"/>
            <w:shd w:val="clear" w:color="auto" w:fill="FFFFFF"/>
          </w:tcPr>
          <w:p w14:paraId="077FE071" w14:textId="58774931" w:rsidR="00003B4E" w:rsidRDefault="00003B4E" w:rsidP="00003B4E">
            <w:pPr>
              <w:jc w:val="both"/>
            </w:pPr>
            <w:r>
              <w:rPr>
                <w:sz w:val="20"/>
              </w:rPr>
              <w:t>Someone manually re-requests each cycle</w:t>
            </w:r>
          </w:p>
        </w:tc>
        <w:tc>
          <w:tcPr>
            <w:tcW w:w="4166" w:type="dxa"/>
            <w:shd w:val="clear" w:color="auto" w:fill="FFFFFF"/>
          </w:tcPr>
          <w:p w14:paraId="4FD1FD35" w14:textId="6EFAFB7D" w:rsidR="00003B4E" w:rsidRDefault="00003B4E" w:rsidP="00003B4E">
            <w:pPr>
              <w:jc w:val="both"/>
            </w:pPr>
            <w:r>
              <w:rPr>
                <w:sz w:val="20"/>
              </w:rPr>
              <w:t>Automated schedules pull data on their own</w:t>
            </w:r>
          </w:p>
        </w:tc>
      </w:tr>
      <w:tr w:rsidR="00003B4E" w14:paraId="670BC192" w14:textId="77777777" w:rsidTr="00003B4E">
        <w:trPr>
          <w:jc w:val="center"/>
        </w:trPr>
        <w:tc>
          <w:tcPr>
            <w:tcW w:w="2157" w:type="dxa"/>
            <w:shd w:val="clear" w:color="auto" w:fill="F7F9FA"/>
          </w:tcPr>
          <w:p w14:paraId="7DC7D5A1" w14:textId="5C3078C9" w:rsidR="00003B4E" w:rsidRDefault="00003B4E" w:rsidP="00003B4E">
            <w:pPr>
              <w:jc w:val="both"/>
            </w:pPr>
            <w:r>
              <w:rPr>
                <w:sz w:val="20"/>
              </w:rPr>
              <w:t>Reach</w:t>
            </w:r>
          </w:p>
        </w:tc>
        <w:tc>
          <w:tcPr>
            <w:tcW w:w="3305" w:type="dxa"/>
            <w:shd w:val="clear" w:color="auto" w:fill="F7F9FA"/>
          </w:tcPr>
          <w:p w14:paraId="765B81D6" w14:textId="0DC73385" w:rsidR="00003B4E" w:rsidRDefault="00003B4E" w:rsidP="00003B4E">
            <w:pPr>
              <w:jc w:val="both"/>
            </w:pPr>
            <w:r>
              <w:rPr>
                <w:sz w:val="20"/>
              </w:rPr>
              <w:t>Only partners you've individually contracted with</w:t>
            </w:r>
          </w:p>
        </w:tc>
        <w:tc>
          <w:tcPr>
            <w:tcW w:w="4166" w:type="dxa"/>
            <w:shd w:val="clear" w:color="auto" w:fill="F7F9FA"/>
          </w:tcPr>
          <w:p w14:paraId="2F90F4CA" w14:textId="3CA0A96D" w:rsidR="00003B4E" w:rsidRDefault="00003B4E" w:rsidP="00003B4E">
            <w:pPr>
              <w:jc w:val="both"/>
            </w:pPr>
            <w:r>
              <w:rPr>
                <w:sz w:val="20"/>
              </w:rPr>
              <w:t>Every participant on the connected network</w:t>
            </w:r>
          </w:p>
        </w:tc>
      </w:tr>
      <w:tr w:rsidR="00003B4E" w14:paraId="46481D1D" w14:textId="77777777" w:rsidTr="00003B4E">
        <w:trPr>
          <w:jc w:val="center"/>
        </w:trPr>
        <w:tc>
          <w:tcPr>
            <w:tcW w:w="2157" w:type="dxa"/>
            <w:shd w:val="clear" w:color="auto" w:fill="FFFFFF"/>
          </w:tcPr>
          <w:p w14:paraId="490DF639" w14:textId="196FE948" w:rsidR="00003B4E" w:rsidRDefault="00003B4E" w:rsidP="00003B4E">
            <w:pPr>
              <w:jc w:val="both"/>
            </w:pPr>
            <w:r>
              <w:rPr>
                <w:sz w:val="20"/>
              </w:rPr>
              <w:t>Audit trail</w:t>
            </w:r>
          </w:p>
        </w:tc>
        <w:tc>
          <w:tcPr>
            <w:tcW w:w="3305" w:type="dxa"/>
            <w:shd w:val="clear" w:color="auto" w:fill="FFFFFF"/>
          </w:tcPr>
          <w:p w14:paraId="37ABD009" w14:textId="60E192B5" w:rsidR="00003B4E" w:rsidRDefault="00003B4E" w:rsidP="00003B4E">
            <w:pPr>
              <w:jc w:val="both"/>
            </w:pPr>
            <w:r>
              <w:rPr>
                <w:sz w:val="20"/>
              </w:rPr>
              <w:t>Manually reconstructed after the fact</w:t>
            </w:r>
          </w:p>
        </w:tc>
        <w:tc>
          <w:tcPr>
            <w:tcW w:w="4166" w:type="dxa"/>
            <w:shd w:val="clear" w:color="auto" w:fill="FFFFFF"/>
          </w:tcPr>
          <w:p w14:paraId="5558AF40" w14:textId="72C08AA4" w:rsidR="00003B4E" w:rsidRDefault="00003B4E" w:rsidP="00003B4E">
            <w:pPr>
              <w:jc w:val="both"/>
            </w:pPr>
            <w:r>
              <w:rPr>
                <w:sz w:val="20"/>
              </w:rPr>
              <w:t>Automatic, tamper-evident, always available</w:t>
            </w:r>
          </w:p>
        </w:tc>
      </w:tr>
      <w:tr w:rsidR="00003B4E" w14:paraId="56FDE3B8" w14:textId="77777777" w:rsidTr="00003B4E">
        <w:trPr>
          <w:jc w:val="center"/>
        </w:trPr>
        <w:tc>
          <w:tcPr>
            <w:tcW w:w="2157" w:type="dxa"/>
            <w:shd w:val="clear" w:color="auto" w:fill="F7F9FA"/>
          </w:tcPr>
          <w:p w14:paraId="5791CCD5" w14:textId="40FC480A" w:rsidR="00003B4E" w:rsidRDefault="00003B4E" w:rsidP="00003B4E">
            <w:pPr>
              <w:jc w:val="both"/>
            </w:pPr>
            <w:r>
              <w:rPr>
                <w:sz w:val="20"/>
              </w:rPr>
              <w:t>Identity verification</w:t>
            </w:r>
          </w:p>
        </w:tc>
        <w:tc>
          <w:tcPr>
            <w:tcW w:w="3305" w:type="dxa"/>
            <w:shd w:val="clear" w:color="auto" w:fill="F7F9FA"/>
          </w:tcPr>
          <w:p w14:paraId="0F6BE56B" w14:textId="11F297AC" w:rsidR="00003B4E" w:rsidRDefault="00003B4E" w:rsidP="00003B4E">
            <w:pPr>
              <w:jc w:val="both"/>
            </w:pPr>
            <w:r>
              <w:rPr>
                <w:sz w:val="20"/>
              </w:rPr>
              <w:t>Ad-hoc, inconsistent across partners</w:t>
            </w:r>
          </w:p>
        </w:tc>
        <w:tc>
          <w:tcPr>
            <w:tcW w:w="4166" w:type="dxa"/>
            <w:shd w:val="clear" w:color="auto" w:fill="F7F9FA"/>
          </w:tcPr>
          <w:p w14:paraId="394CEBC6" w14:textId="098DC21A" w:rsidR="00003B4E" w:rsidRDefault="00003B4E" w:rsidP="00003B4E">
            <w:pPr>
              <w:jc w:val="both"/>
            </w:pPr>
            <w:r>
              <w:rPr>
                <w:sz w:val="20"/>
              </w:rPr>
              <w:t>Government-backed KYC (DigiLocker), verify once</w:t>
            </w:r>
          </w:p>
        </w:tc>
      </w:tr>
      <w:tr w:rsidR="00003B4E" w14:paraId="62FB8F5D" w14:textId="77777777" w:rsidTr="00003B4E">
        <w:trPr>
          <w:jc w:val="center"/>
        </w:trPr>
        <w:tc>
          <w:tcPr>
            <w:tcW w:w="2157" w:type="dxa"/>
            <w:shd w:val="clear" w:color="auto" w:fill="FFFFFF"/>
          </w:tcPr>
          <w:p w14:paraId="6515ED0C" w14:textId="4CD31EF7" w:rsidR="00003B4E" w:rsidRDefault="00003B4E" w:rsidP="00003B4E">
            <w:pPr>
              <w:jc w:val="both"/>
            </w:pPr>
            <w:r>
              <w:rPr>
                <w:sz w:val="20"/>
              </w:rPr>
              <w:t>Cost to scale to N partners</w:t>
            </w:r>
          </w:p>
        </w:tc>
        <w:tc>
          <w:tcPr>
            <w:tcW w:w="3305" w:type="dxa"/>
            <w:shd w:val="clear" w:color="auto" w:fill="FFFFFF"/>
          </w:tcPr>
          <w:p w14:paraId="1533D215" w14:textId="7774817D" w:rsidR="00003B4E" w:rsidRDefault="00003B4E" w:rsidP="00003B4E">
            <w:pPr>
              <w:jc w:val="both"/>
            </w:pPr>
            <w:r>
              <w:rPr>
                <w:sz w:val="20"/>
              </w:rPr>
              <w:t>Grows roughly linearly — one pipeline per partner</w:t>
            </w:r>
          </w:p>
        </w:tc>
        <w:tc>
          <w:tcPr>
            <w:tcW w:w="4166" w:type="dxa"/>
            <w:shd w:val="clear" w:color="auto" w:fill="FFFFFF"/>
          </w:tcPr>
          <w:p w14:paraId="000F389D" w14:textId="35B98C83" w:rsidR="00003B4E" w:rsidRDefault="00003B4E" w:rsidP="00003B4E">
            <w:pPr>
              <w:jc w:val="both"/>
            </w:pPr>
            <w:r>
              <w:rPr>
                <w:sz w:val="20"/>
              </w:rPr>
              <w:t>Flat — one connection reaches all participants</w:t>
            </w:r>
          </w:p>
        </w:tc>
      </w:tr>
    </w:tbl>
    <w:p w14:paraId="31D0F692" w14:textId="77777777" w:rsidR="00D778CA" w:rsidRPr="00D778CA" w:rsidRDefault="00D778CA" w:rsidP="00D63859">
      <w:pPr>
        <w:jc w:val="both"/>
        <w:rPr>
          <w:b/>
          <w:bCs/>
        </w:rPr>
      </w:pPr>
    </w:p>
    <w:p w14:paraId="491A1E27" w14:textId="48317FAD" w:rsidR="00F37BC4" w:rsidRPr="00F37BC4" w:rsidRDefault="00F37BC4" w:rsidP="00F37BC4">
      <w:pPr>
        <w:jc w:val="both"/>
        <w:rPr>
          <w:b/>
          <w:bCs/>
          <w:sz w:val="20"/>
        </w:rPr>
      </w:pPr>
      <w:r w:rsidRPr="00F37BC4">
        <w:rPr>
          <w:b/>
          <w:bCs/>
          <w:sz w:val="20"/>
        </w:rPr>
        <w:t>How It</w:t>
      </w:r>
      <w:r>
        <w:rPr>
          <w:b/>
          <w:bCs/>
          <w:sz w:val="20"/>
        </w:rPr>
        <w:t xml:space="preserve"> </w:t>
      </w:r>
      <w:r w:rsidRPr="00F37BC4">
        <w:rPr>
          <w:b/>
          <w:bCs/>
          <w:sz w:val="20"/>
        </w:rPr>
        <w:t>Work</w:t>
      </w:r>
      <w:r>
        <w:rPr>
          <w:b/>
          <w:bCs/>
          <w:sz w:val="20"/>
        </w:rPr>
        <w:t>s</w:t>
      </w:r>
    </w:p>
    <w:p w14:paraId="0A0391DE" w14:textId="18674369" w:rsidR="00F37BC4" w:rsidRPr="002F7692" w:rsidRDefault="00F37BC4" w:rsidP="00E901EB">
      <w:pPr>
        <w:pStyle w:val="ListNumber"/>
        <w:numPr>
          <w:ilvl w:val="0"/>
          <w:numId w:val="0"/>
        </w:numPr>
        <w:spacing w:after="60"/>
        <w:ind w:left="360" w:hanging="360"/>
      </w:pPr>
      <w:r w:rsidRPr="00F37BC4">
        <w:rPr>
          <w:sz w:val="20"/>
        </w:rPr>
        <w:t xml:space="preserve">Step 1 — </w:t>
      </w:r>
      <w:r w:rsidR="002F7692">
        <w:rPr>
          <w:sz w:val="21"/>
        </w:rPr>
        <w:t>Search or filter by data type, region, provider, or time period.</w:t>
      </w:r>
      <w:r w:rsidR="00E901EB" w:rsidRPr="00E901EB">
        <w:rPr>
          <w:sz w:val="21"/>
        </w:rPr>
        <w:t xml:space="preserve"> </w:t>
      </w:r>
      <w:r w:rsidR="00E901EB">
        <w:rPr>
          <w:sz w:val="21"/>
        </w:rPr>
        <w:t>Preview what a dataset actually contains before requesting it.</w:t>
      </w:r>
    </w:p>
    <w:p w14:paraId="45FFA101" w14:textId="7DC9EFF2" w:rsidR="00F37BC4" w:rsidRPr="008E54F2" w:rsidRDefault="00F37BC4" w:rsidP="008E54F2">
      <w:pPr>
        <w:pStyle w:val="ListNumber"/>
        <w:numPr>
          <w:ilvl w:val="0"/>
          <w:numId w:val="0"/>
        </w:numPr>
        <w:spacing w:after="60"/>
        <w:ind w:left="360" w:hanging="360"/>
      </w:pPr>
      <w:r w:rsidRPr="00F37BC4">
        <w:rPr>
          <w:sz w:val="20"/>
        </w:rPr>
        <w:t xml:space="preserve">Step 2 — </w:t>
      </w:r>
      <w:r w:rsidR="008011E5">
        <w:rPr>
          <w:sz w:val="21"/>
        </w:rPr>
        <w:t>Submit a request specifying exactly what data you need and for what purpose.</w:t>
      </w:r>
    </w:p>
    <w:p w14:paraId="7AD07568" w14:textId="3B83A2A3" w:rsidR="00F37BC4" w:rsidRPr="008E54F2" w:rsidRDefault="00F37BC4" w:rsidP="008E54F2">
      <w:pPr>
        <w:pStyle w:val="ListNumber"/>
        <w:numPr>
          <w:ilvl w:val="0"/>
          <w:numId w:val="0"/>
        </w:numPr>
        <w:spacing w:after="60"/>
        <w:ind w:left="360" w:hanging="360"/>
      </w:pPr>
      <w:r w:rsidRPr="00F37BC4">
        <w:rPr>
          <w:sz w:val="20"/>
        </w:rPr>
        <w:t xml:space="preserve">Step 3 — </w:t>
      </w:r>
      <w:r w:rsidR="008E54F2">
        <w:rPr>
          <w:sz w:val="21"/>
        </w:rPr>
        <w:t>The data owner sees the request with full context and approves, rejects, or asks for changes.</w:t>
      </w:r>
    </w:p>
    <w:p w14:paraId="2A351304" w14:textId="06A30D72" w:rsidR="00F37BC4" w:rsidRPr="00F37BC4" w:rsidRDefault="00F37BC4" w:rsidP="00F37BC4">
      <w:pPr>
        <w:jc w:val="both"/>
        <w:rPr>
          <w:sz w:val="20"/>
        </w:rPr>
      </w:pPr>
      <w:r w:rsidRPr="00F37BC4">
        <w:rPr>
          <w:sz w:val="20"/>
        </w:rPr>
        <w:t xml:space="preserve">Step 4 — </w:t>
      </w:r>
      <w:r w:rsidR="00F971B9" w:rsidRPr="00F971B9">
        <w:rPr>
          <w:sz w:val="20"/>
        </w:rPr>
        <w:t>Every data grant automatically produces a signed consent receipt.</w:t>
      </w:r>
    </w:p>
    <w:p w14:paraId="51273A39" w14:textId="59769718" w:rsidR="00F37BC4" w:rsidRPr="00F37BC4" w:rsidRDefault="00F37BC4" w:rsidP="00F37BC4">
      <w:pPr>
        <w:jc w:val="both"/>
        <w:rPr>
          <w:sz w:val="20"/>
        </w:rPr>
      </w:pPr>
      <w:r w:rsidRPr="00F37BC4">
        <w:rPr>
          <w:sz w:val="20"/>
        </w:rPr>
        <w:t>Step 5 —</w:t>
      </w:r>
      <w:r w:rsidR="00365D2B">
        <w:rPr>
          <w:sz w:val="20"/>
        </w:rPr>
        <w:t xml:space="preserve"> </w:t>
      </w:r>
      <w:r w:rsidR="00365D2B" w:rsidRPr="00365D2B">
        <w:rPr>
          <w:sz w:val="20"/>
        </w:rPr>
        <w:t>Receipts are retrievable at any time for internal review or regulatory inspection.</w:t>
      </w:r>
    </w:p>
    <w:p w14:paraId="6B577330" w14:textId="081352E7" w:rsidR="00F37BC4" w:rsidRPr="00227C3F" w:rsidRDefault="00F37BC4" w:rsidP="00F37BC4">
      <w:pPr>
        <w:jc w:val="both"/>
        <w:rPr>
          <w:sz w:val="20"/>
        </w:rPr>
      </w:pPr>
      <w:r w:rsidRPr="00F37BC4">
        <w:rPr>
          <w:sz w:val="20"/>
        </w:rPr>
        <w:t xml:space="preserve">Step 6 — </w:t>
      </w:r>
      <w:r w:rsidR="006108A3" w:rsidRPr="006108A3">
        <w:rPr>
          <w:sz w:val="20"/>
        </w:rPr>
        <w:t>Because they are cryptographically signed, they cannot be altered after the fact.</w:t>
      </w:r>
    </w:p>
    <w:p w14:paraId="16B78049" w14:textId="02CC1BE9" w:rsidR="00F37BC4" w:rsidRPr="00F37BC4" w:rsidRDefault="00F37BC4" w:rsidP="00F37BC4">
      <w:pPr>
        <w:jc w:val="both"/>
        <w:rPr>
          <w:b/>
          <w:bCs/>
          <w:sz w:val="20"/>
        </w:rPr>
      </w:pPr>
      <w:r w:rsidRPr="00F37BC4">
        <w:rPr>
          <w:b/>
          <w:bCs/>
          <w:sz w:val="20"/>
        </w:rPr>
        <w:t>Pricing</w:t>
      </w:r>
    </w:p>
    <w:tbl>
      <w:tblPr>
        <w:tblW w:w="9000" w:type="dxa"/>
        <w:tblBorders>
          <w:top w:val="single" w:sz="4" w:space="0" w:color="D8DCD8"/>
          <w:left w:val="single" w:sz="4" w:space="0" w:color="D8DCD8"/>
          <w:bottom w:val="single" w:sz="4" w:space="0" w:color="D8DCD8"/>
          <w:right w:val="single" w:sz="4" w:space="0" w:color="D8DCD8"/>
          <w:insideH w:val="single" w:sz="4" w:space="0" w:color="D8DCD8"/>
          <w:insideV w:val="single" w:sz="4" w:space="0" w:color="D8DCD8"/>
        </w:tblBorders>
        <w:tblCellMar>
          <w:left w:w="10" w:type="dxa"/>
          <w:right w:w="10" w:type="dxa"/>
        </w:tblCellMar>
        <w:tblLook w:val="04A0" w:firstRow="1" w:lastRow="0" w:firstColumn="1" w:lastColumn="0" w:noHBand="0" w:noVBand="1"/>
      </w:tblPr>
      <w:tblGrid>
        <w:gridCol w:w="2600"/>
        <w:gridCol w:w="6400"/>
      </w:tblGrid>
      <w:tr w:rsidR="00F37BC4" w:rsidRPr="00F37BC4" w14:paraId="784D8776" w14:textId="77777777">
        <w:tc>
          <w:tcPr>
            <w:tcW w:w="2600" w:type="dxa"/>
            <w:tcBorders>
              <w:top w:val="single" w:sz="4" w:space="0" w:color="D8DCD8"/>
              <w:left w:val="single" w:sz="4" w:space="0" w:color="D8DCD8"/>
              <w:bottom w:val="single" w:sz="4" w:space="0" w:color="D8DCD8"/>
              <w:right w:val="single" w:sz="4" w:space="0" w:color="D8DCD8"/>
            </w:tcBorders>
            <w:shd w:val="clear" w:color="auto" w:fill="EFF5F3"/>
            <w:tcMar>
              <w:top w:w="100" w:type="dxa"/>
              <w:left w:w="150" w:type="dxa"/>
              <w:bottom w:w="100" w:type="dxa"/>
              <w:right w:w="100" w:type="dxa"/>
            </w:tcMar>
            <w:hideMark/>
          </w:tcPr>
          <w:p w14:paraId="18C12100" w14:textId="77777777" w:rsidR="00F37BC4" w:rsidRPr="00F37BC4" w:rsidRDefault="00F37BC4" w:rsidP="00F37BC4">
            <w:pPr>
              <w:jc w:val="both"/>
              <w:rPr>
                <w:sz w:val="20"/>
              </w:rPr>
            </w:pPr>
            <w:r w:rsidRPr="00F37BC4">
              <w:rPr>
                <w:sz w:val="20"/>
              </w:rPr>
              <w:t>Free / Open Data</w:t>
            </w:r>
          </w:p>
        </w:tc>
        <w:tc>
          <w:tcPr>
            <w:tcW w:w="6400" w:type="dxa"/>
            <w:tcBorders>
              <w:top w:val="single" w:sz="4" w:space="0" w:color="D8DCD8"/>
              <w:left w:val="single" w:sz="4" w:space="0" w:color="D8DCD8"/>
              <w:bottom w:val="single" w:sz="4" w:space="0" w:color="D8DCD8"/>
              <w:right w:val="single" w:sz="4" w:space="0" w:color="D8DCD8"/>
            </w:tcBorders>
            <w:shd w:val="clear" w:color="auto" w:fill="EFF5F3"/>
            <w:tcMar>
              <w:top w:w="100" w:type="dxa"/>
              <w:left w:w="150" w:type="dxa"/>
              <w:bottom w:w="100" w:type="dxa"/>
              <w:right w:w="100" w:type="dxa"/>
            </w:tcMar>
            <w:hideMark/>
          </w:tcPr>
          <w:p w14:paraId="441BC47B" w14:textId="77777777" w:rsidR="00F37BC4" w:rsidRPr="00F37BC4" w:rsidRDefault="00F37BC4" w:rsidP="00F37BC4">
            <w:pPr>
              <w:jc w:val="both"/>
              <w:rPr>
                <w:sz w:val="20"/>
              </w:rPr>
            </w:pPr>
            <w:r w:rsidRPr="00F37BC4">
              <w:rPr>
                <w:sz w:val="20"/>
              </w:rPr>
              <w:t>No charge — ideal for data you're required or willing to share openly.</w:t>
            </w:r>
          </w:p>
        </w:tc>
      </w:tr>
      <w:tr w:rsidR="00F37BC4" w:rsidRPr="00F37BC4" w14:paraId="04F117D3" w14:textId="77777777">
        <w:tc>
          <w:tcPr>
            <w:tcW w:w="2600" w:type="dxa"/>
            <w:tcBorders>
              <w:top w:val="single" w:sz="4" w:space="0" w:color="D8DCD8"/>
              <w:left w:val="single" w:sz="4" w:space="0" w:color="D8DCD8"/>
              <w:bottom w:val="single" w:sz="4" w:space="0" w:color="D8DCD8"/>
              <w:right w:val="single" w:sz="4" w:space="0" w:color="D8DCD8"/>
            </w:tcBorders>
            <w:tcMar>
              <w:top w:w="100" w:type="dxa"/>
              <w:left w:w="150" w:type="dxa"/>
              <w:bottom w:w="100" w:type="dxa"/>
              <w:right w:w="100" w:type="dxa"/>
            </w:tcMar>
            <w:hideMark/>
          </w:tcPr>
          <w:p w14:paraId="51529F78" w14:textId="77777777" w:rsidR="00F37BC4" w:rsidRPr="00F37BC4" w:rsidRDefault="00F37BC4" w:rsidP="00F37BC4">
            <w:pPr>
              <w:jc w:val="both"/>
              <w:rPr>
                <w:sz w:val="20"/>
              </w:rPr>
            </w:pPr>
            <w:r w:rsidRPr="00F37BC4">
              <w:rPr>
                <w:sz w:val="20"/>
              </w:rPr>
              <w:t>Pay Per Request</w:t>
            </w:r>
          </w:p>
        </w:tc>
        <w:tc>
          <w:tcPr>
            <w:tcW w:w="6400" w:type="dxa"/>
            <w:tcBorders>
              <w:top w:val="single" w:sz="4" w:space="0" w:color="D8DCD8"/>
              <w:left w:val="single" w:sz="4" w:space="0" w:color="D8DCD8"/>
              <w:bottom w:val="single" w:sz="4" w:space="0" w:color="D8DCD8"/>
              <w:right w:val="single" w:sz="4" w:space="0" w:color="D8DCD8"/>
            </w:tcBorders>
            <w:tcMar>
              <w:top w:w="100" w:type="dxa"/>
              <w:left w:w="150" w:type="dxa"/>
              <w:bottom w:w="100" w:type="dxa"/>
              <w:right w:w="100" w:type="dxa"/>
            </w:tcMar>
            <w:hideMark/>
          </w:tcPr>
          <w:p w14:paraId="69BCA41F" w14:textId="77777777" w:rsidR="00F37BC4" w:rsidRPr="00F37BC4" w:rsidRDefault="00F37BC4" w:rsidP="00F37BC4">
            <w:pPr>
              <w:jc w:val="both"/>
              <w:rPr>
                <w:sz w:val="20"/>
              </w:rPr>
            </w:pPr>
            <w:r w:rsidRPr="00F37BC4">
              <w:rPr>
                <w:sz w:val="20"/>
              </w:rPr>
              <w:t>A small fee charged each time a consumer pulls the dataset.</w:t>
            </w:r>
          </w:p>
        </w:tc>
      </w:tr>
      <w:tr w:rsidR="00F37BC4" w:rsidRPr="00F37BC4" w14:paraId="0C04A7E3" w14:textId="77777777">
        <w:tc>
          <w:tcPr>
            <w:tcW w:w="2600" w:type="dxa"/>
            <w:tcBorders>
              <w:top w:val="single" w:sz="4" w:space="0" w:color="D8DCD8"/>
              <w:left w:val="single" w:sz="4" w:space="0" w:color="D8DCD8"/>
              <w:bottom w:val="single" w:sz="4" w:space="0" w:color="D8DCD8"/>
              <w:right w:val="single" w:sz="4" w:space="0" w:color="D8DCD8"/>
            </w:tcBorders>
            <w:shd w:val="clear" w:color="auto" w:fill="EFF5F3"/>
            <w:tcMar>
              <w:top w:w="100" w:type="dxa"/>
              <w:left w:w="150" w:type="dxa"/>
              <w:bottom w:w="100" w:type="dxa"/>
              <w:right w:w="100" w:type="dxa"/>
            </w:tcMar>
            <w:hideMark/>
          </w:tcPr>
          <w:p w14:paraId="302BB5F9" w14:textId="77777777" w:rsidR="00F37BC4" w:rsidRPr="00F37BC4" w:rsidRDefault="00F37BC4" w:rsidP="00F37BC4">
            <w:pPr>
              <w:jc w:val="both"/>
              <w:rPr>
                <w:sz w:val="20"/>
              </w:rPr>
            </w:pPr>
            <w:r w:rsidRPr="00F37BC4">
              <w:rPr>
                <w:sz w:val="20"/>
              </w:rPr>
              <w:t>Pay Per Volume</w:t>
            </w:r>
          </w:p>
        </w:tc>
        <w:tc>
          <w:tcPr>
            <w:tcW w:w="6400" w:type="dxa"/>
            <w:tcBorders>
              <w:top w:val="single" w:sz="4" w:space="0" w:color="D8DCD8"/>
              <w:left w:val="single" w:sz="4" w:space="0" w:color="D8DCD8"/>
              <w:bottom w:val="single" w:sz="4" w:space="0" w:color="D8DCD8"/>
              <w:right w:val="single" w:sz="4" w:space="0" w:color="D8DCD8"/>
            </w:tcBorders>
            <w:shd w:val="clear" w:color="auto" w:fill="EFF5F3"/>
            <w:tcMar>
              <w:top w:w="100" w:type="dxa"/>
              <w:left w:w="150" w:type="dxa"/>
              <w:bottom w:w="100" w:type="dxa"/>
              <w:right w:w="100" w:type="dxa"/>
            </w:tcMar>
            <w:hideMark/>
          </w:tcPr>
          <w:p w14:paraId="17F0CD67" w14:textId="77777777" w:rsidR="00F37BC4" w:rsidRPr="00F37BC4" w:rsidRDefault="00F37BC4" w:rsidP="00F37BC4">
            <w:pPr>
              <w:jc w:val="both"/>
              <w:rPr>
                <w:sz w:val="20"/>
              </w:rPr>
            </w:pPr>
            <w:r w:rsidRPr="00F37BC4">
              <w:rPr>
                <w:sz w:val="20"/>
              </w:rPr>
              <w:t>Priced by the amount of data delivered — suited to large or high-frequency datasets.</w:t>
            </w:r>
          </w:p>
        </w:tc>
      </w:tr>
      <w:tr w:rsidR="00F37BC4" w:rsidRPr="00F37BC4" w14:paraId="75804F83" w14:textId="77777777">
        <w:tc>
          <w:tcPr>
            <w:tcW w:w="2600" w:type="dxa"/>
            <w:tcBorders>
              <w:top w:val="single" w:sz="4" w:space="0" w:color="D8DCD8"/>
              <w:left w:val="single" w:sz="4" w:space="0" w:color="D8DCD8"/>
              <w:bottom w:val="single" w:sz="4" w:space="0" w:color="D8DCD8"/>
              <w:right w:val="single" w:sz="4" w:space="0" w:color="D8DCD8"/>
            </w:tcBorders>
            <w:tcMar>
              <w:top w:w="100" w:type="dxa"/>
              <w:left w:w="150" w:type="dxa"/>
              <w:bottom w:w="100" w:type="dxa"/>
              <w:right w:w="100" w:type="dxa"/>
            </w:tcMar>
            <w:hideMark/>
          </w:tcPr>
          <w:p w14:paraId="29A95D2C" w14:textId="77777777" w:rsidR="00F37BC4" w:rsidRPr="00F37BC4" w:rsidRDefault="00F37BC4" w:rsidP="00F37BC4">
            <w:pPr>
              <w:jc w:val="both"/>
              <w:rPr>
                <w:sz w:val="20"/>
              </w:rPr>
            </w:pPr>
            <w:r w:rsidRPr="00F37BC4">
              <w:rPr>
                <w:sz w:val="20"/>
              </w:rPr>
              <w:t>Subscription</w:t>
            </w:r>
          </w:p>
        </w:tc>
        <w:tc>
          <w:tcPr>
            <w:tcW w:w="6400" w:type="dxa"/>
            <w:tcBorders>
              <w:top w:val="single" w:sz="4" w:space="0" w:color="D8DCD8"/>
              <w:left w:val="single" w:sz="4" w:space="0" w:color="D8DCD8"/>
              <w:bottom w:val="single" w:sz="4" w:space="0" w:color="D8DCD8"/>
              <w:right w:val="single" w:sz="4" w:space="0" w:color="D8DCD8"/>
            </w:tcBorders>
            <w:tcMar>
              <w:top w:w="100" w:type="dxa"/>
              <w:left w:w="150" w:type="dxa"/>
              <w:bottom w:w="100" w:type="dxa"/>
              <w:right w:w="100" w:type="dxa"/>
            </w:tcMar>
            <w:hideMark/>
          </w:tcPr>
          <w:p w14:paraId="6168332E" w14:textId="77777777" w:rsidR="00F37BC4" w:rsidRPr="00F37BC4" w:rsidRDefault="00F37BC4" w:rsidP="00F37BC4">
            <w:pPr>
              <w:jc w:val="both"/>
              <w:rPr>
                <w:sz w:val="20"/>
              </w:rPr>
            </w:pPr>
            <w:r w:rsidRPr="00F37BC4">
              <w:rPr>
                <w:sz w:val="20"/>
              </w:rPr>
              <w:t>A flat recurring fee (monthly or annual) for ongoing access.</w:t>
            </w:r>
          </w:p>
        </w:tc>
      </w:tr>
    </w:tbl>
    <w:p w14:paraId="7E260081" w14:textId="77777777" w:rsidR="00F37BC4" w:rsidRDefault="00F37BC4" w:rsidP="00F37BC4">
      <w:pPr>
        <w:jc w:val="both"/>
        <w:rPr>
          <w:sz w:val="20"/>
        </w:rPr>
      </w:pPr>
    </w:p>
    <w:p w14:paraId="567752B1" w14:textId="07666464" w:rsidR="00F37BC4" w:rsidRPr="00F37BC4" w:rsidRDefault="00F37BC4" w:rsidP="00F37BC4">
      <w:pPr>
        <w:jc w:val="both"/>
        <w:rPr>
          <w:sz w:val="20"/>
        </w:rPr>
      </w:pPr>
      <w:r w:rsidRPr="00F37BC4">
        <w:rPr>
          <w:sz w:val="20"/>
        </w:rPr>
        <w:lastRenderedPageBreak/>
        <w:t>Also available: discounted rates for academic/research use, exemptions for government bodies, and custom bulk pricing for high-volume consumers — all set directly on the dataset, with no separate billing system to configure.</w:t>
      </w:r>
    </w:p>
    <w:p w14:paraId="3AAC451D" w14:textId="77777777" w:rsidR="00F37BC4" w:rsidRPr="00F37BC4" w:rsidRDefault="00F37BC4" w:rsidP="00F37BC4">
      <w:pPr>
        <w:jc w:val="both"/>
        <w:rPr>
          <w:b/>
          <w:bCs/>
          <w:sz w:val="20"/>
        </w:rPr>
      </w:pPr>
      <w:r w:rsidRPr="00F37BC4">
        <w:rPr>
          <w:b/>
          <w:bCs/>
          <w:sz w:val="20"/>
        </w:rPr>
        <w:t>Let's Talk</w:t>
      </w:r>
    </w:p>
    <w:p w14:paraId="39FF1FC7" w14:textId="64B687F8" w:rsidR="00F37BC4" w:rsidRPr="00D41C72" w:rsidRDefault="00E65D23" w:rsidP="00F37BC4">
      <w:pPr>
        <w:jc w:val="both"/>
        <w:rPr>
          <w:sz w:val="20"/>
        </w:rPr>
      </w:pPr>
      <w:r w:rsidRPr="00E65D23">
        <w:rPr>
          <w:sz w:val="20"/>
        </w:rPr>
        <w:t>GNA has developed implementation-ready BAP platforms aligned with the Indian Energy Stack (IES). Designed to integrate with existing utility systems, the platforms enable standardized, interoperable data sharing without replacing current infrastructure. We invite your organization to participate in an open pilot to experience a practical, SaaS-based approach to IES-compliant data management and exchange.</w:t>
      </w:r>
    </w:p>
    <w:sectPr w:rsidR="00F37BC4" w:rsidRPr="00D41C72" w:rsidSect="00034616">
      <w:headerReference w:type="default" r:id="rId8"/>
      <w:footerReference w:type="default" r:id="rId9"/>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A5875" w14:textId="77777777" w:rsidR="006E2EED" w:rsidRDefault="006E2EED">
      <w:pPr>
        <w:spacing w:after="0" w:line="240" w:lineRule="auto"/>
      </w:pPr>
      <w:r>
        <w:separator/>
      </w:r>
    </w:p>
  </w:endnote>
  <w:endnote w:type="continuationSeparator" w:id="0">
    <w:p w14:paraId="3FF0D2CB" w14:textId="77777777" w:rsidR="006E2EED" w:rsidRDefault="006E2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B9C6" w14:textId="6267F6C2" w:rsidR="007672BD" w:rsidRDefault="007672BD" w:rsidP="007672BD">
    <w:pPr>
      <w:pStyle w:val="Footer"/>
    </w:pPr>
    <w:r>
      <w:rPr>
        <w:noProof/>
      </w:rPr>
      <mc:AlternateContent>
        <mc:Choice Requires="wps">
          <w:drawing>
            <wp:anchor distT="0" distB="0" distL="114300" distR="114300" simplePos="0" relativeHeight="251662848" behindDoc="0" locked="0" layoutInCell="1" allowOverlap="1" wp14:anchorId="2C4E3E21" wp14:editId="11EDB205">
              <wp:simplePos x="0" y="0"/>
              <wp:positionH relativeFrom="column">
                <wp:posOffset>0</wp:posOffset>
              </wp:positionH>
              <wp:positionV relativeFrom="paragraph">
                <wp:posOffset>110490</wp:posOffset>
              </wp:positionV>
              <wp:extent cx="3827145" cy="35560"/>
              <wp:effectExtent l="0" t="0" r="1905" b="2540"/>
              <wp:wrapNone/>
              <wp:docPr id="15" name="Rectangle 15"/>
              <wp:cNvGraphicFramePr/>
              <a:graphic xmlns:a="http://schemas.openxmlformats.org/drawingml/2006/main">
                <a:graphicData uri="http://schemas.microsoft.com/office/word/2010/wordprocessingShape">
                  <wps:wsp>
                    <wps:cNvSpPr/>
                    <wps:spPr>
                      <a:xfrm>
                        <a:off x="0" y="0"/>
                        <a:ext cx="3827145" cy="35560"/>
                      </a:xfrm>
                      <a:prstGeom prst="rect">
                        <a:avLst/>
                      </a:prstGeom>
                      <a:solidFill>
                        <a:srgbClr val="FF7D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A946C" id="Rectangle 15" o:spid="_x0000_s1026" style="position:absolute;margin-left:0;margin-top:8.7pt;width:301.35pt;height:2.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VfmfQIAAF4FAAAOAAAAZHJzL2Uyb0RvYy54bWysVN9P2zAQfp+0/8Hy+0haWmAVKapAnSYh&#10;QMDEs+vYTSTH553dpt1fv7OTpgzQHqb1wfX57r77ke/u8mrXGLZV6GuwBR+d5JwpK6Gs7brgP56X&#10;Xy4480HYUhiwquB75fnV/POny9bN1BgqMKVCRiDWz1pX8CoEN8syLyvVCH8CTllSasBGBBJxnZUo&#10;WkJvTDbO87OsBSwdglTe0+tNp+TzhK+1kuFea68CMwWn3EI6MZ2reGbzSzFbo3BVLfs0xD9k0Yja&#10;UtAB6kYEwTZYv4NqaongQYcTCU0GWtdSpRqomlH+ppqnSjiVaqHmeDe0yf8/WHm3fXIPSG1onZ95&#10;usYqdhqb+E/5sV1q1n5oltoFJunx9GJ8PppMOZOkO51Oz1Izs6OzQx++KWhYvBQc6VukFontrQ8U&#10;kEwPJjGWB1OXy9qYJOB6dW2QbQV9t+Xy/CY/oP9hZmw0thDdOsT4kh1LSbewNyraGfuoNKtLSn6c&#10;MkksU0McIaWyYdSpKlGqLvw0p18kCiU8eCQpAUZkTfEH7B4gMvg9dgfT20dXlUg6OOd/S6xzHjxS&#10;ZLBhcG5qC/gRgKGq+sid/aFJXWtil1ZQ7h+QIXQj4p1c1vTdboUPDwJpJmh6aM7DPR3aQFtw6G+c&#10;VYC/PnqP9kRV0nLW0owV3P/cCFScme+WSPx1NJnEoUzCZHo+JgFfa1avNXbTXAPRYUQbxcl0jfbB&#10;HK4aoXmhdbCIUUklrKTYBZcBD8J16GafFopUi0Uyo0F0ItzaJycjeOxq5OXz7kWg68kbiPV3cJhH&#10;MXvD4c42elpYbALoOhH82Ne+3zTEiTj9wolb4rWcrI5rcf4bAAD//wMAUEsDBBQABgAIAAAAIQBz&#10;vgZj3wAAAAYBAAAPAAAAZHJzL2Rvd25yZXYueG1sTI/NTsMwEITvSH0Ha5G4IGoTUH9CnAohoRap&#10;h9L2ws2JlyRqvI5itw08PdsTPe7MaObbbDG4VpywD40nDY9jBQKp9LahSsN+9/4wAxGiIWtaT6jh&#10;BwMs8tFNZlLrz/SJp22sBJdQSI2GOsYulTKUNToTxr5DYu/b985EPvtK2t6cudy1MlFqIp1piBdq&#10;0+FbjeVhe3QaVnJerde7Yfk7v7fqo1j61dfGa313O7y+gIg4xP8wXPAZHXJmKvyRbBCtBn4ksjp9&#10;BsHuRCVTEIWG5EmBzDN5jZ//AQAA//8DAFBLAQItABQABgAIAAAAIQC2gziS/gAAAOEBAAATAAAA&#10;AAAAAAAAAAAAAAAAAABbQ29udGVudF9UeXBlc10ueG1sUEsBAi0AFAAGAAgAAAAhADj9If/WAAAA&#10;lAEAAAsAAAAAAAAAAAAAAAAALwEAAF9yZWxzLy5yZWxzUEsBAi0AFAAGAAgAAAAhAOs9V+Z9AgAA&#10;XgUAAA4AAAAAAAAAAAAAAAAALgIAAGRycy9lMm9Eb2MueG1sUEsBAi0AFAAGAAgAAAAhAHO+BmPf&#10;AAAABgEAAA8AAAAAAAAAAAAAAAAA1wQAAGRycy9kb3ducmV2LnhtbFBLBQYAAAAABAAEAPMAAADj&#10;BQAAAAA=&#10;" fillcolor="#ff7d00" stroked="f" strokeweight="2pt"/>
          </w:pict>
        </mc:Fallback>
      </mc:AlternateContent>
    </w:r>
    <w:r>
      <w:rPr>
        <w:noProof/>
      </w:rPr>
      <mc:AlternateContent>
        <mc:Choice Requires="wps">
          <w:drawing>
            <wp:anchor distT="0" distB="0" distL="114300" distR="114300" simplePos="0" relativeHeight="251655680" behindDoc="0" locked="0" layoutInCell="1" allowOverlap="1" wp14:anchorId="6305AEAE" wp14:editId="1915EF26">
              <wp:simplePos x="0" y="0"/>
              <wp:positionH relativeFrom="column">
                <wp:posOffset>0</wp:posOffset>
              </wp:positionH>
              <wp:positionV relativeFrom="paragraph">
                <wp:posOffset>105410</wp:posOffset>
              </wp:positionV>
              <wp:extent cx="5731510" cy="35560"/>
              <wp:effectExtent l="0" t="0" r="0" b="2540"/>
              <wp:wrapNone/>
              <wp:docPr id="14" name="Rectangle 14"/>
              <wp:cNvGraphicFramePr/>
              <a:graphic xmlns:a="http://schemas.openxmlformats.org/drawingml/2006/main">
                <a:graphicData uri="http://schemas.microsoft.com/office/word/2010/wordprocessingShape">
                  <wps:wsp>
                    <wps:cNvSpPr/>
                    <wps:spPr>
                      <a:xfrm>
                        <a:off x="0" y="0"/>
                        <a:ext cx="5731510" cy="35560"/>
                      </a:xfrm>
                      <a:prstGeom prst="rect">
                        <a:avLst/>
                      </a:prstGeom>
                      <a:solidFill>
                        <a:srgbClr val="C5C7C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12846" id="Rectangle 14" o:spid="_x0000_s1026" style="position:absolute;margin-left:0;margin-top:8.3pt;width:451.3pt;height:2.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ubkggIAAF4FAAAOAAAAZHJzL2Uyb0RvYy54bWysVE1v2zAMvQ/YfxB0Xx2nTbsGdYogRYcB&#10;RVusHXpWZCk2IIsapcTJfv0o+SNdV+wwLAdFMh8fySdSV9f7xrCdQl+DLXh+MuFMWQllbTcF//58&#10;++kzZz4IWwoDVhX8oDy/Xnz8cNW6uZpCBaZUyIjE+nnrCl6F4OZZ5mWlGuFPwClLRg3YiEBH3GQl&#10;ipbYG5NNJ5PzrAUsHYJU3tPXm87IF4lfayXDg9ZeBWYKTrmFtGJa13HNFldivkHhqlr2aYh/yKIR&#10;taWgI9WNCIJtsf6DqqklggcdTiQ0GWhdS5VqoGryyZtqnirhVKqFxPFulMn/P1p5v3tyj0gytM7P&#10;PW1jFXuNTfyn/Ng+iXUYxVL7wCR9nF2c5rOcNJVkO53NzpOY2dHZoQ9fFDQsbgqOdBdJIrG784EC&#10;EnSAxFgeTF3e1sakA27WK4NsJ+jeVrPVxeoyXhW5/AYzNoItRLfOHL9kx1LSLhyMijhjvynN6pKS&#10;n6ZMUpepMY6QUtmQd6ZKlKoLP5vQb4ge+zJ6pFwSYWTWFH/k7gkGZEcycHdZ9vjoqlKTjs6TvyXW&#10;OY8eKTLYMDo3tQV8j8BQVX3kDj+I1EkTVVpDeXhEhtCNiHfytqZ7uxM+PAqkmaCbpjkPD7RoA23B&#10;od9xVgH+fO97xFOrkpWzlmas4P7HVqDizHy11MSX+dlZHMp0OJtdTOmAry3r1xa7bVZA7ZDTi+Jk&#10;2kZ8MMNWIzQv9BwsY1QyCSspdsFlwOGwCt3s04Mi1XKZYDSIToQ7++RkJI+qxr583r8IdH3zBur6&#10;exjmUczf9HCHjZ4WltsAuk4NftS115uGODVO/+DEV+L1OaGOz+LiFwAAAP//AwBQSwMEFAAGAAgA&#10;AAAhAC9SY0jbAAAABgEAAA8AAABkcnMvZG93bnJldi54bWxMjzFPwzAQhXck/oN1SCyIOniIaIhT&#10;FRAbINF26OjGRxJqn6PYbZJ/zzHR7d6903vflavJO3HGIXaBNDwsMhBIdbAdNRp227f7RxAxGbLG&#10;BUINM0ZYVddXpSlsGOkLz5vUCA6hWBgNbUp9IWWsW/QmLkKPxN53GLxJLIdG2sGMHO6dVFmWS286&#10;4obW9PjSYn3cnLwG9zo+799nP/bTz8dW7ue7T5pR69ubaf0EIuGU/o/hD5/RoWKmQziRjcJp4EcS&#10;b/McBLvLTPFw0KCUAlmV8hK/+gUAAP//AwBQSwECLQAUAAYACAAAACEAtoM4kv4AAADhAQAAEwAA&#10;AAAAAAAAAAAAAAAAAAAAW0NvbnRlbnRfVHlwZXNdLnhtbFBLAQItABQABgAIAAAAIQA4/SH/1gAA&#10;AJQBAAALAAAAAAAAAAAAAAAAAC8BAABfcmVscy8ucmVsc1BLAQItABQABgAIAAAAIQBo7ubkggIA&#10;AF4FAAAOAAAAAAAAAAAAAAAAAC4CAABkcnMvZTJvRG9jLnhtbFBLAQItABQABgAIAAAAIQAvUmNI&#10;2wAAAAYBAAAPAAAAAAAAAAAAAAAAANwEAABkcnMvZG93bnJldi54bWxQSwUGAAAAAAQABADzAAAA&#10;5AUAAAAA&#10;" fillcolor="#c5c7c9" stroked="f" strokeweight="2pt"/>
          </w:pict>
        </mc:Fallback>
      </mc:AlternateContent>
    </w:r>
  </w:p>
  <w:p w14:paraId="5FF9CABA" w14:textId="64D4F59F" w:rsidR="007672BD" w:rsidRPr="003F1F51" w:rsidRDefault="007672BD" w:rsidP="007672BD">
    <w:pPr>
      <w:pStyle w:val="Footer"/>
      <w:rPr>
        <w:rFonts w:ascii="Open Sans" w:hAnsi="Open Sans" w:cs="Open Sans"/>
        <w:b/>
        <w:bCs/>
        <w:sz w:val="20"/>
        <w:szCs w:val="20"/>
      </w:rPr>
    </w:pPr>
    <w:r w:rsidRPr="00360015">
      <w:rPr>
        <w:noProof/>
      </w:rPr>
      <w:drawing>
        <wp:anchor distT="0" distB="0" distL="114300" distR="114300" simplePos="0" relativeHeight="251666944" behindDoc="1" locked="0" layoutInCell="1" allowOverlap="1" wp14:anchorId="02FBD382" wp14:editId="459FFBB5">
          <wp:simplePos x="0" y="0"/>
          <wp:positionH relativeFrom="column">
            <wp:posOffset>0</wp:posOffset>
          </wp:positionH>
          <wp:positionV relativeFrom="paragraph">
            <wp:posOffset>103505</wp:posOffset>
          </wp:positionV>
          <wp:extent cx="177800" cy="241300"/>
          <wp:effectExtent l="0" t="0" r="0" b="6350"/>
          <wp:wrapTight wrapText="bothSides">
            <wp:wrapPolygon edited="0">
              <wp:start x="0" y="0"/>
              <wp:lineTo x="0" y="13642"/>
              <wp:lineTo x="2314" y="20463"/>
              <wp:lineTo x="13886" y="20463"/>
              <wp:lineTo x="16200" y="20463"/>
              <wp:lineTo x="18514" y="6821"/>
              <wp:lineTo x="1851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77800" cy="24130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3F1F51">
      <w:rPr>
        <w:rFonts w:ascii="Open Sans" w:hAnsi="Open Sans" w:cs="Open Sans"/>
        <w:b/>
        <w:bCs/>
        <w:sz w:val="20"/>
        <w:szCs w:val="20"/>
      </w:rPr>
      <w:t>GNA Energy Private Limited</w:t>
    </w:r>
  </w:p>
  <w:p w14:paraId="0CE32DB2" w14:textId="31CD7501" w:rsidR="007672BD" w:rsidRPr="003F1F51" w:rsidRDefault="007672BD" w:rsidP="007672BD">
    <w:pPr>
      <w:pStyle w:val="Footer"/>
      <w:rPr>
        <w:rFonts w:ascii="Open Sans" w:hAnsi="Open Sans" w:cs="Open Sans"/>
        <w:sz w:val="20"/>
        <w:szCs w:val="20"/>
      </w:rPr>
    </w:pPr>
    <w:r w:rsidRPr="003F1F51">
      <w:rPr>
        <w:rFonts w:ascii="Open Sans" w:hAnsi="Open Sans" w:cs="Open Sans"/>
        <w:sz w:val="20"/>
        <w:szCs w:val="20"/>
      </w:rPr>
      <w:t xml:space="preserve">  </w:t>
    </w:r>
    <w:r>
      <w:rPr>
        <w:rFonts w:ascii="Open Sans" w:hAnsi="Open Sans" w:cs="Open Sans"/>
        <w:sz w:val="20"/>
        <w:szCs w:val="20"/>
      </w:rPr>
      <w:t xml:space="preserve">        </w:t>
    </w:r>
    <w:r w:rsidRPr="003F1F51">
      <w:rPr>
        <w:rFonts w:ascii="Open Sans" w:hAnsi="Open Sans" w:cs="Open Sans"/>
        <w:sz w:val="20"/>
        <w:szCs w:val="20"/>
      </w:rPr>
      <w:t xml:space="preserve">Office: </w:t>
    </w:r>
    <w:r>
      <w:rPr>
        <w:rFonts w:ascii="Open Sans" w:hAnsi="Open Sans" w:cs="Open Sans"/>
        <w:sz w:val="20"/>
        <w:szCs w:val="20"/>
      </w:rPr>
      <w:t>706</w:t>
    </w:r>
    <w:r w:rsidRPr="003F1F51">
      <w:rPr>
        <w:rFonts w:ascii="Open Sans" w:hAnsi="Open Sans" w:cs="Open Sans"/>
        <w:sz w:val="20"/>
        <w:szCs w:val="20"/>
      </w:rPr>
      <w:t xml:space="preserve">, </w:t>
    </w:r>
    <w:r>
      <w:rPr>
        <w:rFonts w:ascii="Open Sans" w:hAnsi="Open Sans" w:cs="Open Sans"/>
        <w:sz w:val="20"/>
        <w:szCs w:val="20"/>
      </w:rPr>
      <w:t>Palm Spring Plaza</w:t>
    </w:r>
    <w:r w:rsidRPr="003F1F51">
      <w:rPr>
        <w:rFonts w:ascii="Open Sans" w:hAnsi="Open Sans" w:cs="Open Sans"/>
        <w:sz w:val="20"/>
        <w:szCs w:val="20"/>
      </w:rPr>
      <w:t>,</w:t>
    </w:r>
    <w:r>
      <w:rPr>
        <w:rFonts w:ascii="Open Sans" w:hAnsi="Open Sans" w:cs="Open Sans"/>
        <w:sz w:val="20"/>
        <w:szCs w:val="20"/>
      </w:rPr>
      <w:t xml:space="preserve"> Sector 54, </w:t>
    </w:r>
    <w:r w:rsidRPr="003F1F51">
      <w:rPr>
        <w:rFonts w:ascii="Open Sans" w:hAnsi="Open Sans" w:cs="Open Sans"/>
        <w:sz w:val="20"/>
        <w:szCs w:val="20"/>
      </w:rPr>
      <w:t>Gurugram, Haryana</w:t>
    </w:r>
    <w:r>
      <w:rPr>
        <w:rFonts w:ascii="Open Sans" w:hAnsi="Open Sans" w:cs="Open Sans"/>
        <w:sz w:val="20"/>
        <w:szCs w:val="20"/>
      </w:rPr>
      <w:t xml:space="preserve"> </w:t>
    </w:r>
    <w:r w:rsidRPr="003F1F51">
      <w:rPr>
        <w:rFonts w:ascii="Open Sans" w:hAnsi="Open Sans" w:cs="Open Sans"/>
        <w:sz w:val="20"/>
        <w:szCs w:val="20"/>
      </w:rPr>
      <w:t>1220</w:t>
    </w:r>
    <w:r>
      <w:rPr>
        <w:rFonts w:ascii="Open Sans" w:hAnsi="Open Sans" w:cs="Open Sans"/>
        <w:sz w:val="20"/>
        <w:szCs w:val="20"/>
      </w:rPr>
      <w:t>09</w:t>
    </w:r>
  </w:p>
  <w:p w14:paraId="344CC2AE" w14:textId="1839D67D" w:rsidR="007672BD" w:rsidRPr="007672BD" w:rsidRDefault="007672BD" w:rsidP="007672BD">
    <w:pPr>
      <w:pStyle w:val="Footer"/>
      <w:rPr>
        <w:rFonts w:ascii="Open Sans" w:hAnsi="Open Sans" w:cs="Open Sans"/>
        <w:sz w:val="20"/>
        <w:szCs w:val="20"/>
      </w:rPr>
    </w:pPr>
    <w:r w:rsidRPr="003F1F51">
      <w:rPr>
        <w:rFonts w:ascii="Open Sans" w:hAnsi="Open Sans" w:cs="Open Sans"/>
        <w:sz w:val="20"/>
        <w:szCs w:val="20"/>
      </w:rPr>
      <w:t xml:space="preserve">         </w:t>
    </w:r>
    <w:r>
      <w:rPr>
        <w:rFonts w:ascii="Open Sans" w:hAnsi="Open Sans" w:cs="Open Sans"/>
        <w:sz w:val="20"/>
        <w:szCs w:val="20"/>
      </w:rPr>
      <w:t xml:space="preserve"> </w:t>
    </w:r>
    <w:r w:rsidRPr="003F1F51">
      <w:rPr>
        <w:rFonts w:ascii="Open Sans" w:hAnsi="Open Sans" w:cs="Open Sans"/>
        <w:sz w:val="20"/>
        <w:szCs w:val="20"/>
      </w:rPr>
      <w:t>CIN: U74999HR2022PTC106630 | info@gna.energ</w:t>
    </w:r>
    <w:r w:rsidRPr="00360015">
      <w:rPr>
        <w:noProof/>
        <w:color w:val="000000" w:themeColor="text1"/>
      </w:rPr>
      <mc:AlternateContent>
        <mc:Choice Requires="wps">
          <w:drawing>
            <wp:anchor distT="0" distB="0" distL="114300" distR="114300" simplePos="0" relativeHeight="251664896" behindDoc="0" locked="0" layoutInCell="1" allowOverlap="1" wp14:anchorId="6EB00F18" wp14:editId="733FF9B6">
              <wp:simplePos x="0" y="0"/>
              <wp:positionH relativeFrom="column">
                <wp:posOffset>0</wp:posOffset>
              </wp:positionH>
              <wp:positionV relativeFrom="paragraph">
                <wp:posOffset>239051</wp:posOffset>
              </wp:positionV>
              <wp:extent cx="5731510" cy="109220"/>
              <wp:effectExtent l="0" t="0" r="0" b="5080"/>
              <wp:wrapNone/>
              <wp:docPr id="18" name="Rectangle 18"/>
              <wp:cNvGraphicFramePr/>
              <a:graphic xmlns:a="http://schemas.openxmlformats.org/drawingml/2006/main">
                <a:graphicData uri="http://schemas.microsoft.com/office/word/2010/wordprocessingShape">
                  <wps:wsp>
                    <wps:cNvSpPr/>
                    <wps:spPr>
                      <a:xfrm>
                        <a:off x="0" y="0"/>
                        <a:ext cx="5731510" cy="109220"/>
                      </a:xfrm>
                      <a:prstGeom prst="rect">
                        <a:avLst/>
                      </a:prstGeom>
                      <a:solidFill>
                        <a:srgbClr val="FF7D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3E15B" id="Rectangle 18" o:spid="_x0000_s1026" style="position:absolute;margin-left:0;margin-top:18.8pt;width:451.3pt;height:8.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KtIfgIAAF8FAAAOAAAAZHJzL2Uyb0RvYy54bWysVMFu2zAMvQ/YPwi6r7azZl2DOkXQIsOA&#10;oi3aDj0rshQbkEWNUuJkXz9KdpyuLXYYloMiieQj+fyoi8tda9hWoW/Alrw4yTlTVkLV2HXJfzwt&#10;P33lzAdhK2HAqpLvleeX848fLjo3UxOowVQKGYFYP+tcyesQ3CzLvKxVK/wJOGXJqAFbEeiI66xC&#10;0RF6a7JJnn/JOsDKIUjlPd1e90Y+T/haKxnutPYqMFNyqi2kFdO6ims2vxCzNQpXN3IoQ/xDFa1o&#10;LCUdoa5FEGyDzRuotpEIHnQ4kdBmoHUjVeqBuinyV9081sKp1AuR491Ik/9/sPJ2++jukWjonJ95&#10;2sYudhrb+E/1sV0iaz+SpXaBSbqcnn0upgVxKslW5OeTSWIzO0Y79OGbgpbFTcmRPkbiSGxvfKCM&#10;5Hpwick8mKZaNsakA65XVwbZVtCHWy7PrvMD+h9uxkZnCzGsR4w32bGXtAt7o6KfsQ9Ks6ai6iep&#10;kiQzNeYRUiobit5Ui0r16ac5/aJSqOAxIp0SYETWlH/EHgCihN9i9zCDfwxVSaVjcP63wvrgMSJl&#10;BhvG4LaxgO8BGOpqyNz7H0jqqYksraDa3yND6GfEO7ls6LvdCB/uBdJQ0KemQQ93tGgDXclh2HFW&#10;A/567z76k1bJyllHQ1Zy/3MjUHFmvltS8XlxehqnMh1Op2ckIYYvLauXFrtpr4DkUNCT4mTaRv9g&#10;DluN0D7Te7CIWckkrKTcJZcBD4er0A8/vShSLRbJjSbRiXBjH52M4JHVqMun3bNAN4g3kOxv4TCQ&#10;YvZKw71vjLSw2ATQTRL4kdeBb5riJJzhxYnPxMtz8jq+i/PfAAAA//8DAFBLAwQUAAYACAAAACEA&#10;q30sMN8AAAAGAQAADwAAAGRycy9kb3ducmV2LnhtbEyPQUvDQBCF74L/YRnBi9iNVdsmZlJEkFbo&#10;QdtevG2yYxLMzobsto3+eseT3ubxHu99ky9H16kjDaH1jHAzSUARV962XCPsd8/XC1AhGram80wI&#10;XxRgWZyf5Saz/sRvdNzGWkkJh8wgNDH2mdahasiZMPE9sXgffnAmihxqbQdzknLX6WmSzLQzLctC&#10;Y3p6aqj63B4cwlqn9WazG1ff6ZVNXsqVX7+/esTLi/HxAVSkMf6F4Rdf0KEQptIf2AbVIcgjEeF2&#10;PgMlbppM5SgR7u8WoItc/8cvfgAAAP//AwBQSwECLQAUAAYACAAAACEAtoM4kv4AAADhAQAAEwAA&#10;AAAAAAAAAAAAAAAAAAAAW0NvbnRlbnRfVHlwZXNdLnhtbFBLAQItABQABgAIAAAAIQA4/SH/1gAA&#10;AJQBAAALAAAAAAAAAAAAAAAAAC8BAABfcmVscy8ucmVsc1BLAQItABQABgAIAAAAIQBhHKtIfgIA&#10;AF8FAAAOAAAAAAAAAAAAAAAAAC4CAABkcnMvZTJvRG9jLnhtbFBLAQItABQABgAIAAAAIQCrfSww&#10;3wAAAAYBAAAPAAAAAAAAAAAAAAAAANgEAABkcnMvZG93bnJldi54bWxQSwUGAAAAAAQABADzAAAA&#10;5AUAAAAA&#10;" fillcolor="#ff7d00" stroked="f" strokeweight="2pt"/>
          </w:pict>
        </mc:Fallback>
      </mc:AlternateContent>
    </w:r>
    <w:r>
      <w:rPr>
        <w:rFonts w:ascii="Open Sans" w:hAnsi="Open Sans" w:cs="Open Sans"/>
        <w:sz w:val="20"/>
        <w:szCs w:val="20"/>
      </w:rPr>
      <w: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2983F" w14:textId="77777777" w:rsidR="006E2EED" w:rsidRDefault="006E2EED">
      <w:pPr>
        <w:spacing w:after="0" w:line="240" w:lineRule="auto"/>
      </w:pPr>
      <w:r>
        <w:separator/>
      </w:r>
    </w:p>
  </w:footnote>
  <w:footnote w:type="continuationSeparator" w:id="0">
    <w:p w14:paraId="33999754" w14:textId="77777777" w:rsidR="006E2EED" w:rsidRDefault="006E2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7F3B" w14:textId="77777777" w:rsidR="007672BD" w:rsidRDefault="007672BD" w:rsidP="007672BD">
    <w:pPr>
      <w:pStyle w:val="Header"/>
    </w:pPr>
    <w:r>
      <w:rPr>
        <w:noProof/>
      </w:rPr>
      <w:drawing>
        <wp:inline distT="0" distB="0" distL="0" distR="0" wp14:anchorId="447EF90D" wp14:editId="5625539E">
          <wp:extent cx="693019" cy="34651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693019" cy="346510"/>
                  </a:xfrm>
                  <a:prstGeom prst="rect">
                    <a:avLst/>
                  </a:prstGeom>
                </pic:spPr>
              </pic:pic>
            </a:graphicData>
          </a:graphic>
        </wp:inline>
      </w:drawing>
    </w:r>
  </w:p>
  <w:p w14:paraId="32F6E369" w14:textId="77777777" w:rsidR="007672BD" w:rsidRDefault="007672BD" w:rsidP="007672BD">
    <w:pPr>
      <w:pStyle w:val="Header"/>
    </w:pPr>
    <w:r>
      <w:rPr>
        <w:noProof/>
      </w:rPr>
      <mc:AlternateContent>
        <mc:Choice Requires="wps">
          <w:drawing>
            <wp:anchor distT="0" distB="0" distL="114300" distR="114300" simplePos="0" relativeHeight="251649536" behindDoc="0" locked="0" layoutInCell="1" allowOverlap="1" wp14:anchorId="7105C3D0" wp14:editId="05360697">
              <wp:simplePos x="0" y="0"/>
              <wp:positionH relativeFrom="column">
                <wp:posOffset>0</wp:posOffset>
              </wp:positionH>
              <wp:positionV relativeFrom="paragraph">
                <wp:posOffset>93345</wp:posOffset>
              </wp:positionV>
              <wp:extent cx="678180" cy="36000"/>
              <wp:effectExtent l="0" t="0" r="0" b="2540"/>
              <wp:wrapNone/>
              <wp:docPr id="6" name="Rectangle 6"/>
              <wp:cNvGraphicFramePr/>
              <a:graphic xmlns:a="http://schemas.openxmlformats.org/drawingml/2006/main">
                <a:graphicData uri="http://schemas.microsoft.com/office/word/2010/wordprocessingShape">
                  <wps:wsp>
                    <wps:cNvSpPr/>
                    <wps:spPr>
                      <a:xfrm>
                        <a:off x="0" y="0"/>
                        <a:ext cx="678180" cy="36000"/>
                      </a:xfrm>
                      <a:prstGeom prst="rect">
                        <a:avLst/>
                      </a:prstGeom>
                      <a:solidFill>
                        <a:srgbClr val="FF7D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5115D" id="Rectangle 6" o:spid="_x0000_s1026" style="position:absolute;margin-left:0;margin-top:7.35pt;width:53.4pt;height:2.8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RWxeQIAAF0FAAAOAAAAZHJzL2Uyb0RvYy54bWysVE1v2zAMvQ/YfxB0X+1k/VpQpwgSZBhQ&#10;tMHaoWdFlmIDsqhRSpzs14+SHadrix2GXWRRJB/JZ5I3t/vGsJ1CX4Mt+Ogs50xZCWVtNwX/8bT8&#10;dM2ZD8KWwoBVBT8oz2+nHz/ctG6ixlCBKRUyArF+0rqCVyG4SZZ5WalG+DNwypJSAzYikIibrETR&#10;EnpjsnGeX2YtYOkQpPKeXhedkk8TvtZKhgetvQrMFJxyC+nEdK7jmU1vxGSDwlW17NMQ/5BFI2pL&#10;QQeohQiCbbF+A9XUEsGDDmcSmgy0rqVKNVA1o/xVNY+VcCrVQuR4N9Dk/x+svN89uhUSDa3zE0/X&#10;WMVeYxO/lB/bJ7IOA1lqH5ikx8ur69E1USpJ9fkyzxOX2cnXoQ9fFTQsXgqO9CsSQ2J35wPFI9Oj&#10;SQzlwdTlsjYmCbhZzw2ynaDftlxeLQb0P8yMjcYWoluHGF+yUyXpFg5GRTtjvyvN6pJyH6dMUpOp&#10;IY6QUtkw6lSVKFUX/oJKO9Y2eKT0E2BE1hR/wO4BYgO/xe6y7O2jq0o9Ojjnf0uscx48UmSwYXBu&#10;agv4HoChqvrInf2RpI6ayNIaysMKGUI3Id7JZU3/7U74sBJII0F/msY8PNChDbQFh/7GWQX46733&#10;aE+dSlrOWhqxgvufW4GKM/PNUg9/GZ2fx5lMwvnF1ZgEfKlZv9TYbTMHaocRLRQn0zXaB3O8aoTm&#10;mbbBLEYllbCSYhdcBjwK89CNPu0TqWazZEZz6ES4s49ORvDIauzLp/2zQNc3b6Cmv4fjOIrJqx7u&#10;bKOnhdk2gK5Tg5947fmmGU6N0++buCReysnqtBWnvwEAAP//AwBQSwMEFAAGAAgAAAAhAIV35Ljd&#10;AAAABgEAAA8AAABkcnMvZG93bnJldi54bWxMj0FLw0AQhe+C/2EZwYvYXUupNmZTRJBW6KG2XrxN&#10;smMSzM6G7LaN/nqnJz2+ecN738uXo+/UkYbYBrZwNzGgiKvgWq4tvO9fbh9AxYTssAtMFr4pwrK4&#10;vMgxc+HEb3TcpVpJCMcMLTQp9ZnWsWrIY5yEnli8zzB4TCKHWrsBTxLuOz01Zq49tiwNDfb03FD1&#10;tTt4C2u9qDeb/bj6Wdw481quwvpjG6y9vhqfHkElGtPfM5zxBR0KYSrDgV1UnQUZkuQ6uwd1ds1c&#10;hpQWpmYGusj1f/ziFwAA//8DAFBLAQItABQABgAIAAAAIQC2gziS/gAAAOEBAAATAAAAAAAAAAAA&#10;AAAAAAAAAABbQ29udGVudF9UeXBlc10ueG1sUEsBAi0AFAAGAAgAAAAhADj9If/WAAAAlAEAAAsA&#10;AAAAAAAAAAAAAAAALwEAAF9yZWxzLy5yZWxzUEsBAi0AFAAGAAgAAAAhAFbtFbF5AgAAXQUAAA4A&#10;AAAAAAAAAAAAAAAALgIAAGRycy9lMm9Eb2MueG1sUEsBAi0AFAAGAAgAAAAhAIV35LjdAAAABgEA&#10;AA8AAAAAAAAAAAAAAAAA0wQAAGRycy9kb3ducmV2LnhtbFBLBQYAAAAABAAEAPMAAADdBQAAAAA=&#10;" fillcolor="#ff7d00" stroked="f" strokeweight="2pt"/>
          </w:pict>
        </mc:Fallback>
      </mc:AlternateContent>
    </w:r>
    <w:r>
      <w:rPr>
        <w:noProof/>
      </w:rPr>
      <mc:AlternateContent>
        <mc:Choice Requires="wps">
          <w:drawing>
            <wp:anchor distT="0" distB="0" distL="114300" distR="114300" simplePos="0" relativeHeight="251648512" behindDoc="0" locked="0" layoutInCell="1" allowOverlap="1" wp14:anchorId="04A7846F" wp14:editId="299044EE">
              <wp:simplePos x="0" y="0"/>
              <wp:positionH relativeFrom="column">
                <wp:posOffset>0</wp:posOffset>
              </wp:positionH>
              <wp:positionV relativeFrom="paragraph">
                <wp:posOffset>93980</wp:posOffset>
              </wp:positionV>
              <wp:extent cx="5731877" cy="36000"/>
              <wp:effectExtent l="0" t="0" r="0" b="2540"/>
              <wp:wrapNone/>
              <wp:docPr id="4" name="Rectangle 4"/>
              <wp:cNvGraphicFramePr/>
              <a:graphic xmlns:a="http://schemas.openxmlformats.org/drawingml/2006/main">
                <a:graphicData uri="http://schemas.microsoft.com/office/word/2010/wordprocessingShape">
                  <wps:wsp>
                    <wps:cNvSpPr/>
                    <wps:spPr>
                      <a:xfrm>
                        <a:off x="0" y="0"/>
                        <a:ext cx="5731877" cy="36000"/>
                      </a:xfrm>
                      <a:prstGeom prst="rect">
                        <a:avLst/>
                      </a:prstGeom>
                      <a:solidFill>
                        <a:srgbClr val="C5C7C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B26B2" id="Rectangle 4" o:spid="_x0000_s1026" style="position:absolute;margin-left:0;margin-top:7.4pt;width:451.35pt;height:2.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7dJfgIAAF4FAAAOAAAAZHJzL2Uyb0RvYy54bWysVMFu2zAMvQ/YPwi6r3bSpmmDOkWQosOA&#10;oi3WDj0rshQbkEWNUuJkXz9KdpyuLXYYdpFFkXwkn0leXe8aw7YKfQ224KOTnDNlJZS1XRf8x/Pt&#10;lwvOfBC2FAasKvheeX49//zpqnUzNYYKTKmQEYj1s9YVvArBzbLMy0o1wp+AU5aUGrARgURcZyWK&#10;ltAbk43z/DxrAUuHIJX39HrTKfk84WutZHjQ2qvATMEpt5BOTOcqntn8SszWKFxVyz4N8Q9ZNKK2&#10;FHSAuhFBsA3W76CaWiJ40OFEQpOB1rVUqQaqZpS/qeapEk6lWogc7waa/P+DlffbJ/eIREPr/MzT&#10;NVax09jEL+XHdoms/UCW2gUm6XEyPR1dTKecSdKdnud5IjM7Ojv04auChsVLwZH+RaJIbO98oIBk&#10;ejCJsTyYurytjUkCrldLg2wr6L8tJ8vp8jL+KnL5w8zYaGwhunXq+JIdS0m3sDcq2hn7XWlWl5T8&#10;OGWSukwNcYSUyoZRp6pEqbrwEyrtUNvgkXJJgBFZU/wBuweIHfweu8uyt4+uKjXp4Jz/LbHOefBI&#10;kcGGwbmpLeBHAIaq6iN39geSOmoiSyso94/IELoR8U7e1vTf7oQPjwJpJmh6aM7DAx3aQFtw6G+c&#10;VYC/PnqP9tSqpOWspRkruP+5Eag4M98sNfHl6OwsDmUSzibTMQn4WrN6rbGbZgnUDiPaKE6ma7QP&#10;5nDVCM0LrYNFjEoqYSXFLrgMeBCWoZt9WihSLRbJjAbRiXBnn5yM4JHV2JfPuxeBrm/eQF1/D4d5&#10;FLM3PdzZRk8Li00AXacGP/La801DnBqnXzhxS7yWk9VxLc5/AwAA//8DAFBLAwQUAAYACAAAACEA&#10;BNruxdwAAAAGAQAADwAAAGRycy9kb3ducmV2LnhtbEyPS0/DMBCE70j9D9ZW4oKoTcQzxKl4iBtF&#10;ouXQoxsvSVp7HcVuk/x7lhMcd2Y0822xHL0TJ+xjG0jD1UKBQKqCbanW8LV5u7wHEZMha1wg1DBh&#10;hGU5OytMbsNAn3hap1pwCcXcaGhS6nIpY9WgN3EROiT2vkPvTeKzr6XtzcDl3slMqVvpTUu80JgO&#10;XxqsDuuj1+Beh+ft++SHbtyvNnI7XXzQhFqfz8enRxAJx/QXhl98RoeSmXbhSDYKp4EfSaxeMz+7&#10;Dyq7A7HTkKkbkGUh/+OXPwAAAP//AwBQSwECLQAUAAYACAAAACEAtoM4kv4AAADhAQAAEwAAAAAA&#10;AAAAAAAAAAAAAAAAW0NvbnRlbnRfVHlwZXNdLnhtbFBLAQItABQABgAIAAAAIQA4/SH/1gAAAJQB&#10;AAALAAAAAAAAAAAAAAAAAC8BAABfcmVscy8ucmVsc1BLAQItABQABgAIAAAAIQDNz7dJfgIAAF4F&#10;AAAOAAAAAAAAAAAAAAAAAC4CAABkcnMvZTJvRG9jLnhtbFBLAQItABQABgAIAAAAIQAE2u7F3AAA&#10;AAYBAAAPAAAAAAAAAAAAAAAAANgEAABkcnMvZG93bnJldi54bWxQSwUGAAAAAAQABADzAAAA4QUA&#10;AAAA&#10;" fillcolor="#c5c7c9" stroked="f" strokeweight="2pt"/>
          </w:pict>
        </mc:Fallback>
      </mc:AlternateContent>
    </w:r>
  </w:p>
  <w:p w14:paraId="1F31107C" w14:textId="77777777" w:rsidR="007672BD" w:rsidRPr="007672BD" w:rsidRDefault="007672BD">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EA12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F52E0"/>
    <w:multiLevelType w:val="hybridMultilevel"/>
    <w:tmpl w:val="40FEACF8"/>
    <w:lvl w:ilvl="0" w:tplc="31BA1DE4">
      <w:start w:val="1"/>
      <w:numFmt w:val="bullet"/>
      <w:lvlText w:val="•"/>
      <w:lvlJc w:val="left"/>
      <w:pPr>
        <w:ind w:left="460" w:hanging="260"/>
      </w:pPr>
      <w:rPr>
        <w:color w:val="C1571F"/>
      </w:rPr>
    </w:lvl>
    <w:lvl w:ilvl="1" w:tplc="F9F4AB94">
      <w:numFmt w:val="decimal"/>
      <w:lvlText w:val=""/>
      <w:lvlJc w:val="left"/>
      <w:pPr>
        <w:ind w:left="0" w:firstLine="0"/>
      </w:pPr>
    </w:lvl>
    <w:lvl w:ilvl="2" w:tplc="CC2C50F8">
      <w:numFmt w:val="decimal"/>
      <w:lvlText w:val=""/>
      <w:lvlJc w:val="left"/>
      <w:pPr>
        <w:ind w:left="0" w:firstLine="0"/>
      </w:pPr>
    </w:lvl>
    <w:lvl w:ilvl="3" w:tplc="AC5E01EE">
      <w:numFmt w:val="decimal"/>
      <w:lvlText w:val=""/>
      <w:lvlJc w:val="left"/>
      <w:pPr>
        <w:ind w:left="0" w:firstLine="0"/>
      </w:pPr>
    </w:lvl>
    <w:lvl w:ilvl="4" w:tplc="86641FCE">
      <w:numFmt w:val="decimal"/>
      <w:lvlText w:val=""/>
      <w:lvlJc w:val="left"/>
      <w:pPr>
        <w:ind w:left="0" w:firstLine="0"/>
      </w:pPr>
    </w:lvl>
    <w:lvl w:ilvl="5" w:tplc="7B225ACE">
      <w:numFmt w:val="decimal"/>
      <w:lvlText w:val=""/>
      <w:lvlJc w:val="left"/>
      <w:pPr>
        <w:ind w:left="0" w:firstLine="0"/>
      </w:pPr>
    </w:lvl>
    <w:lvl w:ilvl="6" w:tplc="EF82F9DC">
      <w:numFmt w:val="decimal"/>
      <w:lvlText w:val=""/>
      <w:lvlJc w:val="left"/>
      <w:pPr>
        <w:ind w:left="0" w:firstLine="0"/>
      </w:pPr>
    </w:lvl>
    <w:lvl w:ilvl="7" w:tplc="02F0ED92">
      <w:numFmt w:val="decimal"/>
      <w:lvlText w:val=""/>
      <w:lvlJc w:val="left"/>
      <w:pPr>
        <w:ind w:left="0" w:firstLine="0"/>
      </w:pPr>
    </w:lvl>
    <w:lvl w:ilvl="8" w:tplc="9DA2CECA">
      <w:numFmt w:val="decimal"/>
      <w:lvlText w:val=""/>
      <w:lvlJc w:val="left"/>
      <w:pPr>
        <w:ind w:left="0" w:firstLine="0"/>
      </w:pPr>
    </w:lvl>
  </w:abstractNum>
  <w:num w:numId="1" w16cid:durableId="692223817">
    <w:abstractNumId w:val="8"/>
  </w:num>
  <w:num w:numId="2" w16cid:durableId="1218662604">
    <w:abstractNumId w:val="6"/>
  </w:num>
  <w:num w:numId="3" w16cid:durableId="1495219340">
    <w:abstractNumId w:val="5"/>
  </w:num>
  <w:num w:numId="4" w16cid:durableId="1390958414">
    <w:abstractNumId w:val="4"/>
  </w:num>
  <w:num w:numId="5" w16cid:durableId="740062682">
    <w:abstractNumId w:val="7"/>
  </w:num>
  <w:num w:numId="6" w16cid:durableId="1400834111">
    <w:abstractNumId w:val="3"/>
  </w:num>
  <w:num w:numId="7" w16cid:durableId="2123451906">
    <w:abstractNumId w:val="2"/>
  </w:num>
  <w:num w:numId="8" w16cid:durableId="426001002">
    <w:abstractNumId w:val="1"/>
  </w:num>
  <w:num w:numId="9" w16cid:durableId="851145914">
    <w:abstractNumId w:val="0"/>
  </w:num>
  <w:num w:numId="10" w16cid:durableId="1049845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4E"/>
    <w:rsid w:val="00034616"/>
    <w:rsid w:val="0006063C"/>
    <w:rsid w:val="00063017"/>
    <w:rsid w:val="001022AD"/>
    <w:rsid w:val="001241D8"/>
    <w:rsid w:val="0015074B"/>
    <w:rsid w:val="001E1E69"/>
    <w:rsid w:val="00227C3F"/>
    <w:rsid w:val="0029639D"/>
    <w:rsid w:val="002F7692"/>
    <w:rsid w:val="00326F90"/>
    <w:rsid w:val="00365D2B"/>
    <w:rsid w:val="00502477"/>
    <w:rsid w:val="00505968"/>
    <w:rsid w:val="005241EC"/>
    <w:rsid w:val="006108A3"/>
    <w:rsid w:val="00666ECA"/>
    <w:rsid w:val="006E2EED"/>
    <w:rsid w:val="00733832"/>
    <w:rsid w:val="007672BD"/>
    <w:rsid w:val="007F003F"/>
    <w:rsid w:val="008011E5"/>
    <w:rsid w:val="008419B7"/>
    <w:rsid w:val="0087758A"/>
    <w:rsid w:val="008E54F2"/>
    <w:rsid w:val="00994A23"/>
    <w:rsid w:val="00A15814"/>
    <w:rsid w:val="00A22BB6"/>
    <w:rsid w:val="00A353BC"/>
    <w:rsid w:val="00AA1D8D"/>
    <w:rsid w:val="00B47730"/>
    <w:rsid w:val="00BE209C"/>
    <w:rsid w:val="00BF66B6"/>
    <w:rsid w:val="00C76050"/>
    <w:rsid w:val="00CB0664"/>
    <w:rsid w:val="00CE42EB"/>
    <w:rsid w:val="00CF6FA3"/>
    <w:rsid w:val="00D41C72"/>
    <w:rsid w:val="00D63859"/>
    <w:rsid w:val="00D778CA"/>
    <w:rsid w:val="00DA2AE3"/>
    <w:rsid w:val="00E65D23"/>
    <w:rsid w:val="00E901EB"/>
    <w:rsid w:val="00EB287F"/>
    <w:rsid w:val="00F37BC4"/>
    <w:rsid w:val="00F971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74C9112-0CDF-4B0C-BCD2-D3C1CB2B1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C4"/>
    <w:pPr>
      <w:spacing w:after="160" w:line="283"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 Sharma</cp:lastModifiedBy>
  <cp:revision>29</cp:revision>
  <dcterms:created xsi:type="dcterms:W3CDTF">2013-12-23T23:15:00Z</dcterms:created>
  <dcterms:modified xsi:type="dcterms:W3CDTF">2026-07-06T12:26:00Z</dcterms:modified>
  <cp:category/>
</cp:coreProperties>
</file>