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44"/>
          <w:szCs w:val="44"/>
        </w:rPr>
        <w:t xml:space="preserve">Genome-scale Model Inspector</w:t>
      </w:r>
    </w:p>
    <w:p>
      <w:pPr>
        <w:spacing w:after="120"/>
        <w:rPr>
          <w:color w:val="64748B"/>
          <w:sz w:val="26"/>
          <w:szCs w:val="26"/>
        </w:rPr>
      </w:pPr>
      <w:r>
        <w:rPr>
          <w:color w:val="64748B"/>
          <w:sz w:val="26"/>
          <w:szCs w:val="26"/>
        </w:rPr>
        <w:t xml:space="preserve">Feature guide: what each module and tab does</w:t>
      </w:r>
    </w:p>
    <w:p>
      <w:pPr>
        <w:spacing w:after="120"/>
      </w:pPr>
      <w:r>
        <w:t xml:space="preserve">The Genome-scale Model Inspector loads a COBRA genome-scale metabolic model (SBML/XML, JSON, YAML, MATLAB or compressed SBML) and reports on its structure and quality, and on what is likely to need debugging. Results are grouped into four modules, each with its own tabs. Everything below can be run from the browser once the app is started locally.</w:t>
      </w:r>
    </w:p>
    <w:sdt>
      <w:sdtPr>
        <w:alias w:val="Contents"/>
      </w:sdtPr>
      <w:sdtContent>
        <w:p>
          <w:r>
            <w:fldChar w:fldCharType="begin" w:dirty="true"/>
            <w:instrText xml:space="preserve">TOC \h \o "1-2"</w:instrText>
            <w:fldChar w:fldCharType="separate"/>
          </w:r>
        </w:p>
        <w:p>
          <w:r>
            <w:fldChar w:fldCharType="end"/>
          </w:r>
        </w:p>
      </w:sdtContent>
    </w:sdt>
    <w:p>
      <w:pPr>
        <w:pStyle w:val="Heading1"/>
        <w:spacing w:after="120" w:before="300"/>
      </w:pPr>
      <w:r>
        <w:t xml:space="preserve">1. Getting started</w:t>
      </w:r>
    </w:p>
    <w:p>
      <w:pPr>
        <w:pStyle w:val="Heading2"/>
        <w:spacing w:after="100" w:before="200"/>
      </w:pPr>
      <w:r>
        <w:t xml:space="preserve">Choose how to start</w:t>
      </w:r>
    </w:p>
    <w:p>
      <w:pPr>
        <w:pStyle w:val="ListParagraph"/>
        <w:numPr>
          <w:ilvl w:val="0"/>
          <w:numId w:val="2"/>
        </w:numPr>
        <w:spacing w:after="60"/>
      </w:pPr>
      <w:r>
        <w:t xml:space="preserve">Inspect a single model: upload one model, optionally choose a diet, and open the four modules.</w:t>
      </w:r>
    </w:p>
    <w:p>
      <w:pPr>
        <w:pStyle w:val="ListParagraph"/>
        <w:numPr>
          <w:ilvl w:val="0"/>
          <w:numId w:val="2"/>
        </w:numPr>
        <w:spacing w:after="60"/>
      </w:pPr>
      <w:r>
        <w:t xml:space="preserve">Analyze multiple models: upload several models and get a side-by-side comparison with automatic quality findings, as an Excel workbook and an HTML report. This can take a long time for large models.</w:t>
      </w:r>
    </w:p>
    <w:p>
      <w:pPr>
        <w:pStyle w:val="Heading2"/>
        <w:spacing w:after="100" w:before="200"/>
      </w:pPr>
      <w:r>
        <w:t xml:space="preserve">Diet / media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Tab</w:t>
            </w:r>
          </w:p>
        </w:tc>
        <w:tc>
          <w:tcPr>
            <w:tcW w:type="dxa" w:w="39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What it does</w:t>
            </w:r>
          </w:p>
        </w:tc>
        <w:tc>
          <w:tcPr>
            <w:tcW w:type="dxa" w:w="316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Why it is useful</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Model's original bounds</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Uses the exchange bounds exactly as uploaded.</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Default; no changes to the model.</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Complete media</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Opens every exchange for uptake.</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Shows the model's best-case behaviour.</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Minimal media</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Computes the smallest nutrient set that supports the same growth.</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Tests growth on a defined minimal medium.</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Custom diet</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Uploads a two-column CSV/TSV: exchange or metabolite id, and flux.</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Positive value = maximum uptake rate. Exchanges not listed are closed. A header row is optional.</w:t>
            </w:r>
          </w:p>
        </w:tc>
      </w:tr>
    </w:tbl>
    <w:p>
      <w:pPr>
        <w:spacing w:after="80"/>
      </w:pPr>
    </w:p>
    <w:p>
      <w:pPr>
        <w:pStyle w:val="Heading1"/>
        <w:spacing w:after="120" w:before="300"/>
      </w:pPr>
      <w:r>
        <w:t xml:space="preserve">2. Overview</w:t>
      </w:r>
    </w:p>
    <w:p>
      <w:pPr>
        <w:spacing w:after="120"/>
      </w:pPr>
      <w:r>
        <w:t xml:space="preserve">Understand what is in the model before digging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Tab</w:t>
            </w:r>
          </w:p>
        </w:tc>
        <w:tc>
          <w:tcPr>
            <w:tcW w:type="dxa" w:w="39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What it does</w:t>
            </w:r>
          </w:p>
        </w:tc>
        <w:tc>
          <w:tcPr>
            <w:tcW w:type="dxa" w:w="316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Why it is useful</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Summary</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Counts of genes, metabolites and reactions, compartments, solver, wild-type growth, detected ID namespace, MetaNetX mapping coverage and a MEMOTE quality run on request.</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Quick health check and the starting point for the other modules.</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Metabolites</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Searchable table with formula, charge, compartment, MetaNetX ID and how many reactions produce or consume each metabolite.</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Finds missing formulas and unmapped IDs.</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Reactions</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Table with bounds, reversibility, wild-type flux, subsystem, GPR rule, type, MetaNetX ID and a mass/charge balance flag.</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Finds unbalanced, blocked or unmapped reactions.</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Genes</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One row per gene: name, the reactions it is associated with, reactions lost if the gene is deleted, active reactions, subsystems, annotation.</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Shows which genes matter and what each one controls.</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Objective</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The objective reaction and its biomass components, with their roles in the network.</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Checks that biomass is complete and connected.</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Model report</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Statistics and automatic quality findings for the loaded model, downloadable as Excel and HTML.</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A shareable summary of model quality.</w:t>
            </w:r>
          </w:p>
        </w:tc>
      </w:tr>
    </w:tbl>
    <w:p>
      <w:pPr>
        <w:spacing w:after="80"/>
      </w:pPr>
    </w:p>
    <w:p>
      <w:pPr>
        <w:pStyle w:val="Heading1"/>
        <w:spacing w:after="120" w:before="300"/>
      </w:pPr>
      <w:r>
        <w:t xml:space="preserve">3. Diagnostics &amp; Comparative Analyses</w:t>
      </w:r>
    </w:p>
    <w:p>
      <w:pPr>
        <w:spacing w:after="120"/>
      </w:pPr>
      <w:r>
        <w:t xml:space="preserve">Find out why a model behaves the way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Tab</w:t>
            </w:r>
          </w:p>
        </w:tc>
        <w:tc>
          <w:tcPr>
            <w:tcW w:type="dxa" w:w="39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What it does</w:t>
            </w:r>
          </w:p>
        </w:tc>
        <w:tc>
          <w:tcPr>
            <w:tcW w:type="dxa" w:w="316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Why it is useful</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Minimal Medium</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Computes the smallest set of nutrients that supports growth.</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Shows what the model really needs to grow.</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Exchange essentiality</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Knocks out each exchange in turn and reports growth retained.</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Identifies nutrients the model cannot grow without.</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Network Gaps &amp; Audits</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Blocked reactions, dead-end metabolites, and a demand/sink reaction audit.</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Locates gaps in the network that need gap-filling.</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Reaction Balance</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Lists reactions that are mass- or charge-unbalanced or cannot be checked.</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Finds stoichiometry and formula errors.</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Balance Audit</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Checks the formulas of metabolites in unbalanced reactions against the original database mapping and suggests fixes; export to Excel/CSV.</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Turns a list of unbalanced reactions into a fix list.</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Biomass Precursors</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Tests whether each biomass component can be produced, on the current diet and with all exchanges open.</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Pinpoints what is missing when a model will not grow.</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FROG Report</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FBA, flux variability, single reaction deletions and single gene deletions, following the FROG reproducibility specification.</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Standard, reproducible analysis for sharing or publication.</w:t>
            </w:r>
          </w:p>
        </w:tc>
      </w:tr>
    </w:tbl>
    <w:p>
      <w:pPr>
        <w:spacing w:after="80"/>
      </w:pPr>
    </w:p>
    <w:p>
      <w:pPr>
        <w:pStyle w:val="Heading1"/>
        <w:spacing w:after="120" w:before="300"/>
      </w:pPr>
      <w:r>
        <w:t xml:space="preserve">4. Debugging Toolkit</w:t>
      </w:r>
    </w:p>
    <w:p>
      <w:pPr>
        <w:spacing w:after="120"/>
      </w:pPr>
      <w:r>
        <w:t xml:space="preserve">Fix models that will not grow or that behave oddly.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Tab</w:t>
            </w:r>
          </w:p>
        </w:tc>
        <w:tc>
          <w:tcPr>
            <w:tcW w:type="dxa" w:w="39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What it does</w:t>
            </w:r>
          </w:p>
        </w:tc>
        <w:tc>
          <w:tcPr>
            <w:tcW w:type="dxa" w:w="316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Why it is useful</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Exchange Debugging</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Traces active flux from a selected exchange to biomass, with and without the exchange knocked out.</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Shows how a nutrient reaches biomass and what breaks without it.</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Pathway Tracer</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Traces routes between metabolites using reactions that carry flux, with knockout comparison.</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Explains why a product is or is not made.</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Compare Models</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Matches two models by ID, MetaNetX ID, reaction equation, bounds and coefficients; exports Excel and HTML reports.</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Finds what changed between model versions or between reconstructions.</w:t>
            </w:r>
          </w:p>
        </w:tc>
      </w:tr>
    </w:tbl>
    <w:p>
      <w:pPr>
        <w:spacing w:after="80"/>
      </w:pPr>
    </w:p>
    <w:p>
      <w:pPr>
        <w:pStyle w:val="Heading1"/>
        <w:spacing w:after="120" w:before="300"/>
      </w:pPr>
      <w:r>
        <w:t xml:space="preserve">5. Annotation &amp; Translation</w:t>
      </w:r>
    </w:p>
    <w:p>
      <w:pPr>
        <w:spacing w:after="120"/>
      </w:pPr>
      <w:r>
        <w:t xml:space="preserve">Make identifiers consistent across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Tab</w:t>
            </w:r>
          </w:p>
        </w:tc>
        <w:tc>
          <w:tcPr>
            <w:tcW w:type="dxa" w:w="390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What it does</w:t>
            </w:r>
          </w:p>
        </w:tc>
        <w:tc>
          <w:tcPr>
            <w:tcW w:type="dxa" w:w="3160"/>
            <w:tcBorders>
              <w:top w:val="single" w:color="CBD5E1" w:sz="4"/>
              <w:left w:val="single" w:color="CBD5E1" w:sz="4"/>
              <w:bottom w:val="single" w:color="CBD5E1" w:sz="4"/>
              <w:right w:val="single" w:color="CBD5E1" w:sz="4"/>
            </w:tcBorders>
            <w:shd w:fill="E8EEF9" w:color="auto" w:val="clear"/>
            <w:tcMar>
              <w:top w:type="dxa" w:w="80"/>
              <w:left w:type="dxa" w:w="120"/>
              <w:bottom w:type="dxa" w:w="80"/>
              <w:right w:type="dxa" w:w="120"/>
            </w:tcMar>
          </w:tcPr>
          <w:p>
            <w:r>
              <w:rPr>
                <w:b/>
                <w:bCs/>
              </w:rPr>
              <w:t xml:space="preserve">Why it is useful</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ID namespaces &amp; annotation</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Detects which database the IDs belong to (BiGG, VMH, ModelSEED, KEGG, MetaCyc, …) and lists IDs that do not map to MetaNetX.</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Shows how well the model is annotated and where IDs are mixed.</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SEED → VMH translation</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Renames ModelSEED metabolite and reaction IDs to VMH, reports mapped, unmapped and conflicting IDs, and exports the translated model.</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Prepares SEED-based models for VMH-based tools.</w:t>
            </w:r>
          </w:p>
        </w:tc>
      </w:tr>
      <w:tr>
        <w:trPr>
          <w:tblHeader w:val="false"/>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Translate via MetaNetX</w:t>
            </w:r>
          </w:p>
        </w:tc>
        <w:tc>
          <w:tcPr>
            <w:tcW w:type="dxa" w:w="3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Translates IDs from the model's own namespace to MetaNetX, and from MetaNetX to BiGG, VMH, ModelSEED, KEGG, MetaCyc or ChEBI.</w:t>
            </w:r>
          </w:p>
        </w:tc>
        <w:tc>
          <w:tcPr>
            <w:tcW w:type="dxa" w:w="3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rPr>
              <w:t xml:space="preserve">One route between any two supported namespaces.</w:t>
            </w:r>
          </w:p>
        </w:tc>
      </w:tr>
    </w:tbl>
    <w:p>
      <w:pPr>
        <w:spacing w:after="80"/>
      </w:pPr>
    </w:p>
    <w:p>
      <w:pPr>
        <w:pStyle w:val="Heading1"/>
        <w:spacing w:after="120" w:before="300"/>
      </w:pPr>
      <w:r>
        <w:t xml:space="preserve">6. Reports and exports</w:t>
      </w:r>
    </w:p>
    <w:p>
      <w:pPr>
        <w:pStyle w:val="ListParagraph"/>
        <w:numPr>
          <w:ilvl w:val="0"/>
          <w:numId w:val="2"/>
        </w:numPr>
        <w:spacing w:after="60"/>
      </w:pPr>
      <w:r>
        <w:t xml:space="preserve">Generate report: builds a single HTML report of the selected analyses for the loaded model.</w:t>
      </w:r>
    </w:p>
    <w:p>
      <w:pPr>
        <w:pStyle w:val="ListParagraph"/>
        <w:numPr>
          <w:ilvl w:val="0"/>
          <w:numId w:val="2"/>
        </w:numPr>
        <w:spacing w:after="60"/>
      </w:pPr>
      <w:r>
        <w:t xml:space="preserve">Model report and multi-model comparison: Excel workbook plus HTML report.</w:t>
      </w:r>
    </w:p>
    <w:p>
      <w:pPr>
        <w:pStyle w:val="ListParagraph"/>
        <w:numPr>
          <w:ilvl w:val="0"/>
          <w:numId w:val="2"/>
        </w:numPr>
        <w:spacing w:after="60"/>
      </w:pPr>
      <w:r>
        <w:t xml:space="preserve">Most tables have Columns and Export controls; ID lists have Copy and Download buttons.</w:t>
      </w:r>
    </w:p>
    <w:p>
      <w:pPr>
        <w:pStyle w:val="Heading1"/>
        <w:spacing w:after="120" w:before="300"/>
      </w:pPr>
      <w:r>
        <w:t xml:space="preserve">7. Running the tool</w:t>
      </w:r>
    </w:p>
    <w:p>
      <w:pPr>
        <w:spacing w:after="120"/>
      </w:pPr>
      <w:r>
        <w:t xml:space="preserve">The tool is currently run locally: clone the repository, install the requirements and start the app. The README in the repository gives the exact steps (run.bat on Windows, run.sh on Linux and macOS). Hosting it online is planned.</w:t>
      </w:r>
    </w:p>
    <w:p>
      <w:pPr>
        <w:pStyle w:val="Heading1"/>
        <w:spacing w:after="120" w:before="300"/>
      </w:pPr>
      <w:r>
        <w:t xml:space="preserve">8. Status and feedback</w:t>
      </w:r>
    </w:p>
    <w:p>
      <w:pPr>
        <w:spacing w:after="120"/>
      </w:pPr>
      <w:r>
        <w:t xml:space="preserve">The tool is under active development. Planned additions include a GPR explorer, gene essentiality (single and double knockouts), gap-filling suggestions and annotation enrichment. Feedback and feature requests are welcome.</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E3A8A"/>
      <w:sz w:val="32"/>
      <w:szCs w:val="32"/>
    </w:rPr>
  </w:style>
  <w:style w:type="paragraph" w:styleId="Heading2">
    <w:name w:val="Heading 2"/>
    <w:basedOn w:val="Normal"/>
    <w:next w:val="Normal"/>
    <w:qFormat/>
    <w:pPr>
      <w:outlineLvl w:val="1"/>
    </w:pPr>
    <w:rPr>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2026-10-14T06:13:48.331Z</dcterms:created>
  <dcterms:modified xsi:type="dcterms:W3CDTF">2026-10-14T06:13:48.332Z</dcterms:modified>
</cp:coreProperties>
</file>

<file path=docProps/custom.xml><?xml version="1.0" encoding="utf-8"?>
<Properties xmlns="http://schemas.openxmlformats.org/officeDocument/2006/custom-properties" xmlns:vt="http://schemas.openxmlformats.org/officeDocument/2006/docPropsVTypes"/>
</file>