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COVID-19 Prediction Using Wastewater Surveillance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Parameter/Feature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Input Parameters</w:t>
            </w:r>
          </w:p>
        </w:tc>
        <w:tc>
          <w:tcPr>
            <w:tcW w:type="dxa" w:w="2880"/>
          </w:tcPr>
          <w:p>
            <w:r>
              <w:t>SARS-CoV-2 Concentration in Wastewater</w:t>
            </w:r>
          </w:p>
        </w:tc>
        <w:tc>
          <w:tcPr>
            <w:tcW w:type="dxa" w:w="2880"/>
          </w:tcPr>
          <w:p>
            <w:r>
              <w:t>Viral RNA levels in wastewater samples provide early indicators of infection rates.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Sampling Frequency and Locations</w:t>
            </w:r>
          </w:p>
        </w:tc>
        <w:tc>
          <w:tcPr>
            <w:tcW w:type="dxa" w:w="2880"/>
          </w:tcPr>
          <w:p>
            <w:r>
              <w:t>Regular collection from key sites ensures data representativeness and temporal accuracy.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Population Data</w:t>
            </w:r>
          </w:p>
        </w:tc>
        <w:tc>
          <w:tcPr>
            <w:tcW w:type="dxa" w:w="2880"/>
          </w:tcPr>
          <w:p>
            <w:r>
              <w:t>The population served by each wastewater plant helps normalize viral concentrations.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Environmental Factors</w:t>
            </w:r>
          </w:p>
        </w:tc>
        <w:tc>
          <w:tcPr>
            <w:tcW w:type="dxa" w:w="2880"/>
          </w:tcPr>
          <w:p>
            <w:r>
              <w:t>Temperature, precipitation, and wastewater flow rates can influence viral RNA detection.</w:t>
            </w:r>
          </w:p>
        </w:tc>
      </w:tr>
      <w:tr>
        <w:tc>
          <w:tcPr>
            <w:tcW w:type="dxa" w:w="2880"/>
          </w:tcPr>
          <w:p>
            <w:r>
              <w:t>Output Parameters</w:t>
            </w:r>
          </w:p>
        </w:tc>
        <w:tc>
          <w:tcPr>
            <w:tcW w:type="dxa" w:w="2880"/>
          </w:tcPr>
          <w:p>
            <w:r>
              <w:t>COVID-19 Case Counts</w:t>
            </w:r>
          </w:p>
        </w:tc>
        <w:tc>
          <w:tcPr>
            <w:tcW w:type="dxa" w:w="2880"/>
          </w:tcPr>
          <w:p>
            <w:r>
              <w:t>Predicts the number of confirmed COVID-19 cases in a community.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Hospitalization Rates</w:t>
            </w:r>
          </w:p>
        </w:tc>
        <w:tc>
          <w:tcPr>
            <w:tcW w:type="dxa" w:w="2880"/>
          </w:tcPr>
          <w:p>
            <w:r>
              <w:t>Estimates the number of COVID-19-related hospital admissions.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Mortality Rates</w:t>
            </w:r>
          </w:p>
        </w:tc>
        <w:tc>
          <w:tcPr>
            <w:tcW w:type="dxa" w:w="2880"/>
          </w:tcPr>
          <w:p>
            <w:r>
              <w:t>Forecasts the number of deaths attributed to COVID-19.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Emergency Department (ED) Visits</w:t>
            </w:r>
          </w:p>
        </w:tc>
        <w:tc>
          <w:tcPr>
            <w:tcW w:type="dxa" w:w="2880"/>
          </w:tcPr>
          <w:p>
            <w:r>
              <w:t>Predicts the percentage of ED visits related to COVID-19 symptoms.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Test Positivity Rates</w:t>
            </w:r>
          </w:p>
        </w:tc>
        <w:tc>
          <w:tcPr>
            <w:tcW w:type="dxa" w:w="2880"/>
          </w:tcPr>
          <w:p>
            <w:r>
              <w:t>Estimates the proportion of positive COVID-19 tests among those tested.</w:t>
            </w:r>
          </w:p>
        </w:tc>
      </w:tr>
      <w:tr>
        <w:tc>
          <w:tcPr>
            <w:tcW w:type="dxa" w:w="2880"/>
          </w:tcPr>
          <w:p>
            <w:r>
              <w:t>Machine Learning Features</w:t>
            </w:r>
          </w:p>
        </w:tc>
        <w:tc>
          <w:tcPr>
            <w:tcW w:type="dxa" w:w="2880"/>
          </w:tcPr>
          <w:p>
            <w:r>
              <w:t>Temporal Lag Analysis</w:t>
            </w:r>
          </w:p>
        </w:tc>
        <w:tc>
          <w:tcPr>
            <w:tcW w:type="dxa" w:w="2880"/>
          </w:tcPr>
          <w:p>
            <w:r>
              <w:t>Incorporates time lags between changes in wastewater viral concentrations and shifts in clinical metrics.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Demographic Information</w:t>
            </w:r>
          </w:p>
        </w:tc>
        <w:tc>
          <w:tcPr>
            <w:tcW w:type="dxa" w:w="2880"/>
          </w:tcPr>
          <w:p>
            <w:r>
              <w:t>Includes age distribution, underlying health conditions, and vaccination coverage.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Healthcare Capacity Metrics</w:t>
            </w:r>
          </w:p>
        </w:tc>
        <w:tc>
          <w:tcPr>
            <w:tcW w:type="dxa" w:w="2880"/>
          </w:tcPr>
          <w:p>
            <w:r>
              <w:t>Data on hospital bed availability and healthcare staffing levels provide context for hospitalization predictions.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Public Health Interventions</w:t>
            </w:r>
          </w:p>
        </w:tc>
        <w:tc>
          <w:tcPr>
            <w:tcW w:type="dxa" w:w="2880"/>
          </w:tcPr>
          <w:p>
            <w:r>
              <w:t>Factors in the impact of mask mandates, social distancing, and vaccination campaigns on transmission rates.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