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21295C"/>
          <w:spacing w:val="60"/>
          <w:sz w:val="26"/>
          <w:szCs w:val="26"/>
        </w:rPr>
        <w:t xml:space="preserve">CHANGEFLOW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E8913A"/>
          <w:sz w:val="18"/>
          <w:szCs w:val="18"/>
        </w:rPr>
        <w:t xml:space="preserve">Change management delivery software</w:t>
      </w:r>
    </w:p>
    <w:p>
      <w:pPr>
        <w:spacing w:after="60" w:before="1000"/>
      </w:pPr>
      <w:r>
        <w:rPr>
          <w:rFonts w:ascii="Calibri" w:cs="Calibri" w:eastAsia="Calibri" w:hAnsi="Calibri"/>
          <w:b/>
          <w:bCs/>
          <w:color w:val="21295C"/>
          <w:sz w:val="56"/>
          <w:szCs w:val="56"/>
        </w:rPr>
        <w:t xml:space="preserve">Change Programme Report</w:t>
      </w:r>
    </w:p>
    <w:p>
      <w:pPr>
        <w:spacing w:after="40"/>
      </w:pPr>
      <w:r>
        <w:rPr>
          <w:rFonts w:ascii="Calibri" w:cs="Calibri" w:eastAsia="Calibri" w:hAnsi="Calibri"/>
          <w:color w:val="065A82"/>
          <w:sz w:val="30"/>
          <w:szCs w:val="30"/>
        </w:rPr>
        <w:t xml:space="preserve">Meridian Water Corporation</w:t>
      </w:r>
    </w:p>
    <w:p>
      <w:pPr>
        <w:spacing w:after="40"/>
      </w:pPr>
      <w:r>
        <w:rPr>
          <w:rFonts w:ascii="Calibri" w:cs="Calibri" w:eastAsia="Calibri" w:hAnsi="Calibri"/>
          <w:color w:val="5A6B84"/>
          <w:sz w:val="24"/>
          <w:szCs w:val="24"/>
        </w:rPr>
        <w:t xml:space="preserve">Customer Billing Transformation</w:t>
      </w:r>
    </w:p>
    <w:p>
      <w:pPr>
        <w:pBdr>
          <w:top w:val="single" w:color="E8913A" w:sz="12" w:space="8"/>
        </w:pBdr>
        <w:spacing w:before="400"/>
      </w:pPr>
      <w:r>
        <w:rPr>
          <w:rFonts w:ascii="Calibri" w:cs="Calibri" w:eastAsia="Calibri" w:hAnsi="Calibri"/>
          <w:color w:val="5A6B84"/>
          <w:sz w:val="19"/>
          <w:szCs w:val="19"/>
        </w:rPr>
        <w:t xml:space="preserve">As at 22 July 2026  ·  Fortnightly programme update  ·  Generated by CORA</w:t>
      </w:r>
    </w:p>
    <w:p>
      <w:pPr>
        <w:spacing w:before="5000"/>
      </w:pPr>
      <w:r>
        <w:rPr>
          <w:rFonts w:ascii="Calibri" w:cs="Calibri" w:eastAsia="Calibri" w:hAnsi="Calibri"/>
          <w:b/>
          <w:bCs/>
          <w:color w:val="E8913A"/>
          <w:spacing w:val="40"/>
          <w:sz w:val="18"/>
          <w:szCs w:val="18"/>
        </w:rPr>
        <w:t xml:space="preserve">SAMPLE REPORT</w:t>
      </w:r>
    </w:p>
    <w:p>
      <w:r>
        <w:rPr>
          <w:rFonts w:ascii="Calibri" w:cs="Calibri" w:eastAsia="Calibri" w:hAnsi="Calibri"/>
          <w:i/>
          <w:iCs/>
          <w:color w:val="5A6B84"/>
          <w:sz w:val="17"/>
          <w:szCs w:val="17"/>
        </w:rPr>
        <w:t xml:space="preserve">Built from a demonstration programme. Every figure below is real data from this sample — nothing is invented, and where a number is missing the report says so.</w:t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1295C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The Customer Billing Transformation is 40% complete — two of the five phases in scope are closed and Engage is underway. Go-Live is set for 15 February 2027, with a business readiness gate on 29 January 2027.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Where it stands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Progress —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two of five phases closed (Diagnose, Design); Engage underway.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People —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five audiences identified, 390 people counted. Field Services has no headcount recorded, so the true reach is higher.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Readiness —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every audience is impact-assessed across four domains; the heat map is built from real ratings, not assumed.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Comms —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nine communications anchored to Go-Live — 2 sent, 1 overdue, 1 blocked, 5 planned.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What needs attention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the "Awareness follow-up" communication is overdue and has no owner.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"Champion-led team briefings" is blocked, waiting on the Change champion network (ends 30 October 2026) — blocked, not merely late.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Field Services impact is rated high on technology but no headcount is recorded, so its weight is understated.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1295C"/>
          <w:sz w:val="28"/>
          <w:szCs w:val="28"/>
        </w:rPr>
        <w:t xml:space="preserve">Integrated insight</w:t>
      </w:r>
    </w:p>
    <w:p>
      <w:pPr>
        <w:spacing w:after="12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A composed read of the programme, in CORA’s words — grounded in the data above, and honest about what it cannot yet see.</w:t>
      </w:r>
    </w:p>
    <w:p>
      <w:pPr>
        <w:pBdr>
          <w:left w:val="single" w:color="1C7293" w:sz="18" w:space="12"/>
        </w:pBdr>
        <w:spacing w:after="120"/>
        <w:ind w:left="20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Meridian is tracking to plan at 40% complete, with Engage the active phase. The delivery and change workstreams share one timeline, and everything downstream is anchored to Go-Live on 15 February 2027 — move that date and the whole cascade moves with it.</w:t>
      </w:r>
    </w:p>
    <w:p>
      <w:pPr>
        <w:pBdr>
          <w:left w:val="single" w:color="1C7293" w:sz="18" w:space="12"/>
        </w:pBdr>
        <w:spacing w:after="120"/>
        <w:ind w:left="20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Readiness is genuinely strong across the assessed audiences, but two things are worth naming before the January gate. First, one communication is overdue with nobody’s name against it — that is a different problem from a message that is blocked, and it needs an owner, not an extension. Second, "Champion-led team briefings" is blocked because the Change champion network does not finish until 30 October; chasing the sender would achieve nothing.</w:t>
      </w:r>
    </w:p>
    <w:p>
      <w:pPr>
        <w:pBdr>
          <w:left w:val="single" w:color="E8913A" w:sz="18" w:space="12"/>
        </w:pBdr>
        <w:spacing w:after="120"/>
        <w:ind w:left="200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One gap I will not average away: Field Services carries a high technology impact but no headcount, so the 390 people this report counts is who I can see, not everyone affected. Capture that number and the impact picture sharpens.</w:t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1295C"/>
          <w:sz w:val="28"/>
          <w:szCs w:val="28"/>
        </w:rPr>
        <w:t xml:space="preserve">Programme status</w:t>
      </w:r>
    </w:p>
    <w:p>
      <w:pPr>
        <w:spacing w:after="12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Five phases are in scope for this programme; completion is measured against those five.</w:t>
      </w:r>
    </w:p>
    <w:tbl>
      <w:tblPr>
        <w:tblW w:type="dxa" w:w="9746"/>
        <w:tblBorders>
          <w:top w:val="single" w:color="D8E1EC" w:sz="2"/>
          <w:left w:val="single" w:color="D8E1EC" w:sz="2"/>
          <w:bottom w:val="single" w:color="D8E1EC" w:sz="2"/>
          <w:right w:val="single" w:color="D8E1EC" w:sz="2"/>
          <w:insideH w:val="single" w:color="D8E1EC" w:sz="2"/>
          <w:insideV w:val="single" w:color="D8E1EC" w:sz="2"/>
        </w:tblBorders>
      </w:tblPr>
      <w:tblGrid>
        <w:gridCol w:w="1900"/>
        <w:gridCol w:w="5846"/>
        <w:gridCol w:w="2000"/>
      </w:tblGrid>
      <w:tr>
        <w:trPr>
          <w:tblHeader/>
        </w:trPr>
        <w:tc>
          <w:tcPr>
            <w:tcW w:type="dxa" w:w="1900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846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000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01 · Diagnose</w:t>
            </w:r>
          </w:p>
        </w:tc>
        <w:tc>
          <w:tcPr>
            <w:tcW w:type="dxa" w:w="58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What is changing, who it lands on, and how ready they are today.</w:t>
            </w:r>
          </w:p>
        </w:tc>
        <w:tc>
          <w:tcPr>
            <w:tcW w:type="dxa" w:w="2000"/>
            <w:shd w:fill="D5F0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02 · Design</w:t>
            </w:r>
          </w:p>
        </w:tc>
        <w:tc>
          <w:tcPr>
            <w:tcW w:type="dxa" w:w="58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change approach, the audiences, the impact ratings and the plan to close them.</w:t>
            </w:r>
          </w:p>
        </w:tc>
        <w:tc>
          <w:tcPr>
            <w:tcW w:type="dxa" w:w="2000"/>
            <w:shd w:fill="D5F0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03 · Engage</w:t>
            </w:r>
          </w:p>
        </w:tc>
        <w:tc>
          <w:tcPr>
            <w:tcW w:type="dxa" w:w="58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Communications, sponsors and champions — bringing people with you.</w:t>
            </w:r>
          </w:p>
        </w:tc>
        <w:tc>
          <w:tcPr>
            <w:tcW w:type="dxa" w:w="2000"/>
            <w:shd w:fill="FDEBD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Underway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04 · Embed</w:t>
            </w:r>
          </w:p>
        </w:tc>
        <w:tc>
          <w:tcPr>
            <w:tcW w:type="dxa" w:w="58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Training, go-live support and the readiness gates that decide if you go.</w:t>
            </w:r>
          </w:p>
        </w:tc>
        <w:tc>
          <w:tcPr>
            <w:tcW w:type="dxa" w:w="2000"/>
            <w:shd w:fill="ECEF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05 · Evaluate</w:t>
            </w:r>
          </w:p>
        </w:tc>
        <w:tc>
          <w:tcPr>
            <w:tcW w:type="dxa" w:w="584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Did it stick? Adoption, residual gaps and lessons for the next programme.</w:t>
            </w:r>
          </w:p>
        </w:tc>
        <w:tc>
          <w:tcPr>
            <w:tcW w:type="dxa" w:w="2000"/>
            <w:shd w:fill="ECEF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Key milestones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26 Jun 2026 — Design authority sign-off (Delivery)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1 Jul – 30 Oct 2026 — Change champion network (Change)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16 Nov 2026 – 5 Feb 2027 — End-user training (Change)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29 Jan 2027 — Business readiness gate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Anchor —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15 Feb 2027 — Go-Live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16 Feb – 27 Mar 2027 — Hypercare (Delivery)</w:t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1295C"/>
          <w:sz w:val="28"/>
          <w:szCs w:val="28"/>
        </w:rPr>
        <w:t xml:space="preserve">Programme timeline</w:t>
      </w:r>
    </w:p>
    <w:p>
      <w:pPr>
        <w:spacing w:after="12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Change and delivery on one timeline. Every milestone is placed by its real dates, and everything is anchored to Go-Live on 15 February 2027 — move that date and the whole cascade moves with it.</w:t>
      </w:r>
    </w:p>
    <w:p>
      <w:pPr>
        <w:spacing w:after="120"/>
        <w:jc w:val="center"/>
      </w:pPr>
      <w:r>
        <w:drawing>
          <wp:inline distT="0" distB="0" distL="0" distR="0">
            <wp:extent cx="61722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B84"/>
          <w:sz w:val="17"/>
          <w:szCs w:val="17"/>
        </w:rPr>
        <w:t xml:space="preserve">Each item in its own colour, milestones as diamonds, the red line marking today — the same view you work in.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1295C"/>
          <w:sz w:val="28"/>
          <w:szCs w:val="28"/>
        </w:rPr>
        <w:t xml:space="preserve">Stakeholder impact &amp; readiness</w:t>
      </w:r>
    </w:p>
    <w:p>
      <w:pPr>
        <w:spacing w:after="12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Each audience is scored across People, Process, Information and Technology. The heat map is generated from these ratings; an unrated cell reads as not assessed, never as no impact.</w:t>
      </w:r>
    </w:p>
    <w:tbl>
      <w:tblPr>
        <w:tblW w:type="dxa" w:w="9746"/>
        <w:tblBorders>
          <w:top w:val="single" w:color="D8E1EC" w:sz="2"/>
          <w:left w:val="single" w:color="D8E1EC" w:sz="2"/>
          <w:bottom w:val="single" w:color="D8E1EC" w:sz="2"/>
          <w:right w:val="single" w:color="D8E1EC" w:sz="2"/>
          <w:insideH w:val="single" w:color="D8E1EC" w:sz="2"/>
          <w:insideV w:val="single" w:color="D8E1EC" w:sz="2"/>
        </w:tblBorders>
      </w:tblPr>
      <w:tblGrid>
        <w:gridCol w:w="2760"/>
        <w:gridCol w:w="1746"/>
        <w:gridCol w:w="1747"/>
        <w:gridCol w:w="1746"/>
        <w:gridCol w:w="1747"/>
      </w:tblGrid>
      <w:tr>
        <w:trPr>
          <w:tblHeader/>
        </w:trPr>
        <w:tc>
          <w:tcPr>
            <w:tcW w:type="dxa" w:w="2760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  (headcount)</w:t>
            </w:r>
          </w:p>
        </w:tc>
        <w:tc>
          <w:tcPr>
            <w:tcW w:type="dxa" w:w="1746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People</w:t>
            </w:r>
          </w:p>
        </w:tc>
        <w:tc>
          <w:tcPr>
            <w:tcW w:type="dxa" w:w="1747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1746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1747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Billing Operations</w:t>
            </w:r>
            <w:r>
              <w:rPr>
                <w:rFonts w:ascii="Calibri" w:cs="Calibri" w:eastAsia="Calibri" w:hAnsi="Calibri"/>
                <w:color w:val="5A6B84"/>
                <w:sz w:val="17"/>
                <w:szCs w:val="17"/>
              </w:rPr>
              <w:t xml:space="preserve">   180</w:t>
            </w:r>
          </w:p>
        </w:tc>
        <w:tc>
          <w:tcPr>
            <w:tcW w:type="dxa" w:w="1746"/>
            <w:shd w:fill="F5B7B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V.High</w:t>
            </w:r>
          </w:p>
        </w:tc>
        <w:tc>
          <w:tcPr>
            <w:tcW w:type="dxa" w:w="1747"/>
            <w:shd w:fill="F5B7B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V.High</w:t>
            </w:r>
          </w:p>
        </w:tc>
        <w:tc>
          <w:tcPr>
            <w:tcW w:type="dxa" w:w="1746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High</w:t>
            </w:r>
          </w:p>
        </w:tc>
        <w:tc>
          <w:tcPr>
            <w:tcW w:type="dxa" w:w="1747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Contact Centre</w:t>
            </w:r>
            <w:r>
              <w:rPr>
                <w:rFonts w:ascii="Calibri" w:cs="Calibri" w:eastAsia="Calibri" w:hAnsi="Calibri"/>
                <w:color w:val="5A6B84"/>
                <w:sz w:val="17"/>
                <w:szCs w:val="17"/>
              </w:rPr>
              <w:t xml:space="preserve">   140</w:t>
            </w:r>
          </w:p>
        </w:tc>
        <w:tc>
          <w:tcPr>
            <w:tcW w:type="dxa" w:w="1746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High</w:t>
            </w:r>
          </w:p>
        </w:tc>
        <w:tc>
          <w:tcPr>
            <w:tcW w:type="dxa" w:w="1747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High</w:t>
            </w:r>
          </w:p>
        </w:tc>
        <w:tc>
          <w:tcPr>
            <w:tcW w:type="dxa" w:w="1746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High</w:t>
            </w:r>
          </w:p>
        </w:tc>
        <w:tc>
          <w:tcPr>
            <w:tcW w:type="dxa" w:w="1747"/>
            <w:shd w:fill="FDEBD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Field Services</w:t>
            </w:r>
            <w:r>
              <w:rPr>
                <w:rFonts w:ascii="Calibri" w:cs="Calibri" w:eastAsia="Calibri" w:hAnsi="Calibri"/>
                <w:color w:val="5A6B84"/>
                <w:sz w:val="17"/>
                <w:szCs w:val="17"/>
              </w:rPr>
              <w:t xml:space="preserve">   —</w:t>
            </w:r>
          </w:p>
        </w:tc>
        <w:tc>
          <w:tcPr>
            <w:tcW w:type="dxa" w:w="1746"/>
            <w:shd w:fill="FDEBD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Med</w:t>
            </w:r>
          </w:p>
        </w:tc>
        <w:tc>
          <w:tcPr>
            <w:tcW w:type="dxa" w:w="1747"/>
            <w:shd w:fill="FDEBD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Med</w:t>
            </w:r>
          </w:p>
        </w:tc>
        <w:tc>
          <w:tcPr>
            <w:tcW w:type="dxa" w:w="1746"/>
            <w:shd w:fill="D5F0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Low</w:t>
            </w:r>
          </w:p>
        </w:tc>
        <w:tc>
          <w:tcPr>
            <w:tcW w:type="dxa" w:w="1747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Finance</w:t>
            </w:r>
            <w:r>
              <w:rPr>
                <w:rFonts w:ascii="Calibri" w:cs="Calibri" w:eastAsia="Calibri" w:hAnsi="Calibri"/>
                <w:color w:val="5A6B84"/>
                <w:sz w:val="17"/>
                <w:szCs w:val="17"/>
              </w:rPr>
              <w:t xml:space="preserve">   45</w:t>
            </w:r>
          </w:p>
        </w:tc>
        <w:tc>
          <w:tcPr>
            <w:tcW w:type="dxa" w:w="1746"/>
            <w:shd w:fill="D5F0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Low</w:t>
            </w:r>
          </w:p>
        </w:tc>
        <w:tc>
          <w:tcPr>
            <w:tcW w:type="dxa" w:w="1747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High</w:t>
            </w:r>
          </w:p>
        </w:tc>
        <w:tc>
          <w:tcPr>
            <w:tcW w:type="dxa" w:w="1746"/>
            <w:shd w:fill="FDEBD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Med</w:t>
            </w:r>
          </w:p>
        </w:tc>
        <w:tc>
          <w:tcPr>
            <w:tcW w:type="dxa" w:w="1747"/>
            <w:shd w:fill="D5F0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Information &amp; Technology</w:t>
            </w:r>
            <w:r>
              <w:rPr>
                <w:rFonts w:ascii="Calibri" w:cs="Calibri" w:eastAsia="Calibri" w:hAnsi="Calibri"/>
                <w:color w:val="5A6B84"/>
                <w:sz w:val="17"/>
                <w:szCs w:val="17"/>
              </w:rPr>
              <w:t xml:space="preserve">   25</w:t>
            </w:r>
          </w:p>
        </w:tc>
        <w:tc>
          <w:tcPr>
            <w:tcW w:type="dxa" w:w="1746"/>
            <w:shd w:fill="D5F0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Low</w:t>
            </w:r>
          </w:p>
        </w:tc>
        <w:tc>
          <w:tcPr>
            <w:tcW w:type="dxa" w:w="1747"/>
            <w:shd w:fill="FDEBD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Med</w:t>
            </w:r>
          </w:p>
        </w:tc>
        <w:tc>
          <w:tcPr>
            <w:tcW w:type="dxa" w:w="1746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High</w:t>
            </w:r>
          </w:p>
        </w:tc>
        <w:tc>
          <w:tcPr>
            <w:tcW w:type="dxa" w:w="1747"/>
            <w:shd w:fill="F5B7B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8"/>
                <w:szCs w:val="18"/>
              </w:rPr>
              <w:t xml:space="preserve">V.High</w:t>
            </w:r>
          </w:p>
        </w:tc>
      </w:tr>
    </w:tbl>
    <w:p>
      <w:pPr>
        <w:spacing w:after="120"/>
      </w:pPr>
    </w:p>
    <w:p>
      <w:pPr>
        <w:pBdr>
          <w:left w:val="single" w:color="E8913A" w:sz="18" w:space="12"/>
        </w:pBdr>
        <w:spacing w:after="120"/>
        <w:ind w:left="200"/>
      </w:pPr>
      <w:r>
        <w:rPr>
          <w:rFonts w:ascii="Calibri" w:cs="Calibri" w:eastAsia="Calibri" w:hAnsi="Calibri"/>
          <w:color w:val="12203A"/>
          <w:sz w:val="20"/>
          <w:szCs w:val="20"/>
        </w:rPr>
        <w:t xml:space="preserve">Billing Operations carries the most change — very high on both people and process — and at 180 people it is the largest impacted group with a number attached. Field Services is rated high on technology but has no headcount recorded; it is shown as impacted, not as low.</w:t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1295C"/>
          <w:sz w:val="28"/>
          <w:szCs w:val="28"/>
        </w:rPr>
        <w:t xml:space="preserve">Communications status</w:t>
      </w:r>
    </w:p>
    <w:p>
      <w:pPr>
        <w:spacing w:after="12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Nine communications, each anchored to Go-Live with an offset. Move Go-Live and every date shifts. Where a message is past due, the plan asks why — a message waiting on an upstream output reads as blocked, not merely late.</w:t>
      </w:r>
    </w:p>
    <w:tbl>
      <w:tblPr>
        <w:tblW w:type="dxa" w:w="9746"/>
        <w:tblBorders>
          <w:top w:val="single" w:color="D8E1EC" w:sz="2"/>
          <w:left w:val="single" w:color="D8E1EC" w:sz="2"/>
          <w:bottom w:val="single" w:color="D8E1EC" w:sz="2"/>
          <w:right w:val="single" w:color="D8E1EC" w:sz="2"/>
          <w:insideH w:val="single" w:color="D8E1EC" w:sz="2"/>
          <w:insideV w:val="single" w:color="D8E1EC" w:sz="2"/>
        </w:tblBorders>
      </w:tblPr>
      <w:tblGrid>
        <w:gridCol w:w="3500"/>
        <w:gridCol w:w="2450"/>
        <w:gridCol w:w="1450"/>
        <w:gridCol w:w="2346"/>
      </w:tblGrid>
      <w:tr>
        <w:trPr>
          <w:tblHeader/>
        </w:trPr>
        <w:tc>
          <w:tcPr>
            <w:tcW w:type="dxa" w:w="3500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2450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450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46"/>
            <w:shd w:fill="21295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What is changing and why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All impacted staff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10 Jun 2026</w:t>
            </w:r>
          </w:p>
        </w:tc>
        <w:tc>
          <w:tcPr>
            <w:tcW w:type="dxa" w:w="2346"/>
            <w:shd w:fill="D5F0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Sent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Leader talking points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People leaders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10 Jul 2026</w:t>
            </w:r>
          </w:p>
        </w:tc>
        <w:tc>
          <w:tcPr>
            <w:tcW w:type="dxa" w:w="2346"/>
            <w:shd w:fill="D5F0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Sent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Awareness follow-up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All impacted staff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15 Jul 2026</w:t>
            </w:r>
          </w:p>
        </w:tc>
        <w:tc>
          <w:tcPr>
            <w:tcW w:type="dxa" w:w="2346"/>
            <w:shd w:fill="FADBD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Overdue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Champion-led team briefings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Billing Operations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19 Jul 2026</w:t>
            </w:r>
          </w:p>
        </w:tc>
        <w:tc>
          <w:tcPr>
            <w:tcW w:type="dxa" w:w="2346"/>
            <w:shd w:fill="FDEBD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Monthly programme newsletter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All impacted staff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3 Aug 2026</w:t>
            </w:r>
          </w:p>
        </w:tc>
        <w:tc>
          <w:tcPr>
            <w:tcW w:type="dxa" w:w="2346"/>
            <w:shd w:fill="ECEF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Training enrolment reminder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Contact Centre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17 Nov 2026</w:t>
            </w:r>
          </w:p>
        </w:tc>
        <w:tc>
          <w:tcPr>
            <w:tcW w:type="dxa" w:w="2346"/>
            <w:shd w:fill="ECEF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Day-one walkthrough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Billing Operations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20 Jan 2027</w:t>
            </w:r>
          </w:p>
        </w:tc>
        <w:tc>
          <w:tcPr>
            <w:tcW w:type="dxa" w:w="2346"/>
            <w:shd w:fill="ECEF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What happens on day one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All impacted staff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 Feb 2027</w:t>
            </w:r>
          </w:p>
        </w:tc>
        <w:tc>
          <w:tcPr>
            <w:tcW w:type="dxa" w:w="2346"/>
            <w:shd w:fill="ECEF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Where to get help</w:t>
            </w:r>
          </w:p>
        </w:tc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All impacted staff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16 Feb 2027</w:t>
            </w:r>
          </w:p>
        </w:tc>
        <w:tc>
          <w:tcPr>
            <w:tcW w:type="dxa" w:w="2346"/>
            <w:shd w:fill="ECEF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140"/>
      </w:pP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Summary —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2 sent, 1 overdue, 1 blocked, 5 planned.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Overdue —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"Awareness follow-up" is overdue and unowned — assign an owner.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Blocked —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"Champion-led team briefings" waits on the Change champion network (30 Oct). Not late — blocked.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1295C"/>
          <w:sz w:val="28"/>
          <w:szCs w:val="28"/>
        </w:rPr>
        <w:t xml:space="preserve">Trend</w:t>
      </w:r>
    </w:p>
    <w:p>
      <w:pPr>
        <w:spacing w:after="12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Completion over time, from snapshots — exactly as it appears in the platform. The solid line is actual progress to 40%; the dashed line projects the current pace to 100%.</w:t>
      </w:r>
    </w:p>
    <w:p>
      <w:pPr>
        <w:spacing w:after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The amber marker is the planned end. It sits off to the right, past the drawn axis, because the plan runs well beyond the history captured so far — the chart shows what is measured rather than stretching the axis to flatter a distant date.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21295C"/>
          <w:sz w:val="28"/>
          <w:szCs w:val="28"/>
        </w:rPr>
        <w:t xml:space="preserve">Recommendations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Assign an owner to the overdue "Awareness follow-up" communication this week.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Capture Field Services headcount so its impact reflects real people, not just a rating.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Track the Change champion network (ends 30 Oct) — it is blocking champion-led briefings and gates downstream engagement.</w:t>
      </w:r>
    </w:p>
    <w:p>
      <w:pPr>
        <w:spacing w:after="70"/>
        <w:ind w:left="240"/>
      </w:pPr>
      <w:r>
        <w:rPr>
          <w:rFonts w:ascii="Calibri" w:cs="Calibri" w:eastAsia="Calibri" w:hAnsi="Calibri"/>
          <w:b/>
          <w:bCs/>
          <w:color w:val="E8913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Confirm readiness thresholds with the business ahead of the 29 January readiness gate.</w:t>
      </w:r>
    </w:p>
    <w:p>
      <w:pPr>
        <w:spacing w:after="240"/>
      </w:pPr>
    </w:p>
    <w:p>
      <w:pPr>
        <w:pBdr>
          <w:top w:val="single" w:color="D8E1EC" w:sz="6" w:space="10"/>
        </w:pBdr>
        <w:spacing w:before="200"/>
      </w:pPr>
      <w:r>
        <w:rPr>
          <w:rFonts w:ascii="Calibri" w:cs="Calibri" w:eastAsia="Calibri" w:hAnsi="Calibri"/>
          <w:i/>
          <w:iCs/>
          <w:color w:val="5A6B84"/>
          <w:sz w:val="18"/>
          <w:szCs w:val="18"/>
        </w:rPr>
        <w:t xml:space="preserve">This is a sample report generated by ChangeFlow from a demonstration programme. Your own reports draw on your live data and can be scheduled — weekly, fortnightly or monthly — as native Word or PowerPoint. </w:t>
      </w:r>
      <w:r>
        <w:rPr>
          <w:rFonts w:ascii="Calibri" w:cs="Calibri" w:eastAsia="Calibri" w:hAnsi="Calibri"/>
          <w:b/>
          <w:bCs/>
          <w:i/>
          <w:iCs/>
          <w:color w:val="1C7293"/>
          <w:sz w:val="18"/>
          <w:szCs w:val="18"/>
        </w:rPr>
        <w:t xml:space="preserve">See it on your own programme — book a demo.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a166bf64d3257ee166ca65fa053148ea77f3b6.png"/><Relationship Id="rId8" Type="http://schemas.openxmlformats.org/officeDocument/2006/relationships/image" Target="media/6fc5b03eb715aca8618efa4788da8ee920c5174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Programme Report — Meridian Water Corporation</dc:title>
  <dc:creator>ChangeFlow · CORA</dc:creator>
  <cp:lastModifiedBy>Un-named</cp:lastModifiedBy>
  <cp:revision>1</cp:revision>
  <dcterms:created xsi:type="dcterms:W3CDTF">2026-07-23T03:08:25.971Z</dcterms:created>
  <dcterms:modified xsi:type="dcterms:W3CDTF">2026-07-23T03:08:25.971Z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