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1"/>
        </w:rPr>
        <w:t>SUARA SURABAYA MEDIA (RADIO SUARA SURABAYA FM 100)</w:t>
      </w:r>
    </w:p>
    <w:p>
      <w:pPr>
        <w:spacing w:before="40" w:after="80"/>
        <w:jc w:val="center"/>
      </w:pPr>
      <w:r>
        <w:rPr>
          <w:rFonts w:ascii="Arial" w:hAnsi="Arial"/>
          <w:b/>
          <w:color w:val="1D4ED8"/>
          <w:sz w:val="26"/>
        </w:rPr>
        <w:t>RENCANA ANGGARAN BIAYA (RAB) &amp; ANALISIS MODEL BISNIS</w:t>
        <w:br/>
        <w:t>SISTEM E-INTERNSHIP &amp; TALENT MANAGEMENT (FULL ENTERPRISE)</w:t>
      </w:r>
    </w:p>
    <w:p>
      <w:pPr>
        <w:spacing w:before="0" w:after="240"/>
        <w:jc w:val="center"/>
      </w:pPr>
      <w:r>
        <w:rPr>
          <w:rFonts w:ascii="Calibri" w:hAnsi="Calibri"/>
          <w:i/>
          <w:color w:val="64748B"/>
          <w:sz w:val="19"/>
        </w:rPr>
        <w:t>Pengembangan Aplikasi Lengkap Pada Server Internal Suara Surabaya &amp; Proyeksi Revenue Kemitraan Kampus B2B</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730"/>
        <w:gridCol w:w="4730"/>
      </w:tblGrid>
      <w:tr>
        <w:tc>
          <w:tcPr>
            <w:tcW w:type="dxa" w:w="4730"/>
            <w:tcMar>
              <w:top w:w="50" w:type="dxa"/>
              <w:bottom w:w="50" w:type="dxa"/>
              <w:left w:w="90" w:type="dxa"/>
              <w:right w:w="90" w:type="dxa"/>
            </w:tcMar>
          </w:tcPr>
          <w:p>
            <w:pPr>
              <w:spacing w:before="0" w:after="0"/>
            </w:pPr>
            <w:r>
              <w:rPr>
                <w:rFonts w:ascii="Calibri" w:hAnsi="Calibri"/>
                <w:b/>
                <w:color w:val="64748B"/>
                <w:sz w:val="18"/>
              </w:rPr>
              <w:t xml:space="preserve">Objek Sistem: </w:t>
            </w:r>
            <w:r>
              <w:rPr>
                <w:rFonts w:ascii="Calibri" w:hAnsi="Calibri"/>
                <w:color w:val="1E293B"/>
                <w:sz w:val="18"/>
              </w:rPr>
              <w:t>Suara Surabaya Media (Radio SS FM 100)</w:t>
            </w:r>
          </w:p>
        </w:tc>
        <w:tc>
          <w:tcPr>
            <w:tcW w:type="dxa" w:w="4730"/>
            <w:tcMar>
              <w:top w:w="50" w:type="dxa"/>
              <w:bottom w:w="50" w:type="dxa"/>
              <w:left w:w="90" w:type="dxa"/>
              <w:right w:w="90" w:type="dxa"/>
            </w:tcMar>
          </w:tcPr>
          <w:p>
            <w:pPr>
              <w:spacing w:before="0" w:after="0"/>
            </w:pPr>
            <w:r>
              <w:rPr>
                <w:rFonts w:ascii="Calibri" w:hAnsi="Calibri"/>
                <w:b/>
                <w:color w:val="64748B"/>
                <w:sz w:val="18"/>
              </w:rPr>
              <w:t xml:space="preserve">Kategori Sistem: </w:t>
            </w:r>
            <w:r>
              <w:rPr>
                <w:rFonts w:ascii="Calibri" w:hAnsi="Calibri"/>
                <w:color w:val="1E293B"/>
                <w:sz w:val="18"/>
              </w:rPr>
              <w:t>Full Enterprise E-Internship &amp; Decision Support System (DSS)</w:t>
            </w:r>
          </w:p>
        </w:tc>
      </w:tr>
      <w:tr>
        <w:tc>
          <w:tcPr>
            <w:tcW w:type="dxa" w:w="4730"/>
            <w:tcMar>
              <w:top w:w="50" w:type="dxa"/>
              <w:bottom w:w="50" w:type="dxa"/>
              <w:left w:w="90" w:type="dxa"/>
              <w:right w:w="90" w:type="dxa"/>
            </w:tcMar>
          </w:tcPr>
          <w:p>
            <w:pPr>
              <w:spacing w:before="0" w:after="0"/>
            </w:pPr>
            <w:r>
              <w:rPr>
                <w:rFonts w:ascii="Calibri" w:hAnsi="Calibri"/>
                <w:b/>
                <w:color w:val="64748B"/>
                <w:sz w:val="18"/>
              </w:rPr>
              <w:t xml:space="preserve">Infrastruktur Server: </w:t>
            </w:r>
            <w:r>
              <w:rPr>
                <w:rFonts w:ascii="Calibri" w:hAnsi="Calibri"/>
                <w:color w:val="1E293B"/>
                <w:sz w:val="18"/>
              </w:rPr>
              <w:t>Server On-Premise Milik Suara Surabaya (Cloud Hosting = Rp 0)</w:t>
            </w:r>
          </w:p>
        </w:tc>
        <w:tc>
          <w:tcPr>
            <w:tcW w:type="dxa" w:w="4730"/>
            <w:tcMar>
              <w:top w:w="50" w:type="dxa"/>
              <w:bottom w:w="50" w:type="dxa"/>
              <w:left w:w="90" w:type="dxa"/>
              <w:right w:w="90" w:type="dxa"/>
            </w:tcMar>
          </w:tcPr>
          <w:p>
            <w:pPr>
              <w:spacing w:before="0" w:after="0"/>
            </w:pPr>
            <w:r>
              <w:rPr>
                <w:rFonts w:ascii="Calibri" w:hAnsi="Calibri"/>
                <w:b/>
                <w:color w:val="64748B"/>
                <w:sz w:val="18"/>
              </w:rPr>
              <w:t xml:space="preserve">Total Nilai Investasi: </w:t>
            </w:r>
            <w:r>
              <w:rPr>
                <w:rFonts w:ascii="Calibri" w:hAnsi="Calibri"/>
                <w:color w:val="1E293B"/>
                <w:sz w:val="18"/>
              </w:rPr>
              <w:t>Rp 7.500.000,- (Full Fitur Tanpa Paket)</w:t>
            </w:r>
          </w:p>
        </w:tc>
      </w:tr>
    </w:tbl>
    <w:p>
      <w:pPr>
        <w:spacing w:after="120"/>
      </w:pPr>
    </w:p>
    <w:p>
      <w:pPr>
        <w:spacing w:before="160" w:after="60"/>
      </w:pPr>
      <w:r>
        <w:rPr>
          <w:rFonts w:ascii="Arial" w:hAnsi="Arial"/>
          <w:b/>
          <w:color w:val="1D4ED8"/>
          <w:sz w:val="22"/>
        </w:rPr>
        <w:t>1. RINGKASAN EKSEKUTIF &amp; KEBIJAKAN PENGEMBANGAN</w:t>
      </w:r>
    </w:p>
    <w:p>
      <w:pPr>
        <w:spacing w:before="20" w:after="120" w:line="276" w:lineRule="auto"/>
      </w:pPr>
      <w:r>
        <w:rPr>
          <w:rFonts w:ascii="Calibri" w:hAnsi="Calibri"/>
          <w:color w:val="1E293B"/>
          <w:sz w:val="19"/>
        </w:rPr>
        <w:t>Dokumen Rencana Anggaran Biaya (RAB) ini disusun langsung untuk pengadaan software versi penuh (Full Enterprise), mencakup seluruh modul fungsional tanpa pembagian paket bertingkat. Sistem E-Internship Suara Surabaya Media ini mengintegrasikan portal pelamar modern, sistem manajemen kuota divisi penyiaran/redaksi, mesin rekomendasi otomatis berbasis aturan (Decision Support System / DSS), dasbor analitik pimpinan redaksi, hingga modul ekspor laporan spreadsheet.</w:t>
        <w:br/>
        <w:br/>
        <w:t>Mengingat pihak Suara Surabaya Media telah memiliki infrastruktur server internal (on-premise) dan tim jaringan sendiri, biaya server pihak ketiga ditiadakan sepenuhnya (Rp 0). Seluruh nilai investasi sebesar Rp 7.500.000,- dialokasikan murni untuk rekayasa perangkat lunak, konfigurasi di server internal SS, serta pengujian sistem. Dokumen ini juga memuat studi kelayakan perolehan bisnis (revenue) melalui skema Kemitraan Kampus B2B yang diproyeksikan memberikan keuntungan bersih dan balik modal sangat cepat (Break-Even Point dalam 4–5 bulan).</w:t>
      </w:r>
    </w:p>
    <w:p>
      <w:pPr>
        <w:spacing w:before="200" w:after="60"/>
      </w:pPr>
      <w:r>
        <w:rPr>
          <w:rFonts w:ascii="Arial" w:hAnsi="Arial"/>
          <w:b/>
          <w:color w:val="1D4ED8"/>
          <w:sz w:val="22"/>
        </w:rPr>
        <w:t>2. VALUASI ARSITEKTUR REKAYASA PERANGKAT LUNAK</w:t>
      </w:r>
    </w:p>
    <w:p>
      <w:pPr>
        <w:spacing w:before="20" w:after="80" w:line="276" w:lineRule="auto"/>
      </w:pPr>
      <w:r>
        <w:rPr>
          <w:rFonts w:ascii="Calibri" w:hAnsi="Calibri"/>
          <w:color w:val="1E293B"/>
          <w:sz w:val="19"/>
        </w:rPr>
        <w:t>Sistem ini dibangun dengan arsitektur decoupled berstandar industri modern yang menjamin performa tinggi, keamanan otentikasi multi-level, serta kemudahan pemeliharaan pada server internal Suara Surabaya:</w:t>
      </w:r>
    </w:p>
    <w:p>
      <w:pPr>
        <w:spacing w:before="20" w:after="40" w:line="276" w:lineRule="auto"/>
        <w:ind w:left="288"/>
      </w:pPr>
      <w:r>
        <w:rPr>
          <w:rFonts w:ascii="Calibri" w:hAnsi="Calibri"/>
          <w:b/>
          <w:color w:val="1E293B"/>
          <w:sz w:val="18"/>
        </w:rPr>
        <w:t xml:space="preserve">• Frontend Modern (Next.js 14 App Router &amp; TypeScript): </w:t>
      </w:r>
      <w:r>
        <w:rPr>
          <w:rFonts w:ascii="Calibri" w:hAnsi="Calibri"/>
          <w:color w:val="1E293B"/>
          <w:sz w:val="18"/>
        </w:rPr>
        <w:t>Antarmuka cepat pre-compiled rendering, dukungan Dual Mode (Light &amp; Dark Theme) dengan teks kontras tinggi, mobile-responsive, dan hero carousel otomatis 5 detik.</w:t>
      </w:r>
    </w:p>
    <w:p>
      <w:pPr>
        <w:spacing w:before="20" w:after="40" w:line="276" w:lineRule="auto"/>
        <w:ind w:left="288"/>
      </w:pPr>
      <w:r>
        <w:rPr>
          <w:rFonts w:ascii="Calibri" w:hAnsi="Calibri"/>
          <w:b/>
          <w:color w:val="1E293B"/>
          <w:sz w:val="18"/>
        </w:rPr>
        <w:t xml:space="preserve">• Backend RESTful API (Laravel 11 &amp; Sanctum Token): </w:t>
      </w:r>
      <w:r>
        <w:rPr>
          <w:rFonts w:ascii="Calibri" w:hAnsi="Calibri"/>
          <w:color w:val="1E293B"/>
          <w:sz w:val="18"/>
        </w:rPr>
        <w:t>Logika bisnis terpusat dengan autentikasi aman Bearer Token, kontrol hak akses berbasis peran (RBAC 3 Level: Pelamar, Admin Redaksi/HRD, Pimpinan Redaksi), dan file storage engine lokal.</w:t>
      </w:r>
    </w:p>
    <w:p>
      <w:pPr>
        <w:spacing w:before="20" w:after="40" w:line="276" w:lineRule="auto"/>
        <w:ind w:left="288"/>
      </w:pPr>
      <w:r>
        <w:rPr>
          <w:rFonts w:ascii="Calibri" w:hAnsi="Calibri"/>
          <w:b/>
          <w:color w:val="1E293B"/>
          <w:sz w:val="18"/>
        </w:rPr>
        <w:t xml:space="preserve">• Basis Data Relasional Enterprise (PostgreSQL 18): </w:t>
      </w:r>
      <w:r>
        <w:rPr>
          <w:rFonts w:ascii="Calibri" w:hAnsi="Calibri"/>
          <w:color w:val="1E293B"/>
          <w:sz w:val="18"/>
        </w:rPr>
        <w:t>Integritas data ACID Compliance, auto-indexing penelusuran status, andal beroperasi di server lokal SS.</w:t>
      </w:r>
    </w:p>
    <w:p>
      <w:pPr>
        <w:spacing w:before="20" w:after="40" w:line="276" w:lineRule="auto"/>
        <w:ind w:left="288"/>
      </w:pPr>
      <w:r>
        <w:rPr>
          <w:rFonts w:ascii="Calibri" w:hAnsi="Calibri"/>
          <w:b/>
          <w:color w:val="1E293B"/>
          <w:sz w:val="18"/>
        </w:rPr>
        <w:t xml:space="preserve">• Mesin Seleksi Cerdas (Rule-Based DSS Engine): </w:t>
      </w:r>
      <w:r>
        <w:rPr>
          <w:rFonts w:ascii="Calibri" w:hAnsi="Calibri"/>
          <w:color w:val="1E293B"/>
          <w:sz w:val="18"/>
        </w:rPr>
        <w:t>Algoritma penilaian otomatis kelayakan berkas (Rule 1), sisa kuota divisi (Rule 3), dan kesesuaian jurusan akademik (Rule 4).</w:t>
      </w:r>
    </w:p>
    <w:p>
      <w:pPr>
        <w:spacing w:after="80"/>
      </w:pPr>
    </w:p>
    <w:p>
      <w:pPr>
        <w:spacing w:before="200" w:after="60"/>
      </w:pPr>
      <w:r>
        <w:rPr>
          <w:rFonts w:ascii="Arial" w:hAnsi="Arial"/>
          <w:b/>
          <w:color w:val="1D4ED8"/>
          <w:sz w:val="22"/>
        </w:rPr>
        <w:t>3. RINCIAN ANGGARAN BIAYA PENGEMBANGAN (FULL FITUR ENTERPRISE)</w:t>
      </w:r>
    </w:p>
    <w:p>
      <w:pPr>
        <w:spacing w:before="20" w:after="100"/>
      </w:pPr>
      <w:r>
        <w:rPr>
          <w:rFonts w:ascii="Calibri" w:hAnsi="Calibri"/>
          <w:color w:val="1E293B"/>
          <w:sz w:val="19"/>
        </w:rPr>
        <w:t>Berikut adalah rincian nominal per modul dan komponen fitur untuk pengembangan sistem secara utuh.</w:t>
        <w:br/>
        <w:t xml:space="preserve">Total Nilai Pengadaan Software: </w:t>
      </w:r>
      <w:r>
        <w:rPr>
          <w:rFonts w:ascii="Calibri" w:hAnsi="Calibri"/>
          <w:b/>
          <w:color w:val="1D4ED8"/>
          <w:sz w:val="20"/>
        </w:rPr>
        <w:t>Rp 7.500.000,- (Tujuh Juta Lima Ratus Ribu Rupiah)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65"/>
        <w:gridCol w:w="2365"/>
        <w:gridCol w:w="2365"/>
        <w:gridCol w:w="2365"/>
      </w:tblGrid>
      <w:tr>
        <w:tc>
          <w:tcPr>
            <w:tcW w:type="dxa" w:w="2365"/>
            <w:shd w:fill="1D4ED8"/>
            <w:tcMar>
              <w:top w:w="120" w:type="dxa"/>
              <w:bottom w:w="120" w:type="dxa"/>
              <w:left w:w="110" w:type="dxa"/>
              <w:right w:w="110" w:type="dxa"/>
            </w:tcMar>
          </w:tcPr>
          <w:p>
            <w:pPr>
              <w:spacing w:before="0" w:after="0"/>
              <w:jc w:val="center"/>
            </w:pPr>
            <w:r>
              <w:rPr>
                <w:rFonts w:ascii="Calibri" w:hAnsi="Calibri"/>
                <w:b/>
                <w:color w:val="FFFFFF"/>
                <w:sz w:val="18"/>
              </w:rPr>
              <w:t>No.</w:t>
            </w:r>
          </w:p>
        </w:tc>
        <w:tc>
          <w:tcPr>
            <w:tcW w:type="dxa" w:w="2365"/>
            <w:shd w:fill="1D4ED8"/>
            <w:tcMar>
              <w:top w:w="120" w:type="dxa"/>
              <w:bottom w:w="120" w:type="dxa"/>
              <w:left w:w="110" w:type="dxa"/>
              <w:right w:w="110" w:type="dxa"/>
            </w:tcMar>
          </w:tcPr>
          <w:p>
            <w:pPr>
              <w:spacing w:before="0" w:after="0"/>
              <w:jc w:val="left"/>
            </w:pPr>
            <w:r>
              <w:rPr>
                <w:rFonts w:ascii="Calibri" w:hAnsi="Calibri"/>
                <w:b/>
                <w:color w:val="FFFFFF"/>
                <w:sz w:val="18"/>
              </w:rPr>
              <w:t>Modul / Komponen Fitur</w:t>
            </w:r>
          </w:p>
        </w:tc>
        <w:tc>
          <w:tcPr>
            <w:tcW w:type="dxa" w:w="2365"/>
            <w:shd w:fill="1D4ED8"/>
            <w:tcMar>
              <w:top w:w="120" w:type="dxa"/>
              <w:bottom w:w="120" w:type="dxa"/>
              <w:left w:w="110" w:type="dxa"/>
              <w:right w:w="110" w:type="dxa"/>
            </w:tcMar>
          </w:tcPr>
          <w:p>
            <w:pPr>
              <w:spacing w:before="0" w:after="0"/>
              <w:jc w:val="left"/>
            </w:pPr>
            <w:r>
              <w:rPr>
                <w:rFonts w:ascii="Calibri" w:hAnsi="Calibri"/>
                <w:b/>
                <w:color w:val="FFFFFF"/>
                <w:sz w:val="18"/>
              </w:rPr>
              <w:t>Rincian Spesifikasi &amp; Arsitektur Teknis</w:t>
            </w:r>
          </w:p>
        </w:tc>
        <w:tc>
          <w:tcPr>
            <w:tcW w:type="dxa" w:w="2365"/>
            <w:shd w:fill="1D4ED8"/>
            <w:tcMar>
              <w:top w:w="120" w:type="dxa"/>
              <w:bottom w:w="120" w:type="dxa"/>
              <w:left w:w="110" w:type="dxa"/>
              <w:right w:w="110" w:type="dxa"/>
            </w:tcMar>
          </w:tcPr>
          <w:p>
            <w:pPr>
              <w:spacing w:before="0" w:after="0"/>
              <w:jc w:val="right"/>
            </w:pPr>
            <w:r>
              <w:rPr>
                <w:rFonts w:ascii="Calibri" w:hAnsi="Calibri"/>
                <w:b/>
                <w:color w:val="FFFFFF"/>
                <w:sz w:val="18"/>
              </w:rPr>
              <w:t>Harga (Rp)</w:t>
            </w:r>
          </w:p>
        </w:tc>
      </w:tr>
      <w:tr>
        <w:tc>
          <w:tcPr>
            <w:tcW w:type="dxa" w:w="2365"/>
            <w:shd w:fill="FFFFFF"/>
            <w:tcMar>
              <w:top w:w="75" w:type="dxa"/>
              <w:bottom w:w="75" w:type="dxa"/>
              <w:left w:w="110" w:type="dxa"/>
              <w:right w:w="110" w:type="dxa"/>
            </w:tcMar>
          </w:tcPr>
          <w:p>
            <w:pPr>
              <w:spacing w:before="0" w:after="0"/>
              <w:jc w:val="center"/>
            </w:pPr>
            <w:r>
              <w:rPr>
                <w:rFonts w:ascii="Calibri" w:hAnsi="Calibri"/>
                <w:color w:val="1E293B"/>
                <w:sz w:val="17"/>
              </w:rPr>
              <w:t>1</w:t>
            </w:r>
          </w:p>
        </w:tc>
        <w:tc>
          <w:tcPr>
            <w:tcW w:type="dxa" w:w="2365"/>
            <w:shd w:fill="FFFFFF"/>
            <w:tcMar>
              <w:top w:w="75" w:type="dxa"/>
              <w:bottom w:w="75" w:type="dxa"/>
              <w:left w:w="110" w:type="dxa"/>
              <w:right w:w="110" w:type="dxa"/>
            </w:tcMar>
          </w:tcPr>
          <w:p>
            <w:pPr>
              <w:spacing w:before="0" w:after="0"/>
              <w:jc w:val="left"/>
            </w:pPr>
            <w:r>
              <w:rPr>
                <w:rFonts w:ascii="Calibri" w:hAnsi="Calibri"/>
                <w:b/>
                <w:color w:val="1E293B"/>
                <w:sz w:val="17"/>
              </w:rPr>
              <w:t>Arsitektur Multi-Role 3-Level</w:t>
            </w:r>
          </w:p>
        </w:tc>
        <w:tc>
          <w:tcPr>
            <w:tcW w:type="dxa" w:w="2365"/>
            <w:shd w:fill="FFFFFF"/>
            <w:tcMar>
              <w:top w:w="75" w:type="dxa"/>
              <w:bottom w:w="75" w:type="dxa"/>
              <w:left w:w="110" w:type="dxa"/>
              <w:right w:w="110" w:type="dxa"/>
            </w:tcMar>
          </w:tcPr>
          <w:p>
            <w:pPr>
              <w:spacing w:before="0" w:after="0"/>
              <w:jc w:val="left"/>
            </w:pPr>
            <w:r>
              <w:rPr>
                <w:rFonts w:ascii="Calibri" w:hAnsi="Calibri"/>
                <w:color w:val="1E293B"/>
                <w:sz w:val="17"/>
              </w:rPr>
              <w:t>Setup Next.js 14 + Laravel 11 + PostgreSQL dengan 3 role: Pelamar, Admin Redaksi/HRD, dan Pimpinan Redaksi.</w:t>
            </w:r>
          </w:p>
        </w:tc>
        <w:tc>
          <w:tcPr>
            <w:tcW w:type="dxa" w:w="2365"/>
            <w:shd w:fill="FFFFFF"/>
            <w:tcMar>
              <w:top w:w="75" w:type="dxa"/>
              <w:bottom w:w="75" w:type="dxa"/>
              <w:left w:w="110" w:type="dxa"/>
              <w:right w:w="110" w:type="dxa"/>
            </w:tcMar>
          </w:tcPr>
          <w:p>
            <w:pPr>
              <w:spacing w:before="0" w:after="0"/>
              <w:jc w:val="right"/>
            </w:pPr>
            <w:r>
              <w:rPr>
                <w:rFonts w:ascii="Calibri" w:hAnsi="Calibri"/>
                <w:color w:val="1E293B"/>
                <w:sz w:val="17"/>
              </w:rPr>
              <w:t>650.000</w:t>
            </w:r>
          </w:p>
        </w:tc>
      </w:tr>
      <w:tr>
        <w:tc>
          <w:tcPr>
            <w:tcW w:type="dxa" w:w="2365"/>
            <w:shd w:fill="F8FAFC"/>
            <w:tcMar>
              <w:top w:w="75" w:type="dxa"/>
              <w:bottom w:w="75" w:type="dxa"/>
              <w:left w:w="110" w:type="dxa"/>
              <w:right w:w="110" w:type="dxa"/>
            </w:tcMar>
          </w:tcPr>
          <w:p>
            <w:pPr>
              <w:spacing w:before="0" w:after="0"/>
              <w:jc w:val="center"/>
            </w:pPr>
            <w:r>
              <w:rPr>
                <w:rFonts w:ascii="Calibri" w:hAnsi="Calibri"/>
                <w:color w:val="1E293B"/>
                <w:sz w:val="17"/>
              </w:rPr>
              <w:t>2</w:t>
            </w:r>
          </w:p>
        </w:tc>
        <w:tc>
          <w:tcPr>
            <w:tcW w:type="dxa" w:w="2365"/>
            <w:shd w:fill="F8FAFC"/>
            <w:tcMar>
              <w:top w:w="75" w:type="dxa"/>
              <w:bottom w:w="75" w:type="dxa"/>
              <w:left w:w="110" w:type="dxa"/>
              <w:right w:w="110" w:type="dxa"/>
            </w:tcMar>
          </w:tcPr>
          <w:p>
            <w:pPr>
              <w:spacing w:before="0" w:after="0"/>
              <w:jc w:val="left"/>
            </w:pPr>
            <w:r>
              <w:rPr>
                <w:rFonts w:ascii="Calibri" w:hAnsi="Calibri"/>
                <w:b/>
                <w:color w:val="1E293B"/>
                <w:sz w:val="17"/>
              </w:rPr>
              <w:t>Beranda &amp; Banner Carousel 5 Detik</w:t>
            </w:r>
          </w:p>
        </w:tc>
        <w:tc>
          <w:tcPr>
            <w:tcW w:type="dxa" w:w="2365"/>
            <w:shd w:fill="F8FAFC"/>
            <w:tcMar>
              <w:top w:w="75" w:type="dxa"/>
              <w:bottom w:w="75" w:type="dxa"/>
              <w:left w:w="110" w:type="dxa"/>
              <w:right w:w="110" w:type="dxa"/>
            </w:tcMar>
          </w:tcPr>
          <w:p>
            <w:pPr>
              <w:spacing w:before="0" w:after="0"/>
              <w:jc w:val="left"/>
            </w:pPr>
            <w:r>
              <w:rPr>
                <w:rFonts w:ascii="Calibri" w:hAnsi="Calibri"/>
                <w:color w:val="1E293B"/>
                <w:sz w:val="17"/>
              </w:rPr>
              <w:t>Profil korporat media SS, navigasi terstruktur, auto-sliding banner carousel 5 detik transisi halus.</w:t>
            </w:r>
          </w:p>
        </w:tc>
        <w:tc>
          <w:tcPr>
            <w:tcW w:type="dxa" w:w="2365"/>
            <w:shd w:fill="F8FAFC"/>
            <w:tcMar>
              <w:top w:w="75" w:type="dxa"/>
              <w:bottom w:w="75" w:type="dxa"/>
              <w:left w:w="110" w:type="dxa"/>
              <w:right w:w="110" w:type="dxa"/>
            </w:tcMar>
          </w:tcPr>
          <w:p>
            <w:pPr>
              <w:spacing w:before="0" w:after="0"/>
              <w:jc w:val="right"/>
            </w:pPr>
            <w:r>
              <w:rPr>
                <w:rFonts w:ascii="Calibri" w:hAnsi="Calibri"/>
                <w:color w:val="1E293B"/>
                <w:sz w:val="17"/>
              </w:rPr>
              <w:t>350.000</w:t>
            </w:r>
          </w:p>
        </w:tc>
      </w:tr>
      <w:tr>
        <w:tc>
          <w:tcPr>
            <w:tcW w:type="dxa" w:w="2365"/>
            <w:shd w:fill="FFFFFF"/>
            <w:tcMar>
              <w:top w:w="75" w:type="dxa"/>
              <w:bottom w:w="75" w:type="dxa"/>
              <w:left w:w="110" w:type="dxa"/>
              <w:right w:w="110" w:type="dxa"/>
            </w:tcMar>
          </w:tcPr>
          <w:p>
            <w:pPr>
              <w:spacing w:before="0" w:after="0"/>
              <w:jc w:val="center"/>
            </w:pPr>
            <w:r>
              <w:rPr>
                <w:rFonts w:ascii="Calibri" w:hAnsi="Calibri"/>
                <w:color w:val="1E293B"/>
                <w:sz w:val="17"/>
              </w:rPr>
              <w:t>3</w:t>
            </w:r>
          </w:p>
        </w:tc>
        <w:tc>
          <w:tcPr>
            <w:tcW w:type="dxa" w:w="2365"/>
            <w:shd w:fill="FFFFFF"/>
            <w:tcMar>
              <w:top w:w="75" w:type="dxa"/>
              <w:bottom w:w="75" w:type="dxa"/>
              <w:left w:w="110" w:type="dxa"/>
              <w:right w:w="110" w:type="dxa"/>
            </w:tcMar>
          </w:tcPr>
          <w:p>
            <w:pPr>
              <w:spacing w:before="0" w:after="0"/>
              <w:jc w:val="left"/>
            </w:pPr>
            <w:r>
              <w:rPr>
                <w:rFonts w:ascii="Calibri" w:hAnsi="Calibri"/>
                <w:b/>
                <w:color w:val="1E293B"/>
                <w:sz w:val="17"/>
              </w:rPr>
              <w:t>Formulir Pendaftaran &amp; Storage Berkas</w:t>
            </w:r>
          </w:p>
        </w:tc>
        <w:tc>
          <w:tcPr>
            <w:tcW w:type="dxa" w:w="2365"/>
            <w:shd w:fill="FFFFFF"/>
            <w:tcMar>
              <w:top w:w="75" w:type="dxa"/>
              <w:bottom w:w="75" w:type="dxa"/>
              <w:left w:w="110" w:type="dxa"/>
              <w:right w:w="110" w:type="dxa"/>
            </w:tcMar>
          </w:tcPr>
          <w:p>
            <w:pPr>
              <w:spacing w:before="0" w:after="0"/>
              <w:jc w:val="left"/>
            </w:pPr>
            <w:r>
              <w:rPr>
                <w:rFonts w:ascii="Calibri" w:hAnsi="Calibri"/>
                <w:color w:val="1E293B"/>
                <w:sz w:val="17"/>
              </w:rPr>
              <w:t>Multi-step wizard pengajuan, integrasi file storage lokal server SS, validasi berkas CV/KTP/Surat/Proposal.</w:t>
            </w:r>
          </w:p>
        </w:tc>
        <w:tc>
          <w:tcPr>
            <w:tcW w:type="dxa" w:w="2365"/>
            <w:shd w:fill="FFFFFF"/>
            <w:tcMar>
              <w:top w:w="75" w:type="dxa"/>
              <w:bottom w:w="75" w:type="dxa"/>
              <w:left w:w="110" w:type="dxa"/>
              <w:right w:w="110" w:type="dxa"/>
            </w:tcMar>
          </w:tcPr>
          <w:p>
            <w:pPr>
              <w:spacing w:before="0" w:after="0"/>
              <w:jc w:val="right"/>
            </w:pPr>
            <w:r>
              <w:rPr>
                <w:rFonts w:ascii="Calibri" w:hAnsi="Calibri"/>
                <w:color w:val="1E293B"/>
                <w:sz w:val="17"/>
              </w:rPr>
              <w:t>900.000</w:t>
            </w:r>
          </w:p>
        </w:tc>
      </w:tr>
      <w:tr>
        <w:tc>
          <w:tcPr>
            <w:tcW w:type="dxa" w:w="2365"/>
            <w:shd w:fill="F8FAFC"/>
            <w:tcMar>
              <w:top w:w="75" w:type="dxa"/>
              <w:bottom w:w="75" w:type="dxa"/>
              <w:left w:w="110" w:type="dxa"/>
              <w:right w:w="110" w:type="dxa"/>
            </w:tcMar>
          </w:tcPr>
          <w:p>
            <w:pPr>
              <w:spacing w:before="0" w:after="0"/>
              <w:jc w:val="center"/>
            </w:pPr>
            <w:r>
              <w:rPr>
                <w:rFonts w:ascii="Calibri" w:hAnsi="Calibri"/>
                <w:color w:val="1E293B"/>
                <w:sz w:val="17"/>
              </w:rPr>
              <w:t>4</w:t>
            </w:r>
          </w:p>
        </w:tc>
        <w:tc>
          <w:tcPr>
            <w:tcW w:type="dxa" w:w="2365"/>
            <w:shd w:fill="F8FAFC"/>
            <w:tcMar>
              <w:top w:w="75" w:type="dxa"/>
              <w:bottom w:w="75" w:type="dxa"/>
              <w:left w:w="110" w:type="dxa"/>
              <w:right w:w="110" w:type="dxa"/>
            </w:tcMar>
          </w:tcPr>
          <w:p>
            <w:pPr>
              <w:spacing w:before="0" w:after="0"/>
              <w:jc w:val="left"/>
            </w:pPr>
            <w:r>
              <w:rPr>
                <w:rFonts w:ascii="Calibri" w:hAnsi="Calibri"/>
                <w:b/>
                <w:color w:val="1E293B"/>
                <w:sz w:val="17"/>
              </w:rPr>
              <w:t>Portal Pelamar, Linimasa &amp; Re-Apply</w:t>
            </w:r>
          </w:p>
        </w:tc>
        <w:tc>
          <w:tcPr>
            <w:tcW w:type="dxa" w:w="2365"/>
            <w:shd w:fill="F8FAFC"/>
            <w:tcMar>
              <w:top w:w="75" w:type="dxa"/>
              <w:bottom w:w="75" w:type="dxa"/>
              <w:left w:w="110" w:type="dxa"/>
              <w:right w:w="110" w:type="dxa"/>
            </w:tcMar>
          </w:tcPr>
          <w:p>
            <w:pPr>
              <w:spacing w:before="0" w:after="0"/>
              <w:jc w:val="left"/>
            </w:pPr>
            <w:r>
              <w:rPr>
                <w:rFonts w:ascii="Calibri" w:hAnsi="Calibri"/>
                <w:color w:val="1E293B"/>
                <w:sz w:val="17"/>
              </w:rPr>
              <w:t>Halaman profil selaras (Light/Dark), linimasa interaktif progress seleksi, dan otomasi deteksi alumni magang.</w:t>
            </w:r>
          </w:p>
        </w:tc>
        <w:tc>
          <w:tcPr>
            <w:tcW w:type="dxa" w:w="2365"/>
            <w:shd w:fill="F8FAFC"/>
            <w:tcMar>
              <w:top w:w="75" w:type="dxa"/>
              <w:bottom w:w="75" w:type="dxa"/>
              <w:left w:w="110" w:type="dxa"/>
              <w:right w:w="110" w:type="dxa"/>
            </w:tcMar>
          </w:tcPr>
          <w:p>
            <w:pPr>
              <w:spacing w:before="0" w:after="0"/>
              <w:jc w:val="right"/>
            </w:pPr>
            <w:r>
              <w:rPr>
                <w:rFonts w:ascii="Calibri" w:hAnsi="Calibri"/>
                <w:color w:val="1E293B"/>
                <w:sz w:val="17"/>
              </w:rPr>
              <w:t>700.000</w:t>
            </w:r>
          </w:p>
        </w:tc>
      </w:tr>
      <w:tr>
        <w:tc>
          <w:tcPr>
            <w:tcW w:type="dxa" w:w="2365"/>
            <w:shd w:fill="FFFFFF"/>
            <w:tcMar>
              <w:top w:w="75" w:type="dxa"/>
              <w:bottom w:w="75" w:type="dxa"/>
              <w:left w:w="110" w:type="dxa"/>
              <w:right w:w="110" w:type="dxa"/>
            </w:tcMar>
          </w:tcPr>
          <w:p>
            <w:pPr>
              <w:spacing w:before="0" w:after="0"/>
              <w:jc w:val="center"/>
            </w:pPr>
            <w:r>
              <w:rPr>
                <w:rFonts w:ascii="Calibri" w:hAnsi="Calibri"/>
                <w:color w:val="1E293B"/>
                <w:sz w:val="17"/>
              </w:rPr>
              <w:t>5</w:t>
            </w:r>
          </w:p>
        </w:tc>
        <w:tc>
          <w:tcPr>
            <w:tcW w:type="dxa" w:w="2365"/>
            <w:shd w:fill="FFFFFF"/>
            <w:tcMar>
              <w:top w:w="75" w:type="dxa"/>
              <w:bottom w:w="75" w:type="dxa"/>
              <w:left w:w="110" w:type="dxa"/>
              <w:right w:w="110" w:type="dxa"/>
            </w:tcMar>
          </w:tcPr>
          <w:p>
            <w:pPr>
              <w:spacing w:before="0" w:after="0"/>
              <w:jc w:val="left"/>
            </w:pPr>
            <w:r>
              <w:rPr>
                <w:rFonts w:ascii="Calibri" w:hAnsi="Calibri"/>
                <w:b/>
                <w:color w:val="1E293B"/>
                <w:sz w:val="17"/>
              </w:rPr>
              <w:t>Engine Seleksi Cerdas (DSS Rule-Based)</w:t>
            </w:r>
          </w:p>
        </w:tc>
        <w:tc>
          <w:tcPr>
            <w:tcW w:type="dxa" w:w="2365"/>
            <w:shd w:fill="FFFFFF"/>
            <w:tcMar>
              <w:top w:w="75" w:type="dxa"/>
              <w:bottom w:w="75" w:type="dxa"/>
              <w:left w:w="110" w:type="dxa"/>
              <w:right w:w="110" w:type="dxa"/>
            </w:tcMar>
          </w:tcPr>
          <w:p>
            <w:pPr>
              <w:spacing w:before="0" w:after="0"/>
              <w:jc w:val="left"/>
            </w:pPr>
            <w:r>
              <w:rPr>
                <w:rFonts w:ascii="Calibri" w:hAnsi="Calibri"/>
                <w:color w:val="1E293B"/>
                <w:sz w:val="17"/>
              </w:rPr>
              <w:t>Otomasi penilaian kelayakan pelamar: Rule 1 (Kelengkapan berkas), Rule 3 (Kapasitas kuota), Rule 4 (Kesesuaian jurusan).</w:t>
            </w:r>
          </w:p>
        </w:tc>
        <w:tc>
          <w:tcPr>
            <w:tcW w:type="dxa" w:w="2365"/>
            <w:shd w:fill="FFFFFF"/>
            <w:tcMar>
              <w:top w:w="75" w:type="dxa"/>
              <w:bottom w:w="75" w:type="dxa"/>
              <w:left w:w="110" w:type="dxa"/>
              <w:right w:w="110" w:type="dxa"/>
            </w:tcMar>
          </w:tcPr>
          <w:p>
            <w:pPr>
              <w:spacing w:before="0" w:after="0"/>
              <w:jc w:val="right"/>
            </w:pPr>
            <w:r>
              <w:rPr>
                <w:rFonts w:ascii="Calibri" w:hAnsi="Calibri"/>
                <w:color w:val="1E293B"/>
                <w:sz w:val="17"/>
              </w:rPr>
              <w:t>1.250.000</w:t>
            </w:r>
          </w:p>
        </w:tc>
      </w:tr>
      <w:tr>
        <w:tc>
          <w:tcPr>
            <w:tcW w:type="dxa" w:w="2365"/>
            <w:shd w:fill="F8FAFC"/>
            <w:tcMar>
              <w:top w:w="75" w:type="dxa"/>
              <w:bottom w:w="75" w:type="dxa"/>
              <w:left w:w="110" w:type="dxa"/>
              <w:right w:w="110" w:type="dxa"/>
            </w:tcMar>
          </w:tcPr>
          <w:p>
            <w:pPr>
              <w:spacing w:before="0" w:after="0"/>
              <w:jc w:val="center"/>
            </w:pPr>
            <w:r>
              <w:rPr>
                <w:rFonts w:ascii="Calibri" w:hAnsi="Calibri"/>
                <w:color w:val="1E293B"/>
                <w:sz w:val="17"/>
              </w:rPr>
              <w:t>6</w:t>
            </w:r>
          </w:p>
        </w:tc>
        <w:tc>
          <w:tcPr>
            <w:tcW w:type="dxa" w:w="2365"/>
            <w:shd w:fill="F8FAFC"/>
            <w:tcMar>
              <w:top w:w="75" w:type="dxa"/>
              <w:bottom w:w="75" w:type="dxa"/>
              <w:left w:w="110" w:type="dxa"/>
              <w:right w:w="110" w:type="dxa"/>
            </w:tcMar>
          </w:tcPr>
          <w:p>
            <w:pPr>
              <w:spacing w:before="0" w:after="0"/>
              <w:jc w:val="left"/>
            </w:pPr>
            <w:r>
              <w:rPr>
                <w:rFonts w:ascii="Calibri" w:hAnsi="Calibri"/>
                <w:b/>
                <w:color w:val="1E293B"/>
                <w:sz w:val="17"/>
              </w:rPr>
              <w:t>Antrean Admin &amp; Eksekusi Rekomendasi</w:t>
            </w:r>
          </w:p>
        </w:tc>
        <w:tc>
          <w:tcPr>
            <w:tcW w:type="dxa" w:w="2365"/>
            <w:shd w:fill="F8FAFC"/>
            <w:tcMar>
              <w:top w:w="75" w:type="dxa"/>
              <w:bottom w:w="75" w:type="dxa"/>
              <w:left w:w="110" w:type="dxa"/>
              <w:right w:w="110" w:type="dxa"/>
            </w:tcMar>
          </w:tcPr>
          <w:p>
            <w:pPr>
              <w:spacing w:before="0" w:after="0"/>
              <w:jc w:val="left"/>
            </w:pPr>
            <w:r>
              <w:rPr>
                <w:rFonts w:ascii="Calibri" w:hAnsi="Calibri"/>
                <w:color w:val="1E293B"/>
                <w:sz w:val="17"/>
              </w:rPr>
              <w:t>Dashboard verifikasi terintegrasi DSS, modal penerimaan dengan jadwal &amp; catatan, modal tolak dengan alasan.</w:t>
            </w:r>
          </w:p>
        </w:tc>
        <w:tc>
          <w:tcPr>
            <w:tcW w:type="dxa" w:w="2365"/>
            <w:shd w:fill="F8FAFC"/>
            <w:tcMar>
              <w:top w:w="75" w:type="dxa"/>
              <w:bottom w:w="75" w:type="dxa"/>
              <w:left w:w="110" w:type="dxa"/>
              <w:right w:w="110" w:type="dxa"/>
            </w:tcMar>
          </w:tcPr>
          <w:p>
            <w:pPr>
              <w:spacing w:before="0" w:after="0"/>
              <w:jc w:val="right"/>
            </w:pPr>
            <w:r>
              <w:rPr>
                <w:rFonts w:ascii="Calibri" w:hAnsi="Calibri"/>
                <w:color w:val="1E293B"/>
                <w:sz w:val="17"/>
              </w:rPr>
              <w:t>800.000</w:t>
            </w:r>
          </w:p>
        </w:tc>
      </w:tr>
      <w:tr>
        <w:tc>
          <w:tcPr>
            <w:tcW w:type="dxa" w:w="2365"/>
            <w:shd w:fill="FFFFFF"/>
            <w:tcMar>
              <w:top w:w="75" w:type="dxa"/>
              <w:bottom w:w="75" w:type="dxa"/>
              <w:left w:w="110" w:type="dxa"/>
              <w:right w:w="110" w:type="dxa"/>
            </w:tcMar>
          </w:tcPr>
          <w:p>
            <w:pPr>
              <w:spacing w:before="0" w:after="0"/>
              <w:jc w:val="center"/>
            </w:pPr>
            <w:r>
              <w:rPr>
                <w:rFonts w:ascii="Calibri" w:hAnsi="Calibri"/>
                <w:color w:val="1E293B"/>
                <w:sz w:val="17"/>
              </w:rPr>
              <w:t>7</w:t>
            </w:r>
          </w:p>
        </w:tc>
        <w:tc>
          <w:tcPr>
            <w:tcW w:type="dxa" w:w="2365"/>
            <w:shd w:fill="FFFFFF"/>
            <w:tcMar>
              <w:top w:w="75" w:type="dxa"/>
              <w:bottom w:w="75" w:type="dxa"/>
              <w:left w:w="110" w:type="dxa"/>
              <w:right w:w="110" w:type="dxa"/>
            </w:tcMar>
          </w:tcPr>
          <w:p>
            <w:pPr>
              <w:spacing w:before="0" w:after="0"/>
              <w:jc w:val="left"/>
            </w:pPr>
            <w:r>
              <w:rPr>
                <w:rFonts w:ascii="Calibri" w:hAnsi="Calibri"/>
                <w:b/>
                <w:color w:val="1E293B"/>
                <w:sz w:val="17"/>
              </w:rPr>
              <w:t>Manajemen Kuota Dinamis &amp; Auto-Lock</w:t>
            </w:r>
          </w:p>
        </w:tc>
        <w:tc>
          <w:tcPr>
            <w:tcW w:type="dxa" w:w="2365"/>
            <w:shd w:fill="FFFFFF"/>
            <w:tcMar>
              <w:top w:w="75" w:type="dxa"/>
              <w:bottom w:w="75" w:type="dxa"/>
              <w:left w:w="110" w:type="dxa"/>
              <w:right w:w="110" w:type="dxa"/>
            </w:tcMar>
          </w:tcPr>
          <w:p>
            <w:pPr>
              <w:spacing w:before="0" w:after="0"/>
              <w:jc w:val="left"/>
            </w:pPr>
            <w:r>
              <w:rPr>
                <w:rFonts w:ascii="Calibri" w:hAnsi="Calibri"/>
                <w:color w:val="1E293B"/>
                <w:sz w:val="17"/>
              </w:rPr>
              <w:t>Kapasitas divisi real-time, auto-decrement kuota saat diterima, dan fitur penguncian divisi penuh (Lock/Unlock).</w:t>
            </w:r>
          </w:p>
        </w:tc>
        <w:tc>
          <w:tcPr>
            <w:tcW w:type="dxa" w:w="2365"/>
            <w:shd w:fill="FFFFFF"/>
            <w:tcMar>
              <w:top w:w="75" w:type="dxa"/>
              <w:bottom w:w="75" w:type="dxa"/>
              <w:left w:w="110" w:type="dxa"/>
              <w:right w:w="110" w:type="dxa"/>
            </w:tcMar>
          </w:tcPr>
          <w:p>
            <w:pPr>
              <w:spacing w:before="0" w:after="0"/>
              <w:jc w:val="right"/>
            </w:pPr>
            <w:r>
              <w:rPr>
                <w:rFonts w:ascii="Calibri" w:hAnsi="Calibri"/>
                <w:color w:val="1E293B"/>
                <w:sz w:val="17"/>
              </w:rPr>
              <w:t>550.000</w:t>
            </w:r>
          </w:p>
        </w:tc>
      </w:tr>
      <w:tr>
        <w:tc>
          <w:tcPr>
            <w:tcW w:type="dxa" w:w="2365"/>
            <w:shd w:fill="F8FAFC"/>
            <w:tcMar>
              <w:top w:w="75" w:type="dxa"/>
              <w:bottom w:w="75" w:type="dxa"/>
              <w:left w:w="110" w:type="dxa"/>
              <w:right w:w="110" w:type="dxa"/>
            </w:tcMar>
          </w:tcPr>
          <w:p>
            <w:pPr>
              <w:spacing w:before="0" w:after="0"/>
              <w:jc w:val="center"/>
            </w:pPr>
            <w:r>
              <w:rPr>
                <w:rFonts w:ascii="Calibri" w:hAnsi="Calibri"/>
                <w:color w:val="1E293B"/>
                <w:sz w:val="17"/>
              </w:rPr>
              <w:t>8</w:t>
            </w:r>
          </w:p>
        </w:tc>
        <w:tc>
          <w:tcPr>
            <w:tcW w:type="dxa" w:w="2365"/>
            <w:shd w:fill="F8FAFC"/>
            <w:tcMar>
              <w:top w:w="75" w:type="dxa"/>
              <w:bottom w:w="75" w:type="dxa"/>
              <w:left w:w="110" w:type="dxa"/>
              <w:right w:w="110" w:type="dxa"/>
            </w:tcMar>
          </w:tcPr>
          <w:p>
            <w:pPr>
              <w:spacing w:before="0" w:after="0"/>
              <w:jc w:val="left"/>
            </w:pPr>
            <w:r>
              <w:rPr>
                <w:rFonts w:ascii="Calibri" w:hAnsi="Calibri"/>
                <w:b/>
                <w:color w:val="1E293B"/>
                <w:sz w:val="17"/>
              </w:rPr>
              <w:t>Dasbor Analitik Eksekutif (Pimpinan)</w:t>
            </w:r>
          </w:p>
        </w:tc>
        <w:tc>
          <w:tcPr>
            <w:tcW w:type="dxa" w:w="2365"/>
            <w:shd w:fill="F8FAFC"/>
            <w:tcMar>
              <w:top w:w="75" w:type="dxa"/>
              <w:bottom w:w="75" w:type="dxa"/>
              <w:left w:w="110" w:type="dxa"/>
              <w:right w:w="110" w:type="dxa"/>
            </w:tcMar>
          </w:tcPr>
          <w:p>
            <w:pPr>
              <w:spacing w:before="0" w:after="0"/>
              <w:jc w:val="left"/>
            </w:pPr>
            <w:r>
              <w:rPr>
                <w:rFonts w:ascii="Calibri" w:hAnsi="Calibri"/>
                <w:color w:val="1E293B"/>
                <w:sz w:val="17"/>
              </w:rPr>
              <w:t>Portal khusus Pimpinan Redaksi dengan visual grafik tren pelamar bulanan, distribusi kampus, dan utilisasi kapasitas divisi.</w:t>
            </w:r>
          </w:p>
        </w:tc>
        <w:tc>
          <w:tcPr>
            <w:tcW w:type="dxa" w:w="2365"/>
            <w:shd w:fill="F8FAFC"/>
            <w:tcMar>
              <w:top w:w="75" w:type="dxa"/>
              <w:bottom w:w="75" w:type="dxa"/>
              <w:left w:w="110" w:type="dxa"/>
              <w:right w:w="110" w:type="dxa"/>
            </w:tcMar>
          </w:tcPr>
          <w:p>
            <w:pPr>
              <w:spacing w:before="0" w:after="0"/>
              <w:jc w:val="right"/>
            </w:pPr>
            <w:r>
              <w:rPr>
                <w:rFonts w:ascii="Calibri" w:hAnsi="Calibri"/>
                <w:color w:val="1E293B"/>
                <w:sz w:val="17"/>
              </w:rPr>
              <w:t>650.000</w:t>
            </w:r>
          </w:p>
        </w:tc>
      </w:tr>
      <w:tr>
        <w:tc>
          <w:tcPr>
            <w:tcW w:type="dxa" w:w="2365"/>
            <w:shd w:fill="FFFFFF"/>
            <w:tcMar>
              <w:top w:w="75" w:type="dxa"/>
              <w:bottom w:w="75" w:type="dxa"/>
              <w:left w:w="110" w:type="dxa"/>
              <w:right w:w="110" w:type="dxa"/>
            </w:tcMar>
          </w:tcPr>
          <w:p>
            <w:pPr>
              <w:spacing w:before="0" w:after="0"/>
              <w:jc w:val="center"/>
            </w:pPr>
            <w:r>
              <w:rPr>
                <w:rFonts w:ascii="Calibri" w:hAnsi="Calibri"/>
                <w:color w:val="1E293B"/>
                <w:sz w:val="17"/>
              </w:rPr>
              <w:t>9</w:t>
            </w:r>
          </w:p>
        </w:tc>
        <w:tc>
          <w:tcPr>
            <w:tcW w:type="dxa" w:w="2365"/>
            <w:shd w:fill="FFFFFF"/>
            <w:tcMar>
              <w:top w:w="75" w:type="dxa"/>
              <w:bottom w:w="75" w:type="dxa"/>
              <w:left w:w="110" w:type="dxa"/>
              <w:right w:w="110" w:type="dxa"/>
            </w:tcMar>
          </w:tcPr>
          <w:p>
            <w:pPr>
              <w:spacing w:before="0" w:after="0"/>
              <w:jc w:val="left"/>
            </w:pPr>
            <w:r>
              <w:rPr>
                <w:rFonts w:ascii="Calibri" w:hAnsi="Calibri"/>
                <w:b/>
                <w:color w:val="1E293B"/>
                <w:sz w:val="17"/>
              </w:rPr>
              <w:t>Ekspor Laporan Rekapitulasi Excel (.xlsx)</w:t>
            </w:r>
          </w:p>
        </w:tc>
        <w:tc>
          <w:tcPr>
            <w:tcW w:type="dxa" w:w="2365"/>
            <w:shd w:fill="FFFFFF"/>
            <w:tcMar>
              <w:top w:w="75" w:type="dxa"/>
              <w:bottom w:w="75" w:type="dxa"/>
              <w:left w:w="110" w:type="dxa"/>
              <w:right w:w="110" w:type="dxa"/>
            </w:tcMar>
          </w:tcPr>
          <w:p>
            <w:pPr>
              <w:spacing w:before="0" w:after="0"/>
              <w:jc w:val="left"/>
            </w:pPr>
            <w:r>
              <w:rPr>
                <w:rFonts w:ascii="Calibri" w:hAnsi="Calibri"/>
                <w:color w:val="1E293B"/>
                <w:sz w:val="17"/>
              </w:rPr>
              <w:t>Fitur generate dan unduh rekap data pelamar, arsip kelolosan, dan statistik pendaftaran ke spreadsheet Excel.</w:t>
            </w:r>
          </w:p>
        </w:tc>
        <w:tc>
          <w:tcPr>
            <w:tcW w:type="dxa" w:w="2365"/>
            <w:shd w:fill="FFFFFF"/>
            <w:tcMar>
              <w:top w:w="75" w:type="dxa"/>
              <w:bottom w:w="75" w:type="dxa"/>
              <w:left w:w="110" w:type="dxa"/>
              <w:right w:w="110" w:type="dxa"/>
            </w:tcMar>
          </w:tcPr>
          <w:p>
            <w:pPr>
              <w:spacing w:before="0" w:after="0"/>
              <w:jc w:val="right"/>
            </w:pPr>
            <w:r>
              <w:rPr>
                <w:rFonts w:ascii="Calibri" w:hAnsi="Calibri"/>
                <w:color w:val="1E293B"/>
                <w:sz w:val="17"/>
              </w:rPr>
              <w:t>350.000</w:t>
            </w:r>
          </w:p>
        </w:tc>
      </w:tr>
      <w:tr>
        <w:tc>
          <w:tcPr>
            <w:tcW w:type="dxa" w:w="2365"/>
            <w:shd w:fill="F8FAFC"/>
            <w:tcMar>
              <w:top w:w="75" w:type="dxa"/>
              <w:bottom w:w="75" w:type="dxa"/>
              <w:left w:w="110" w:type="dxa"/>
              <w:right w:w="110" w:type="dxa"/>
            </w:tcMar>
          </w:tcPr>
          <w:p>
            <w:pPr>
              <w:spacing w:before="0" w:after="0"/>
              <w:jc w:val="center"/>
            </w:pPr>
            <w:r>
              <w:rPr>
                <w:rFonts w:ascii="Calibri" w:hAnsi="Calibri"/>
                <w:color w:val="1E293B"/>
                <w:sz w:val="17"/>
              </w:rPr>
              <w:t>10</w:t>
            </w:r>
          </w:p>
        </w:tc>
        <w:tc>
          <w:tcPr>
            <w:tcW w:type="dxa" w:w="2365"/>
            <w:shd w:fill="F8FAFC"/>
            <w:tcMar>
              <w:top w:w="75" w:type="dxa"/>
              <w:bottom w:w="75" w:type="dxa"/>
              <w:left w:w="110" w:type="dxa"/>
              <w:right w:w="110" w:type="dxa"/>
            </w:tcMar>
          </w:tcPr>
          <w:p>
            <w:pPr>
              <w:spacing w:before="0" w:after="0"/>
              <w:jc w:val="left"/>
            </w:pPr>
            <w:r>
              <w:rPr>
                <w:rFonts w:ascii="Calibri" w:hAnsi="Calibri"/>
                <w:b/>
                <w:color w:val="1E293B"/>
                <w:sz w:val="17"/>
              </w:rPr>
              <w:t>UI/UX Standar Impeccable (Dual Mode)</w:t>
            </w:r>
          </w:p>
        </w:tc>
        <w:tc>
          <w:tcPr>
            <w:tcW w:type="dxa" w:w="2365"/>
            <w:shd w:fill="F8FAFC"/>
            <w:tcMar>
              <w:top w:w="75" w:type="dxa"/>
              <w:bottom w:w="75" w:type="dxa"/>
              <w:left w:w="110" w:type="dxa"/>
              <w:right w:w="110" w:type="dxa"/>
            </w:tcMar>
          </w:tcPr>
          <w:p>
            <w:pPr>
              <w:spacing w:before="0" w:after="0"/>
              <w:jc w:val="left"/>
            </w:pPr>
            <w:r>
              <w:rPr>
                <w:rFonts w:ascii="Calibri" w:hAnsi="Calibri"/>
                <w:color w:val="1E293B"/>
                <w:sz w:val="17"/>
              </w:rPr>
              <w:t>Desain korporat Suara Surabaya Blue, Dark Mode kontras tinggi, micro-interactions, responsive mobile/desktop.</w:t>
            </w:r>
          </w:p>
        </w:tc>
        <w:tc>
          <w:tcPr>
            <w:tcW w:type="dxa" w:w="2365"/>
            <w:shd w:fill="F8FAFC"/>
            <w:tcMar>
              <w:top w:w="75" w:type="dxa"/>
              <w:bottom w:w="75" w:type="dxa"/>
              <w:left w:w="110" w:type="dxa"/>
              <w:right w:w="110" w:type="dxa"/>
            </w:tcMar>
          </w:tcPr>
          <w:p>
            <w:pPr>
              <w:spacing w:before="0" w:after="0"/>
              <w:jc w:val="right"/>
            </w:pPr>
            <w:r>
              <w:rPr>
                <w:rFonts w:ascii="Calibri" w:hAnsi="Calibri"/>
                <w:color w:val="1E293B"/>
                <w:sz w:val="17"/>
              </w:rPr>
              <w:t>500.000</w:t>
            </w:r>
          </w:p>
        </w:tc>
      </w:tr>
      <w:tr>
        <w:tc>
          <w:tcPr>
            <w:tcW w:type="dxa" w:w="2365"/>
            <w:shd w:fill="FFFFFF"/>
            <w:tcMar>
              <w:top w:w="75" w:type="dxa"/>
              <w:bottom w:w="75" w:type="dxa"/>
              <w:left w:w="110" w:type="dxa"/>
              <w:right w:w="110" w:type="dxa"/>
            </w:tcMar>
          </w:tcPr>
          <w:p>
            <w:pPr>
              <w:spacing w:before="0" w:after="0"/>
              <w:jc w:val="center"/>
            </w:pPr>
            <w:r>
              <w:rPr>
                <w:rFonts w:ascii="Calibri" w:hAnsi="Calibri"/>
                <w:color w:val="1E293B"/>
                <w:sz w:val="17"/>
              </w:rPr>
              <w:t>11</w:t>
            </w:r>
          </w:p>
        </w:tc>
        <w:tc>
          <w:tcPr>
            <w:tcW w:type="dxa" w:w="2365"/>
            <w:shd w:fill="FFFFFF"/>
            <w:tcMar>
              <w:top w:w="75" w:type="dxa"/>
              <w:bottom w:w="75" w:type="dxa"/>
              <w:left w:w="110" w:type="dxa"/>
              <w:right w:w="110" w:type="dxa"/>
            </w:tcMar>
          </w:tcPr>
          <w:p>
            <w:pPr>
              <w:spacing w:before="0" w:after="0"/>
              <w:jc w:val="left"/>
            </w:pPr>
            <w:r>
              <w:rPr>
                <w:rFonts w:ascii="Calibri" w:hAnsi="Calibri"/>
                <w:b/>
                <w:color w:val="1E293B"/>
                <w:sz w:val="17"/>
              </w:rPr>
              <w:t>Deployment Server Internal SS &amp; Indexing</w:t>
            </w:r>
          </w:p>
        </w:tc>
        <w:tc>
          <w:tcPr>
            <w:tcW w:type="dxa" w:w="2365"/>
            <w:shd w:fill="FFFFFF"/>
            <w:tcMar>
              <w:top w:w="75" w:type="dxa"/>
              <w:bottom w:w="75" w:type="dxa"/>
              <w:left w:w="110" w:type="dxa"/>
              <w:right w:w="110" w:type="dxa"/>
            </w:tcMar>
          </w:tcPr>
          <w:p>
            <w:pPr>
              <w:spacing w:before="0" w:after="0"/>
              <w:jc w:val="left"/>
            </w:pPr>
            <w:r>
              <w:rPr>
                <w:rFonts w:ascii="Calibri" w:hAnsi="Calibri"/>
                <w:color w:val="1E293B"/>
                <w:sz w:val="17"/>
              </w:rPr>
              <w:t>Instalasi &amp; konfigurasi di server on-premise SS, optimasi indexing PostgreSQL, skrip 1-Click Launcher Windows.</w:t>
            </w:r>
          </w:p>
        </w:tc>
        <w:tc>
          <w:tcPr>
            <w:tcW w:type="dxa" w:w="2365"/>
            <w:shd w:fill="FFFFFF"/>
            <w:tcMar>
              <w:top w:w="75" w:type="dxa"/>
              <w:bottom w:w="75" w:type="dxa"/>
              <w:left w:w="110" w:type="dxa"/>
              <w:right w:w="110" w:type="dxa"/>
            </w:tcMar>
          </w:tcPr>
          <w:p>
            <w:pPr>
              <w:spacing w:before="0" w:after="0"/>
              <w:jc w:val="right"/>
            </w:pPr>
            <w:r>
              <w:rPr>
                <w:rFonts w:ascii="Calibri" w:hAnsi="Calibri"/>
                <w:color w:val="1E293B"/>
                <w:sz w:val="17"/>
              </w:rPr>
              <w:t>450.000</w:t>
            </w:r>
          </w:p>
        </w:tc>
      </w:tr>
      <w:tr>
        <w:tc>
          <w:tcPr>
            <w:tcW w:type="dxa" w:w="2365"/>
            <w:shd w:fill="F8FAFC"/>
            <w:tcMar>
              <w:top w:w="75" w:type="dxa"/>
              <w:bottom w:w="75" w:type="dxa"/>
              <w:left w:w="110" w:type="dxa"/>
              <w:right w:w="110" w:type="dxa"/>
            </w:tcMar>
          </w:tcPr>
          <w:p>
            <w:pPr>
              <w:spacing w:before="0" w:after="0"/>
              <w:jc w:val="center"/>
            </w:pPr>
            <w:r>
              <w:rPr>
                <w:rFonts w:ascii="Calibri" w:hAnsi="Calibri"/>
                <w:color w:val="1E293B"/>
                <w:sz w:val="17"/>
              </w:rPr>
              <w:t>12</w:t>
            </w:r>
          </w:p>
        </w:tc>
        <w:tc>
          <w:tcPr>
            <w:tcW w:type="dxa" w:w="2365"/>
            <w:shd w:fill="F8FAFC"/>
            <w:tcMar>
              <w:top w:w="75" w:type="dxa"/>
              <w:bottom w:w="75" w:type="dxa"/>
              <w:left w:w="110" w:type="dxa"/>
              <w:right w:w="110" w:type="dxa"/>
            </w:tcMar>
          </w:tcPr>
          <w:p>
            <w:pPr>
              <w:spacing w:before="0" w:after="0"/>
              <w:jc w:val="left"/>
            </w:pPr>
            <w:r>
              <w:rPr>
                <w:rFonts w:ascii="Calibri" w:hAnsi="Calibri"/>
                <w:b/>
                <w:color w:val="1E293B"/>
                <w:sz w:val="17"/>
              </w:rPr>
              <w:t>Testing Komprehensif &amp; Garansi (60 Hari)</w:t>
            </w:r>
          </w:p>
        </w:tc>
        <w:tc>
          <w:tcPr>
            <w:tcW w:type="dxa" w:w="2365"/>
            <w:shd w:fill="F8FAFC"/>
            <w:tcMar>
              <w:top w:w="75" w:type="dxa"/>
              <w:bottom w:w="75" w:type="dxa"/>
              <w:left w:w="110" w:type="dxa"/>
              <w:right w:w="110" w:type="dxa"/>
            </w:tcMar>
          </w:tcPr>
          <w:p>
            <w:pPr>
              <w:spacing w:before="0" w:after="0"/>
              <w:jc w:val="left"/>
            </w:pPr>
            <w:r>
              <w:rPr>
                <w:rFonts w:ascii="Calibri" w:hAnsi="Calibri"/>
                <w:color w:val="1E293B"/>
                <w:sz w:val="17"/>
              </w:rPr>
              <w:t>End-to-end integration test, hardening validasi input, dokumentasi teknis kode, dan garansi pemeliharaan 60 hari.</w:t>
            </w:r>
          </w:p>
        </w:tc>
        <w:tc>
          <w:tcPr>
            <w:tcW w:type="dxa" w:w="2365"/>
            <w:shd w:fill="F8FAFC"/>
            <w:tcMar>
              <w:top w:w="75" w:type="dxa"/>
              <w:bottom w:w="75" w:type="dxa"/>
              <w:left w:w="110" w:type="dxa"/>
              <w:right w:w="110" w:type="dxa"/>
            </w:tcMar>
          </w:tcPr>
          <w:p>
            <w:pPr>
              <w:spacing w:before="0" w:after="0"/>
              <w:jc w:val="right"/>
            </w:pPr>
            <w:r>
              <w:rPr>
                <w:rFonts w:ascii="Calibri" w:hAnsi="Calibri"/>
                <w:color w:val="1E293B"/>
                <w:sz w:val="17"/>
              </w:rPr>
              <w:t>350.000</w:t>
            </w:r>
          </w:p>
        </w:tc>
      </w:tr>
      <w:tr>
        <w:tc>
          <w:tcPr>
            <w:tcW w:type="dxa" w:w="2365"/>
            <w:shd w:fill="EFF6FF"/>
            <w:tcMar>
              <w:top w:w="100" w:type="dxa"/>
              <w:bottom w:w="100" w:type="dxa"/>
              <w:left w:w="110" w:type="dxa"/>
              <w:right w:w="110" w:type="dxa"/>
            </w:tcMar>
          </w:tcPr>
          <w:p/>
        </w:tc>
        <w:tc>
          <w:tcPr>
            <w:tcW w:type="dxa" w:w="2365"/>
            <w:shd w:fill="EFF6FF"/>
            <w:tcMar>
              <w:top w:w="100" w:type="dxa"/>
              <w:bottom w:w="100" w:type="dxa"/>
              <w:left w:w="110" w:type="dxa"/>
              <w:right w:w="110" w:type="dxa"/>
            </w:tcMar>
          </w:tcPr>
          <w:p>
            <w:r>
              <w:rPr>
                <w:rFonts w:ascii="Calibri" w:hAnsi="Calibri"/>
                <w:b/>
                <w:color w:val="1D4ED8"/>
                <w:sz w:val="18"/>
              </w:rPr>
              <w:t>TOTAL INVESTASI PENGEMBANGAN SOFTWARE</w:t>
            </w:r>
          </w:p>
        </w:tc>
        <w:tc>
          <w:tcPr>
            <w:tcW w:type="dxa" w:w="2365"/>
            <w:shd w:fill="EFF6FF"/>
            <w:tcMar>
              <w:top w:w="100" w:type="dxa"/>
              <w:bottom w:w="100" w:type="dxa"/>
              <w:left w:w="110" w:type="dxa"/>
              <w:right w:w="110" w:type="dxa"/>
            </w:tcMar>
          </w:tcPr>
          <w:p/>
        </w:tc>
        <w:tc>
          <w:tcPr>
            <w:tcW w:type="dxa" w:w="2365"/>
            <w:shd w:fill="EFF6FF"/>
            <w:tcMar>
              <w:top w:w="100" w:type="dxa"/>
              <w:bottom w:w="100" w:type="dxa"/>
              <w:left w:w="110" w:type="dxa"/>
              <w:right w:w="110" w:type="dxa"/>
            </w:tcMar>
          </w:tcPr>
          <w:p>
            <w:pPr>
              <w:jc w:val="right"/>
            </w:pPr>
            <w:r>
              <w:rPr>
                <w:rFonts w:ascii="Calibri" w:hAnsi="Calibri"/>
                <w:b/>
                <w:color w:val="1D4ED8"/>
                <w:sz w:val="19"/>
              </w:rPr>
              <w:t>Rp 7.500.000</w:t>
            </w:r>
          </w:p>
        </w:tc>
      </w:tr>
    </w:tbl>
    <w:p>
      <w:pPr>
        <w:spacing w:after="120"/>
      </w:pPr>
    </w:p>
    <w:p>
      <w:pPr>
        <w:spacing w:before="240" w:after="60"/>
      </w:pPr>
      <w:r>
        <w:rPr>
          <w:rFonts w:ascii="Arial" w:hAnsi="Arial"/>
          <w:b/>
          <w:color w:val="1D4ED8"/>
          <w:sz w:val="22"/>
        </w:rPr>
        <w:t>4. ANALISIS MODEL BISNIS &amp; PROYEKSI REVENUE (KEMITRAAN KAMPUS B2B)</w:t>
      </w:r>
    </w:p>
    <w:p>
      <w:pPr>
        <w:spacing w:before="20" w:after="100" w:line="276" w:lineRule="auto"/>
      </w:pPr>
      <w:r>
        <w:rPr>
          <w:rFonts w:ascii="Calibri" w:hAnsi="Calibri"/>
          <w:color w:val="1E293B"/>
          <w:sz w:val="19"/>
        </w:rPr>
        <w:t>Karena infrastruktur server telah dimiliki mandiri oleh Suara Surabaya (biaya server OPEX = Rp 0), maka setiap penerimaan dari program kemitraan kampus langsung menjadi profit bersih bagi perusahaan. Sistem ini dapat dimonetisasi melalui program Kemitraan Perguruan Tinggi B2B (University Partnership &amp; Talent Pool Subscription):</w:t>
      </w:r>
    </w:p>
    <w:p>
      <w:pPr>
        <w:spacing w:before="60" w:after="40"/>
      </w:pPr>
      <w:r>
        <w:rPr>
          <w:rFonts w:ascii="Calibri" w:hAnsi="Calibri"/>
          <w:b/>
          <w:color w:val="1D4ED8"/>
          <w:sz w:val="20"/>
        </w:rPr>
        <w:t>A. Skema Paket Langganan Kemitraan Kampus (B2B):</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54"/>
        <w:gridCol w:w="3154"/>
        <w:gridCol w:w="3154"/>
      </w:tblGrid>
      <w:tr>
        <w:tc>
          <w:tcPr>
            <w:tcW w:type="dxa" w:w="3154"/>
            <w:shd w:fill="1D4ED8"/>
            <w:tcMar>
              <w:top w:w="110" w:type="dxa"/>
              <w:bottom w:w="110" w:type="dxa"/>
              <w:left w:w="110" w:type="dxa"/>
              <w:right w:w="110" w:type="dxa"/>
            </w:tcMar>
          </w:tcPr>
          <w:p>
            <w:pPr>
              <w:spacing w:before="0" w:after="0"/>
            </w:pPr>
            <w:r>
              <w:rPr>
                <w:rFonts w:ascii="Calibri" w:hAnsi="Calibri"/>
                <w:b/>
                <w:color w:val="FFFFFF"/>
                <w:sz w:val="18"/>
              </w:rPr>
              <w:t>Paket Kemitraan Kampus</w:t>
            </w:r>
          </w:p>
        </w:tc>
        <w:tc>
          <w:tcPr>
            <w:tcW w:type="dxa" w:w="3154"/>
            <w:shd w:fill="1D4ED8"/>
            <w:tcMar>
              <w:top w:w="110" w:type="dxa"/>
              <w:bottom w:w="110" w:type="dxa"/>
              <w:left w:w="110" w:type="dxa"/>
              <w:right w:w="110" w:type="dxa"/>
            </w:tcMar>
          </w:tcPr>
          <w:p>
            <w:pPr>
              <w:spacing w:before="0" w:after="0"/>
              <w:jc w:val="right"/>
            </w:pPr>
            <w:r>
              <w:rPr>
                <w:rFonts w:ascii="Calibri" w:hAnsi="Calibri"/>
                <w:b/>
                <w:color w:val="FFFFFF"/>
                <w:sz w:val="18"/>
              </w:rPr>
              <w:t>Biaya Langganan</w:t>
            </w:r>
          </w:p>
        </w:tc>
        <w:tc>
          <w:tcPr>
            <w:tcW w:type="dxa" w:w="3154"/>
            <w:shd w:fill="1D4ED8"/>
            <w:tcMar>
              <w:top w:w="110" w:type="dxa"/>
              <w:bottom w:w="110" w:type="dxa"/>
              <w:left w:w="110" w:type="dxa"/>
              <w:right w:w="110" w:type="dxa"/>
            </w:tcMar>
          </w:tcPr>
          <w:p>
            <w:pPr>
              <w:spacing w:before="0" w:after="0"/>
            </w:pPr>
            <w:r>
              <w:rPr>
                <w:rFonts w:ascii="Calibri" w:hAnsi="Calibri"/>
                <w:b/>
                <w:color w:val="FFFFFF"/>
                <w:sz w:val="18"/>
              </w:rPr>
              <w:t>Benefit &amp; Hak Akses Institusi Mitra</w:t>
            </w:r>
          </w:p>
        </w:tc>
      </w:tr>
      <w:tr>
        <w:tc>
          <w:tcPr>
            <w:tcW w:type="dxa" w:w="3154"/>
            <w:shd w:fill="FFFFFF"/>
            <w:tcMar>
              <w:top w:w="90" w:type="dxa"/>
              <w:bottom w:w="90" w:type="dxa"/>
              <w:left w:w="110" w:type="dxa"/>
              <w:right w:w="110" w:type="dxa"/>
            </w:tcMar>
          </w:tcPr>
          <w:p>
            <w:pPr>
              <w:spacing w:before="0" w:after="0"/>
            </w:pPr>
            <w:r>
              <w:rPr>
                <w:rFonts w:ascii="Calibri" w:hAnsi="Calibri"/>
                <w:b/>
                <w:color w:val="1E293B"/>
                <w:sz w:val="17"/>
              </w:rPr>
              <w:t>Silver University Partner</w:t>
              <w:br/>
              <w:t>(Fakultas / Prodi)</w:t>
            </w:r>
          </w:p>
        </w:tc>
        <w:tc>
          <w:tcPr>
            <w:tcW w:type="dxa" w:w="3154"/>
            <w:shd w:fill="FFFFFF"/>
            <w:tcMar>
              <w:top w:w="90" w:type="dxa"/>
              <w:bottom w:w="90" w:type="dxa"/>
              <w:left w:w="110" w:type="dxa"/>
              <w:right w:w="110" w:type="dxa"/>
            </w:tcMar>
          </w:tcPr>
          <w:p>
            <w:pPr>
              <w:spacing w:before="0" w:after="0"/>
              <w:jc w:val="right"/>
            </w:pPr>
            <w:r>
              <w:rPr>
                <w:rFonts w:ascii="Calibri" w:hAnsi="Calibri"/>
                <w:color w:val="1E293B"/>
                <w:sz w:val="17"/>
              </w:rPr>
              <w:t>Rp 3.000.000</w:t>
              <w:br/>
              <w:t>/ tahun</w:t>
            </w:r>
          </w:p>
        </w:tc>
        <w:tc>
          <w:tcPr>
            <w:tcW w:type="dxa" w:w="3154"/>
            <w:shd w:fill="FFFFFF"/>
            <w:tcMar>
              <w:top w:w="90" w:type="dxa"/>
              <w:bottom w:w="90" w:type="dxa"/>
              <w:left w:w="110" w:type="dxa"/>
              <w:right w:w="110" w:type="dxa"/>
            </w:tcMar>
          </w:tcPr>
          <w:p>
            <w:pPr>
              <w:spacing w:before="0" w:after="0"/>
            </w:pPr>
            <w:r>
              <w:rPr>
                <w:rFonts w:ascii="Calibri" w:hAnsi="Calibri"/>
                <w:color w:val="1E293B"/>
                <w:sz w:val="17"/>
              </w:rPr>
              <w:t>• Alokasi kuota prioritas magang resmi (maksimal 5 mahasiswa per tahun).</w:t>
              <w:br/>
              <w:t>• Portal verifikasi dokumen digital langsung untuk Dosen Pembimbing Lapangan (DPL).</w:t>
              <w:br/>
              <w:t>• Laporan evaluasi berkala dan sertifikat magang digital langsung terbit dari sistem.</w:t>
            </w:r>
          </w:p>
        </w:tc>
      </w:tr>
      <w:tr>
        <w:tc>
          <w:tcPr>
            <w:tcW w:type="dxa" w:w="3154"/>
            <w:shd w:fill="F8FAFC"/>
            <w:tcMar>
              <w:top w:w="90" w:type="dxa"/>
              <w:bottom w:w="90" w:type="dxa"/>
              <w:left w:w="110" w:type="dxa"/>
              <w:right w:w="110" w:type="dxa"/>
            </w:tcMar>
          </w:tcPr>
          <w:p>
            <w:pPr>
              <w:spacing w:before="0" w:after="0"/>
            </w:pPr>
            <w:r>
              <w:rPr>
                <w:rFonts w:ascii="Calibri" w:hAnsi="Calibri"/>
                <w:b/>
                <w:color w:val="1E293B"/>
                <w:sz w:val="17"/>
              </w:rPr>
              <w:t>Gold Strategic Partner</w:t>
              <w:br/>
              <w:t>(Universitas / Mitra Utama)</w:t>
            </w:r>
          </w:p>
        </w:tc>
        <w:tc>
          <w:tcPr>
            <w:tcW w:type="dxa" w:w="3154"/>
            <w:shd w:fill="F8FAFC"/>
            <w:tcMar>
              <w:top w:w="90" w:type="dxa"/>
              <w:bottom w:w="90" w:type="dxa"/>
              <w:left w:w="110" w:type="dxa"/>
              <w:right w:w="110" w:type="dxa"/>
            </w:tcMar>
          </w:tcPr>
          <w:p>
            <w:pPr>
              <w:spacing w:before="0" w:after="0"/>
              <w:jc w:val="right"/>
            </w:pPr>
            <w:r>
              <w:rPr>
                <w:rFonts w:ascii="Calibri" w:hAnsi="Calibri"/>
                <w:color w:val="1E293B"/>
                <w:sz w:val="17"/>
              </w:rPr>
              <w:t>Rp 5.000.000</w:t>
              <w:br/>
              <w:t>/ tahun</w:t>
            </w:r>
          </w:p>
        </w:tc>
        <w:tc>
          <w:tcPr>
            <w:tcW w:type="dxa" w:w="3154"/>
            <w:shd w:fill="F8FAFC"/>
            <w:tcMar>
              <w:top w:w="90" w:type="dxa"/>
              <w:bottom w:w="90" w:type="dxa"/>
              <w:left w:w="110" w:type="dxa"/>
              <w:right w:w="110" w:type="dxa"/>
            </w:tcMar>
          </w:tcPr>
          <w:p>
            <w:pPr>
              <w:spacing w:before="0" w:after="0"/>
            </w:pPr>
            <w:r>
              <w:rPr>
                <w:rFonts w:ascii="Calibri" w:hAnsi="Calibri"/>
                <w:color w:val="1E293B"/>
                <w:sz w:val="17"/>
              </w:rPr>
              <w:t>• Seluruh hak akses Paket Silver.</w:t>
              <w:br/>
              <w:t>• Alokasi kuota prioritas 10 mahasiswa per tahun lintas divisi (Radio On-Air, Redaksi Digital SS.net, Multimedia/Sosmed, dan IT/Traffic).</w:t>
              <w:br/>
              <w:t>• Hak akses talent scouting profil alumni magang berprestasi untuk bank talenta kampus/mitra.</w:t>
              <w:br/>
              <w:t>• Pencantuman logo resmi universitas di Beranda Sistem sebagai 'Official Media Partner'.</w:t>
            </w:r>
          </w:p>
        </w:tc>
      </w:tr>
    </w:tbl>
    <w:p>
      <w:pPr>
        <w:spacing w:after="80"/>
      </w:pPr>
    </w:p>
    <w:p>
      <w:pPr>
        <w:spacing w:before="60" w:after="40"/>
      </w:pPr>
      <w:r>
        <w:rPr>
          <w:rFonts w:ascii="Calibri" w:hAnsi="Calibri"/>
          <w:b/>
          <w:color w:val="1D4ED8"/>
          <w:sz w:val="20"/>
        </w:rPr>
        <w:t>B. Proyeksi Keuangan &amp; Simulasi Return on Investment (ROI):</w:t>
      </w:r>
    </w:p>
    <w:p>
      <w:pPr>
        <w:spacing w:before="20" w:after="80" w:line="276" w:lineRule="auto"/>
      </w:pPr>
      <w:r>
        <w:rPr>
          <w:rFonts w:ascii="Calibri" w:hAnsi="Calibri"/>
          <w:color w:val="1E293B"/>
          <w:sz w:val="19"/>
        </w:rPr>
        <w:t>Dengan target moderat 5 kampus mitra di Surabaya dan sekitarnya (misal: UINSA, Unair, ITS, Unesa, dan UPN Jatim), simulasi perolehan laba dengan investasi software Rp 7.500.000,- adalah: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65"/>
        <w:gridCol w:w="2365"/>
        <w:gridCol w:w="2365"/>
        <w:gridCol w:w="2365"/>
      </w:tblGrid>
      <w:tr>
        <w:tc>
          <w:tcPr>
            <w:tcW w:type="dxa" w:w="2365"/>
            <w:shd w:fill="1D4ED8"/>
            <w:tcMar>
              <w:top w:w="110" w:type="dxa"/>
              <w:bottom w:w="110" w:type="dxa"/>
              <w:left w:w="110" w:type="dxa"/>
              <w:right w:w="110" w:type="dxa"/>
            </w:tcMar>
          </w:tcPr>
          <w:p>
            <w:pPr>
              <w:spacing w:before="0" w:after="0"/>
            </w:pPr>
            <w:r>
              <w:rPr>
                <w:rFonts w:ascii="Calibri" w:hAnsi="Calibri"/>
                <w:b/>
                <w:color w:val="FFFFFF"/>
                <w:sz w:val="18"/>
              </w:rPr>
              <w:t>Komponen Analisis Keuangan</w:t>
            </w:r>
          </w:p>
        </w:tc>
        <w:tc>
          <w:tcPr>
            <w:tcW w:type="dxa" w:w="2365"/>
            <w:shd w:fill="1D4ED8"/>
            <w:tcMar>
              <w:top w:w="110" w:type="dxa"/>
              <w:bottom w:w="110" w:type="dxa"/>
              <w:left w:w="110" w:type="dxa"/>
              <w:right w:w="110" w:type="dxa"/>
            </w:tcMar>
          </w:tcPr>
          <w:p>
            <w:pPr>
              <w:spacing w:before="0" w:after="0"/>
              <w:jc w:val="right"/>
            </w:pPr>
            <w:r>
              <w:rPr>
                <w:rFonts w:ascii="Calibri" w:hAnsi="Calibri"/>
                <w:b/>
                <w:color w:val="FFFFFF"/>
                <w:sz w:val="18"/>
              </w:rPr>
              <w:t>Tahun 1 (Peluncuran)</w:t>
            </w:r>
          </w:p>
        </w:tc>
        <w:tc>
          <w:tcPr>
            <w:tcW w:type="dxa" w:w="2365"/>
            <w:shd w:fill="1D4ED8"/>
            <w:tcMar>
              <w:top w:w="110" w:type="dxa"/>
              <w:bottom w:w="110" w:type="dxa"/>
              <w:left w:w="110" w:type="dxa"/>
              <w:right w:w="110" w:type="dxa"/>
            </w:tcMar>
          </w:tcPr>
          <w:p>
            <w:pPr>
              <w:spacing w:before="0" w:after="0"/>
              <w:jc w:val="right"/>
            </w:pPr>
            <w:r>
              <w:rPr>
                <w:rFonts w:ascii="Calibri" w:hAnsi="Calibri"/>
                <w:b/>
                <w:color w:val="FFFFFF"/>
                <w:sz w:val="18"/>
              </w:rPr>
              <w:t>Tahun 2 (Pertumbuhan)</w:t>
            </w:r>
          </w:p>
        </w:tc>
        <w:tc>
          <w:tcPr>
            <w:tcW w:type="dxa" w:w="2365"/>
            <w:shd w:fill="1D4ED8"/>
            <w:tcMar>
              <w:top w:w="110" w:type="dxa"/>
              <w:bottom w:w="110" w:type="dxa"/>
              <w:left w:w="110" w:type="dxa"/>
              <w:right w:w="110" w:type="dxa"/>
            </w:tcMar>
          </w:tcPr>
          <w:p>
            <w:pPr>
              <w:spacing w:before="0" w:after="0"/>
            </w:pPr>
            <w:r>
              <w:rPr>
                <w:rFonts w:ascii="Calibri" w:hAnsi="Calibri"/>
                <w:b/>
                <w:color w:val="FFFFFF"/>
                <w:sz w:val="18"/>
              </w:rPr>
              <w:t>Keterangan</w:t>
            </w:r>
          </w:p>
        </w:tc>
      </w:tr>
      <w:tr>
        <w:tc>
          <w:tcPr>
            <w:tcW w:type="dxa" w:w="2365"/>
            <w:shd w:fill="FFFFFF"/>
            <w:tcMar>
              <w:top w:w="80" w:type="dxa"/>
              <w:bottom w:w="80" w:type="dxa"/>
              <w:left w:w="110" w:type="dxa"/>
              <w:right w:w="110" w:type="dxa"/>
            </w:tcMar>
          </w:tcPr>
          <w:p>
            <w:pPr>
              <w:spacing w:before="0" w:after="0"/>
            </w:pPr>
            <w:r>
              <w:rPr>
                <w:rFonts w:ascii="Calibri" w:hAnsi="Calibri"/>
                <w:color w:val="1E293B"/>
                <w:sz w:val="17"/>
              </w:rPr>
              <w:t>Pendapatan Kemitraan Kampus (Revenue)</w:t>
            </w:r>
          </w:p>
        </w:tc>
        <w:tc>
          <w:tcPr>
            <w:tcW w:type="dxa" w:w="2365"/>
            <w:shd w:fill="FFFFFF"/>
            <w:tcMar>
              <w:top w:w="80" w:type="dxa"/>
              <w:bottom w:w="80" w:type="dxa"/>
              <w:left w:w="110" w:type="dxa"/>
              <w:right w:w="110" w:type="dxa"/>
            </w:tcMar>
          </w:tcPr>
          <w:p>
            <w:pPr>
              <w:spacing w:before="0" w:after="0"/>
              <w:jc w:val="right"/>
            </w:pPr>
            <w:r>
              <w:rPr>
                <w:rFonts w:ascii="Calibri" w:hAnsi="Calibri"/>
                <w:color w:val="1E293B"/>
                <w:sz w:val="17"/>
              </w:rPr>
              <w:t>Rp 19.000.000</w:t>
            </w:r>
          </w:p>
        </w:tc>
        <w:tc>
          <w:tcPr>
            <w:tcW w:type="dxa" w:w="2365"/>
            <w:shd w:fill="FFFFFF"/>
            <w:tcMar>
              <w:top w:w="80" w:type="dxa"/>
              <w:bottom w:w="80" w:type="dxa"/>
              <w:left w:w="110" w:type="dxa"/>
              <w:right w:w="110" w:type="dxa"/>
            </w:tcMar>
          </w:tcPr>
          <w:p>
            <w:pPr>
              <w:spacing w:before="0" w:after="0"/>
              <w:jc w:val="right"/>
            </w:pPr>
            <w:r>
              <w:rPr>
                <w:rFonts w:ascii="Calibri" w:hAnsi="Calibri"/>
                <w:color w:val="1E293B"/>
                <w:sz w:val="17"/>
              </w:rPr>
              <w:t>Rp 31.000.000</w:t>
            </w:r>
          </w:p>
        </w:tc>
        <w:tc>
          <w:tcPr>
            <w:tcW w:type="dxa" w:w="2365"/>
            <w:shd w:fill="FFFFFF"/>
            <w:tcMar>
              <w:top w:w="80" w:type="dxa"/>
              <w:bottom w:w="80" w:type="dxa"/>
              <w:left w:w="110" w:type="dxa"/>
              <w:right w:w="110" w:type="dxa"/>
            </w:tcMar>
          </w:tcPr>
          <w:p>
            <w:pPr>
              <w:spacing w:before="0" w:after="0"/>
            </w:pPr>
            <w:r>
              <w:rPr>
                <w:rFonts w:ascii="Calibri" w:hAnsi="Calibri"/>
                <w:color w:val="1E293B"/>
                <w:sz w:val="17"/>
              </w:rPr>
              <w:t>Th 1: 2 Gold + 3 Silver; Th 2: 4 Gold + 4 Silver</w:t>
            </w:r>
          </w:p>
        </w:tc>
      </w:tr>
      <w:tr>
        <w:tc>
          <w:tcPr>
            <w:tcW w:type="dxa" w:w="2365"/>
            <w:shd w:fill="F8FAFC"/>
            <w:tcMar>
              <w:top w:w="80" w:type="dxa"/>
              <w:bottom w:w="80" w:type="dxa"/>
              <w:left w:w="110" w:type="dxa"/>
              <w:right w:w="110" w:type="dxa"/>
            </w:tcMar>
          </w:tcPr>
          <w:p>
            <w:pPr>
              <w:spacing w:before="0" w:after="0"/>
            </w:pPr>
            <w:r>
              <w:rPr>
                <w:rFonts w:ascii="Calibri" w:hAnsi="Calibri"/>
                <w:color w:val="1E293B"/>
                <w:sz w:val="17"/>
              </w:rPr>
              <w:t>Biaya Investasi Software (CAPEX)</w:t>
            </w:r>
          </w:p>
        </w:tc>
        <w:tc>
          <w:tcPr>
            <w:tcW w:type="dxa" w:w="2365"/>
            <w:shd w:fill="F8FAFC"/>
            <w:tcMar>
              <w:top w:w="80" w:type="dxa"/>
              <w:bottom w:w="80" w:type="dxa"/>
              <w:left w:w="110" w:type="dxa"/>
              <w:right w:w="110" w:type="dxa"/>
            </w:tcMar>
          </w:tcPr>
          <w:p>
            <w:pPr>
              <w:spacing w:before="0" w:after="0"/>
              <w:jc w:val="right"/>
            </w:pPr>
            <w:r>
              <w:rPr>
                <w:rFonts w:ascii="Calibri" w:hAnsi="Calibri"/>
                <w:color w:val="1E293B"/>
                <w:sz w:val="17"/>
              </w:rPr>
              <w:t>(Rp 7.500.000)</w:t>
            </w:r>
          </w:p>
        </w:tc>
        <w:tc>
          <w:tcPr>
            <w:tcW w:type="dxa" w:w="2365"/>
            <w:shd w:fill="F8FAFC"/>
            <w:tcMar>
              <w:top w:w="80" w:type="dxa"/>
              <w:bottom w:w="80" w:type="dxa"/>
              <w:left w:w="110" w:type="dxa"/>
              <w:right w:w="110" w:type="dxa"/>
            </w:tcMar>
          </w:tcPr>
          <w:p>
            <w:pPr>
              <w:spacing w:before="0" w:after="0"/>
              <w:jc w:val="right"/>
            </w:pPr>
            <w:r>
              <w:rPr>
                <w:rFonts w:ascii="Calibri" w:hAnsi="Calibri"/>
                <w:color w:val="1E293B"/>
                <w:sz w:val="17"/>
              </w:rPr>
              <w:t>Rp 0</w:t>
            </w:r>
          </w:p>
        </w:tc>
        <w:tc>
          <w:tcPr>
            <w:tcW w:type="dxa" w:w="2365"/>
            <w:shd w:fill="F8FAFC"/>
            <w:tcMar>
              <w:top w:w="80" w:type="dxa"/>
              <w:bottom w:w="80" w:type="dxa"/>
              <w:left w:w="110" w:type="dxa"/>
              <w:right w:w="110" w:type="dxa"/>
            </w:tcMar>
          </w:tcPr>
          <w:p>
            <w:pPr>
              <w:spacing w:before="0" w:after="0"/>
            </w:pPr>
            <w:r>
              <w:rPr>
                <w:rFonts w:ascii="Calibri" w:hAnsi="Calibri"/>
                <w:color w:val="1E293B"/>
                <w:sz w:val="17"/>
              </w:rPr>
              <w:t>Pengadaan software Full Enterprise (sekali bayar)</w:t>
            </w:r>
          </w:p>
        </w:tc>
      </w:tr>
      <w:tr>
        <w:tc>
          <w:tcPr>
            <w:tcW w:type="dxa" w:w="2365"/>
            <w:shd w:fill="FFFFFF"/>
            <w:tcMar>
              <w:top w:w="80" w:type="dxa"/>
              <w:bottom w:w="80" w:type="dxa"/>
              <w:left w:w="110" w:type="dxa"/>
              <w:right w:w="110" w:type="dxa"/>
            </w:tcMar>
          </w:tcPr>
          <w:p>
            <w:pPr>
              <w:spacing w:before="0" w:after="0"/>
            </w:pPr>
            <w:r>
              <w:rPr>
                <w:rFonts w:ascii="Calibri" w:hAnsi="Calibri"/>
                <w:color w:val="1E293B"/>
                <w:sz w:val="17"/>
              </w:rPr>
              <w:t>Biaya Infrastruktur Server SS (OPEX)</w:t>
            </w:r>
          </w:p>
        </w:tc>
        <w:tc>
          <w:tcPr>
            <w:tcW w:type="dxa" w:w="2365"/>
            <w:shd w:fill="FFFFFF"/>
            <w:tcMar>
              <w:top w:w="80" w:type="dxa"/>
              <w:bottom w:w="80" w:type="dxa"/>
              <w:left w:w="110" w:type="dxa"/>
              <w:right w:w="110" w:type="dxa"/>
            </w:tcMar>
          </w:tcPr>
          <w:p>
            <w:pPr>
              <w:spacing w:before="0" w:after="0"/>
              <w:jc w:val="right"/>
            </w:pPr>
            <w:r>
              <w:rPr>
                <w:rFonts w:ascii="Calibri" w:hAnsi="Calibri"/>
                <w:color w:val="1E293B"/>
                <w:sz w:val="17"/>
              </w:rPr>
              <w:t>Rp 0</w:t>
            </w:r>
          </w:p>
        </w:tc>
        <w:tc>
          <w:tcPr>
            <w:tcW w:type="dxa" w:w="2365"/>
            <w:shd w:fill="FFFFFF"/>
            <w:tcMar>
              <w:top w:w="80" w:type="dxa"/>
              <w:bottom w:w="80" w:type="dxa"/>
              <w:left w:w="110" w:type="dxa"/>
              <w:right w:w="110" w:type="dxa"/>
            </w:tcMar>
          </w:tcPr>
          <w:p>
            <w:pPr>
              <w:spacing w:before="0" w:after="0"/>
              <w:jc w:val="right"/>
            </w:pPr>
            <w:r>
              <w:rPr>
                <w:rFonts w:ascii="Calibri" w:hAnsi="Calibri"/>
                <w:color w:val="1E293B"/>
                <w:sz w:val="17"/>
              </w:rPr>
              <w:t>Rp 0</w:t>
            </w:r>
          </w:p>
        </w:tc>
        <w:tc>
          <w:tcPr>
            <w:tcW w:type="dxa" w:w="2365"/>
            <w:shd w:fill="FFFFFF"/>
            <w:tcMar>
              <w:top w:w="80" w:type="dxa"/>
              <w:bottom w:w="80" w:type="dxa"/>
              <w:left w:w="110" w:type="dxa"/>
              <w:right w:w="110" w:type="dxa"/>
            </w:tcMar>
          </w:tcPr>
          <w:p>
            <w:pPr>
              <w:spacing w:before="0" w:after="0"/>
            </w:pPr>
            <w:r>
              <w:rPr>
                <w:rFonts w:ascii="Calibri" w:hAnsi="Calibri"/>
                <w:color w:val="1E293B"/>
                <w:sz w:val="17"/>
              </w:rPr>
              <w:t>Disediakan mandiri oleh server internal Suara Surabaya</w:t>
            </w:r>
          </w:p>
        </w:tc>
      </w:tr>
      <w:tr>
        <w:tc>
          <w:tcPr>
            <w:tcW w:type="dxa" w:w="2365"/>
            <w:shd w:fill="EFF6FF"/>
            <w:tcMar>
              <w:top w:w="80" w:type="dxa"/>
              <w:bottom w:w="80" w:type="dxa"/>
              <w:left w:w="110" w:type="dxa"/>
              <w:right w:w="110" w:type="dxa"/>
            </w:tcMar>
          </w:tcPr>
          <w:p>
            <w:pPr>
              <w:spacing w:before="0" w:after="0"/>
            </w:pPr>
            <w:r>
              <w:rPr>
                <w:rFonts w:ascii="Calibri" w:hAnsi="Calibri"/>
                <w:b/>
                <w:color w:val="1D4ED8"/>
                <w:sz w:val="17"/>
              </w:rPr>
              <w:t>Laba Bersih Operasional (Net Profit)</w:t>
            </w:r>
          </w:p>
        </w:tc>
        <w:tc>
          <w:tcPr>
            <w:tcW w:type="dxa" w:w="2365"/>
            <w:shd w:fill="EFF6FF"/>
            <w:tcMar>
              <w:top w:w="80" w:type="dxa"/>
              <w:bottom w:w="80" w:type="dxa"/>
              <w:left w:w="110" w:type="dxa"/>
              <w:right w:w="110" w:type="dxa"/>
            </w:tcMar>
          </w:tcPr>
          <w:p>
            <w:pPr>
              <w:spacing w:before="0" w:after="0"/>
              <w:jc w:val="right"/>
            </w:pPr>
            <w:r>
              <w:rPr>
                <w:rFonts w:ascii="Calibri" w:hAnsi="Calibri"/>
                <w:b/>
                <w:color w:val="1D4ED8"/>
                <w:sz w:val="17"/>
              </w:rPr>
              <w:t>Rp 11.500.000</w:t>
            </w:r>
          </w:p>
        </w:tc>
        <w:tc>
          <w:tcPr>
            <w:tcW w:type="dxa" w:w="2365"/>
            <w:shd w:fill="EFF6FF"/>
            <w:tcMar>
              <w:top w:w="80" w:type="dxa"/>
              <w:bottom w:w="80" w:type="dxa"/>
              <w:left w:w="110" w:type="dxa"/>
              <w:right w:w="110" w:type="dxa"/>
            </w:tcMar>
          </w:tcPr>
          <w:p>
            <w:pPr>
              <w:spacing w:before="0" w:after="0"/>
              <w:jc w:val="right"/>
            </w:pPr>
            <w:r>
              <w:rPr>
                <w:rFonts w:ascii="Calibri" w:hAnsi="Calibri"/>
                <w:b/>
                <w:color w:val="1D4ED8"/>
                <w:sz w:val="17"/>
              </w:rPr>
              <w:t>Rp 31.000.000</w:t>
            </w:r>
          </w:p>
        </w:tc>
        <w:tc>
          <w:tcPr>
            <w:tcW w:type="dxa" w:w="2365"/>
            <w:shd w:fill="EFF6FF"/>
            <w:tcMar>
              <w:top w:w="80" w:type="dxa"/>
              <w:bottom w:w="80" w:type="dxa"/>
              <w:left w:w="110" w:type="dxa"/>
              <w:right w:w="110" w:type="dxa"/>
            </w:tcMar>
          </w:tcPr>
          <w:p>
            <w:pPr>
              <w:spacing w:before="0" w:after="0"/>
            </w:pPr>
            <w:r>
              <w:rPr>
                <w:rFonts w:ascii="Calibri" w:hAnsi="Calibri"/>
                <w:b/>
                <w:color w:val="1D4ED8"/>
                <w:sz w:val="17"/>
              </w:rPr>
              <w:t>Laba bersih operasional yang diterima Suara Surabaya</w:t>
            </w:r>
          </w:p>
        </w:tc>
      </w:tr>
      <w:tr>
        <w:tc>
          <w:tcPr>
            <w:tcW w:type="dxa" w:w="2365"/>
            <w:shd w:fill="FFFFFF"/>
            <w:tcMar>
              <w:top w:w="80" w:type="dxa"/>
              <w:bottom w:w="80" w:type="dxa"/>
              <w:left w:w="110" w:type="dxa"/>
              <w:right w:w="110" w:type="dxa"/>
            </w:tcMar>
          </w:tcPr>
          <w:p>
            <w:pPr>
              <w:spacing w:before="0" w:after="0"/>
            </w:pPr>
            <w:r>
              <w:rPr>
                <w:rFonts w:ascii="Calibri" w:hAnsi="Calibri"/>
                <w:color w:val="1E293B"/>
                <w:sz w:val="17"/>
              </w:rPr>
              <w:t>Waktu Balik Modal (Break-Even Point)</w:t>
            </w:r>
          </w:p>
        </w:tc>
        <w:tc>
          <w:tcPr>
            <w:tcW w:type="dxa" w:w="2365"/>
            <w:shd w:fill="FFFFFF"/>
            <w:tcMar>
              <w:top w:w="80" w:type="dxa"/>
              <w:bottom w:w="80" w:type="dxa"/>
              <w:left w:w="110" w:type="dxa"/>
              <w:right w:w="110" w:type="dxa"/>
            </w:tcMar>
          </w:tcPr>
          <w:p>
            <w:pPr>
              <w:spacing w:before="0" w:after="0"/>
              <w:jc w:val="right"/>
            </w:pPr>
            <w:r>
              <w:rPr>
                <w:rFonts w:ascii="Calibri" w:hAnsi="Calibri"/>
                <w:color w:val="1E293B"/>
                <w:sz w:val="17"/>
              </w:rPr>
              <w:t>± 4 – 5 Bulan</w:t>
            </w:r>
          </w:p>
        </w:tc>
        <w:tc>
          <w:tcPr>
            <w:tcW w:type="dxa" w:w="2365"/>
            <w:shd w:fill="FFFFFF"/>
            <w:tcMar>
              <w:top w:w="80" w:type="dxa"/>
              <w:bottom w:w="80" w:type="dxa"/>
              <w:left w:w="110" w:type="dxa"/>
              <w:right w:w="110" w:type="dxa"/>
            </w:tcMar>
          </w:tcPr>
          <w:p>
            <w:pPr>
              <w:spacing w:before="0" w:after="0"/>
              <w:jc w:val="right"/>
            </w:pPr>
            <w:r>
              <w:rPr>
                <w:rFonts w:ascii="Calibri" w:hAnsi="Calibri"/>
                <w:color w:val="1E293B"/>
                <w:sz w:val="17"/>
              </w:rPr>
              <w:t>Profitable</w:t>
            </w:r>
          </w:p>
        </w:tc>
        <w:tc>
          <w:tcPr>
            <w:tcW w:type="dxa" w:w="2365"/>
            <w:shd w:fill="FFFFFF"/>
            <w:tcMar>
              <w:top w:w="80" w:type="dxa"/>
              <w:bottom w:w="80" w:type="dxa"/>
              <w:left w:w="110" w:type="dxa"/>
              <w:right w:w="110" w:type="dxa"/>
            </w:tcMar>
          </w:tcPr>
          <w:p>
            <w:pPr>
              <w:spacing w:before="0" w:after="0"/>
            </w:pPr>
            <w:r>
              <w:rPr>
                <w:rFonts w:ascii="Calibri" w:hAnsi="Calibri"/>
                <w:color w:val="1E293B"/>
                <w:sz w:val="17"/>
              </w:rPr>
              <w:t>Investasi software lunas tertutup dalam &lt; 5 bulan</w:t>
            </w:r>
          </w:p>
        </w:tc>
      </w:tr>
    </w:tbl>
    <w:p>
      <w:pPr>
        <w:spacing w:after="80"/>
      </w:pPr>
    </w:p>
    <w:tbl>
      <w:tblPr>
        <w:tblW w:type="auto" w:w="0"/>
        <w:jc w:val="center"/>
        <w:tblLook w:firstColumn="1" w:firstRow="1" w:lastColumn="0" w:lastRow="0" w:noHBand="0" w:noVBand="1" w:val="04A0"/>
      </w:tblPr>
      <w:tblGrid>
        <w:gridCol w:w="9461"/>
      </w:tblGrid>
      <w:tr>
        <w:tc>
          <w:tcPr>
            <w:tcW w:type="dxa" w:w="9461"/>
            <w:shd w:fill="EFF6FF"/>
            <w:tcBorders>
              <w:top w:val="none"/>
              <w:left w:val="single" w:sz="24" w:space="0" w:color="1D4ED8"/>
              <w:bottom w:val="none"/>
              <w:right w:val="none"/>
            </w:tcBorders>
            <w:tcMar>
              <w:top w:w="130" w:type="dxa"/>
              <w:bottom w:w="130" w:type="dxa"/>
              <w:left w:w="180" w:type="dxa"/>
              <w:right w:w="180" w:type="dxa"/>
            </w:tcMar>
          </w:tcPr>
          <w:p>
            <w:pPr>
              <w:spacing w:before="40" w:after="40" w:line="276" w:lineRule="auto"/>
            </w:pPr>
            <w:r>
              <w:rPr>
                <w:rFonts w:ascii="Calibri" w:hAnsi="Calibri"/>
                <w:b/>
                <w:color w:val="1D4ED8"/>
                <w:sz w:val="19"/>
              </w:rPr>
              <w:t>NILAI TAMBAH STRATEGIS &amp; EFISIENSI OPERASIONAL (NON-FINANCIAL VALUE)</w:t>
              <w:br/>
            </w:r>
            <w:r>
              <w:rPr>
                <w:rFonts w:ascii="Calibri" w:hAnsi="Calibri"/>
                <w:color w:val="1E293B"/>
                <w:sz w:val="18"/>
              </w:rPr>
              <w:t>1. Penghematan Jam Kerja Redaksi &amp; HR (Cost-Saving ROI): Mengeliminasi seleksi berkas CV manual hingga 70% (~40 jam kerja per siklus), setara penghematan biaya operasional internal Rp 6.000.000 - Rp 10.000.000 per tahun.</w:t>
              <w:br/>
              <w:t>2. Exclusive Talent Pool Siap Rekrut: Bank talenta muda terverifikasi (penyiar radio, jurnalis online SS.net, editor video, multimedia) siap direkrut tanpa biaya agensi rekrutmen eksternal.</w:t>
              <w:br/>
              <w:t>3. Optimalisasi Aset Server Internal: Memaksimalkan utilitas server on-premise Suara Surabaya yang sudah ada tanpa menambah pengeluaran langganan server cloud eksternal.</w:t>
            </w:r>
          </w:p>
        </w:tc>
      </w:tr>
    </w:tbl>
    <w:p>
      <w:pPr>
        <w:spacing w:before="0" w:after="80"/>
      </w:pPr>
    </w:p>
    <w:p>
      <w:pPr>
        <w:spacing w:before="200" w:after="60"/>
      </w:pPr>
      <w:r>
        <w:rPr>
          <w:rFonts w:ascii="Arial" w:hAnsi="Arial"/>
          <w:b/>
          <w:color w:val="1D4ED8"/>
          <w:sz w:val="22"/>
        </w:rPr>
        <w:t>5. JADWAL PENGERJAAN &amp; SKEMA PEMBAYARAN</w:t>
      </w:r>
    </w:p>
    <w:p>
      <w:pPr>
        <w:spacing w:before="20" w:after="100" w:line="276" w:lineRule="auto"/>
      </w:pPr>
      <w:r>
        <w:rPr>
          <w:rFonts w:ascii="Calibri" w:hAnsi="Calibri"/>
          <w:color w:val="1E293B"/>
          <w:sz w:val="18"/>
        </w:rPr>
        <w:t>A. Estimasi Waktu Pengerjaan (Timeline):</w:t>
        <w:br/>
        <w:t>• Total Durasi: ± 3 – 4 Minggu (Sprints terpadu hingga deployment server lokal SS dan user training).</w:t>
        <w:br/>
        <w:br/>
        <w:t>B. Skema Pembayaran Bertahap (Termin):</w:t>
        <w:br/>
        <w:t>1. Termin 1 (Uang Muka / DP 40%): Rp 3.000.000,- (Dibayarkan saat kick-off kesepakatan proyek disetujui).</w:t>
        <w:br/>
        <w:t>2. Termin 2 (Progress 30%): Rp 2.250.000,- (Dibayarkan setelah demo formulir pengajuan, upload berkas, dan antrean admin).</w:t>
        <w:br/>
        <w:t>3. Termin 3 (Pelunasan 30%): Rp 2.250.000,- (Dibayarkan setelah implementasi DSS, dasbor pimpinan, deployment ke server internal SS, dan serah terima sistem).</w:t>
        <w:br/>
        <w:br/>
        <w:t>C. Ketentuan &amp; Layanan Tambahan:</w:t>
        <w:br/>
        <w:t>• Biaya mencakup source code lengkap, konfigurasi database PostgreSQL di server SS, dan garansi pemeliharaan 60 hari.</w:t>
        <w:br/>
        <w:t>• Tidak ada biaya server cloud karena seluruh sistem beroperasi di infrastruktur server milik Suara Surabaya.</w:t>
      </w:r>
    </w:p>
    <w:p>
      <w:pPr>
        <w:spacing w:before="320" w:after="40"/>
        <w:jc w:val="right"/>
      </w:pPr>
      <w:r>
        <w:rPr>
          <w:rFonts w:ascii="Calibri" w:hAnsi="Calibri"/>
          <w:color w:val="64748B"/>
          <w:sz w:val="18"/>
        </w:rPr>
        <w:t>Surabaya, Oktober 2026</w:t>
        <w:br/>
      </w:r>
      <w:r>
        <w:rPr>
          <w:rFonts w:ascii="Calibri" w:hAnsi="Calibri"/>
          <w:b/>
          <w:color w:val="1D4ED8"/>
          <w:sz w:val="19"/>
        </w:rPr>
        <w:t>Tim Pengembang Sistem Informasi E-Internship</w:t>
        <w:br/>
        <w:t>Suara Surabaya Media</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