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719A9" w14:textId="7D0A2E0D" w:rsidR="00540C4C" w:rsidRPr="00540C4C" w:rsidRDefault="00540C4C" w:rsidP="00540C4C">
      <w:pPr>
        <w:jc w:val="both"/>
        <w:rPr>
          <w:rFonts w:ascii="Times New Roman" w:hAnsi="Times New Roman" w:cs="Times New Roman"/>
          <w:b/>
          <w:bCs/>
          <w:u w:val="single"/>
        </w:rPr>
      </w:pPr>
      <w:r w:rsidRPr="00540C4C">
        <w:rPr>
          <w:rFonts w:ascii="Times New Roman" w:hAnsi="Times New Roman" w:cs="Times New Roman"/>
          <w:b/>
          <w:bCs/>
          <w:u w:val="single"/>
        </w:rPr>
        <w:t>EXPERT-CRAFTED CONTENT</w:t>
      </w:r>
    </w:p>
    <w:p w14:paraId="180E7F2D" w14:textId="77777777" w:rsidR="00540C4C" w:rsidRPr="00540C4C" w:rsidRDefault="00540C4C" w:rsidP="00540C4C">
      <w:pPr>
        <w:spacing w:line="276" w:lineRule="auto"/>
        <w:jc w:val="both"/>
        <w:rPr>
          <w:rFonts w:ascii="Times New Roman" w:hAnsi="Times New Roman" w:cs="Times New Roman"/>
          <w:i/>
          <w:iCs/>
        </w:rPr>
      </w:pPr>
      <w:proofErr w:type="spellStart"/>
      <w:r w:rsidRPr="00540C4C">
        <w:rPr>
          <w:rFonts w:ascii="Times New Roman" w:hAnsi="Times New Roman" w:cs="Times New Roman"/>
          <w:i/>
          <w:iCs/>
        </w:rPr>
        <w:t>LexFin</w:t>
      </w:r>
      <w:proofErr w:type="spellEnd"/>
      <w:r w:rsidRPr="00540C4C">
        <w:rPr>
          <w:rFonts w:ascii="Times New Roman" w:hAnsi="Times New Roman" w:cs="Times New Roman"/>
          <w:i/>
          <w:iCs/>
        </w:rPr>
        <w:t xml:space="preserve"> is a premier digital learning ecosystem designed to dismantle the barriers between complex legal frameworks and practical financial literacy. Operating on the foundational belief that true professional and personal independence stems from a "Three-Layer" understanding of the world, we provide a curated path from simplified legal text to high-impact audio-visual insights and interactive, gamified applications. Our platform serves as a live bridge, connecting the often-intimidating language of statutes with everyday economic reality, ensuring that legal rights and financial stability are treated as two sides of the same coin.</w:t>
      </w:r>
    </w:p>
    <w:p w14:paraId="7F318E60" w14:textId="77777777" w:rsidR="00540C4C" w:rsidRPr="00540C4C" w:rsidRDefault="00540C4C" w:rsidP="00540C4C">
      <w:pPr>
        <w:spacing w:line="276" w:lineRule="auto"/>
        <w:jc w:val="both"/>
        <w:rPr>
          <w:rFonts w:ascii="Times New Roman" w:hAnsi="Times New Roman" w:cs="Times New Roman"/>
          <w:i/>
          <w:iCs/>
        </w:rPr>
      </w:pPr>
      <w:r w:rsidRPr="00540C4C">
        <w:rPr>
          <w:rFonts w:ascii="Times New Roman" w:hAnsi="Times New Roman" w:cs="Times New Roman"/>
          <w:i/>
          <w:iCs/>
        </w:rPr>
        <w:t xml:space="preserve">Every module within the </w:t>
      </w:r>
      <w:proofErr w:type="spellStart"/>
      <w:r w:rsidRPr="00540C4C">
        <w:rPr>
          <w:rFonts w:ascii="Times New Roman" w:hAnsi="Times New Roman" w:cs="Times New Roman"/>
          <w:i/>
          <w:iCs/>
        </w:rPr>
        <w:t>LexFin</w:t>
      </w:r>
      <w:proofErr w:type="spellEnd"/>
      <w:r w:rsidRPr="00540C4C">
        <w:rPr>
          <w:rFonts w:ascii="Times New Roman" w:hAnsi="Times New Roman" w:cs="Times New Roman"/>
          <w:i/>
          <w:iCs/>
        </w:rPr>
        <w:t xml:space="preserve"> ecosystem is meticulously crafted by a multidisciplinary syndicate of practicing lawyers, chartered accountants, and legal researchers. This collaboration ensures that the knowledge you receive is not just academic theory, but a "courtroom-to-boardroom" reality that is both legally sound and financially actionable. Led by Principal Investigator Ms. Vaishali Sahu, </w:t>
      </w:r>
      <w:proofErr w:type="spellStart"/>
      <w:r w:rsidRPr="00540C4C">
        <w:rPr>
          <w:rFonts w:ascii="Times New Roman" w:hAnsi="Times New Roman" w:cs="Times New Roman"/>
          <w:i/>
          <w:iCs/>
        </w:rPr>
        <w:t>LexFin</w:t>
      </w:r>
      <w:proofErr w:type="spellEnd"/>
      <w:r w:rsidRPr="00540C4C">
        <w:rPr>
          <w:rFonts w:ascii="Times New Roman" w:hAnsi="Times New Roman" w:cs="Times New Roman"/>
          <w:i/>
          <w:iCs/>
        </w:rPr>
        <w:t xml:space="preserve"> focuses on the "Global Butterfly Effect"—the idea that a maritime choke point in West Asia or a specific clause in a new Finance Bill directly impacts your grocery bill, your career trajectory, and your digital security. By exploring the intersection of Corporate Law and emerging technologies like AI, we transform "thick textbooks" into a sharp tool for every student and professional to stay independent, secure, and ready for the real world.</w:t>
      </w:r>
    </w:p>
    <w:p w14:paraId="626DDF62" w14:textId="77777777" w:rsidR="00540C4C" w:rsidRDefault="00540C4C" w:rsidP="00540C4C">
      <w:pPr>
        <w:spacing w:line="276" w:lineRule="auto"/>
        <w:jc w:val="both"/>
        <w:rPr>
          <w:rFonts w:ascii="Times New Roman" w:hAnsi="Times New Roman" w:cs="Times New Roman"/>
          <w:b/>
          <w:bCs/>
          <w:color w:val="EE0000"/>
        </w:rPr>
      </w:pPr>
    </w:p>
    <w:p w14:paraId="63465B8A" w14:textId="0722F06B" w:rsidR="00540C4C" w:rsidRPr="00540C4C" w:rsidRDefault="00540C4C" w:rsidP="00540C4C">
      <w:pPr>
        <w:spacing w:line="276" w:lineRule="auto"/>
        <w:jc w:val="both"/>
        <w:rPr>
          <w:rFonts w:ascii="Times New Roman" w:hAnsi="Times New Roman" w:cs="Times New Roman"/>
          <w:b/>
          <w:bCs/>
          <w:color w:val="EE0000"/>
        </w:rPr>
      </w:pPr>
      <w:r w:rsidRPr="00540C4C">
        <w:rPr>
          <w:rFonts w:ascii="Times New Roman" w:hAnsi="Times New Roman" w:cs="Times New Roman"/>
          <w:b/>
          <w:bCs/>
          <w:color w:val="EE0000"/>
        </w:rPr>
        <w:t xml:space="preserve">PODCAST 1 - </w:t>
      </w:r>
      <w:r w:rsidRPr="00540C4C">
        <w:rPr>
          <w:rFonts w:ascii="Times New Roman" w:hAnsi="Times New Roman" w:cs="Times New Roman"/>
          <w:b/>
          <w:bCs/>
          <w:color w:val="EE0000"/>
        </w:rPr>
        <w:t>West Asia on Fire: Why Your Grocery Bill is Rising in India</w:t>
      </w:r>
    </w:p>
    <w:p w14:paraId="44B7276D" w14:textId="07870E90" w:rsidR="00540C4C" w:rsidRPr="00540C4C" w:rsidRDefault="00540C4C" w:rsidP="00540C4C">
      <w:pPr>
        <w:jc w:val="both"/>
        <w:rPr>
          <w:rFonts w:ascii="Times New Roman" w:hAnsi="Times New Roman" w:cs="Times New Roman"/>
        </w:rPr>
      </w:pPr>
      <w:r w:rsidRPr="00540C4C">
        <w:rPr>
          <w:rFonts w:ascii="Times New Roman" w:hAnsi="Times New Roman" w:cs="Times New Roman"/>
        </w:rPr>
        <w:t xml:space="preserve">The core idea discussed in the summary is the </w:t>
      </w:r>
      <w:r w:rsidRPr="00540C4C">
        <w:rPr>
          <w:rFonts w:ascii="Times New Roman" w:hAnsi="Times New Roman" w:cs="Times New Roman"/>
          <w:b/>
          <w:bCs/>
        </w:rPr>
        <w:t>"Global Butterfly Effect,"</w:t>
      </w:r>
      <w:r w:rsidRPr="00540C4C">
        <w:rPr>
          <w:rFonts w:ascii="Times New Roman" w:hAnsi="Times New Roman" w:cs="Times New Roman"/>
        </w:rPr>
        <w:t xml:space="preserve"> which illustrates how geopolitical instability in West Asia transcends international headlines to directly impact the daily household expenses and economic security of the average Indian citizen. At its heart, the discussion reveals that India’s extreme reliance on imported crude oil—exceeding 80%—makes the domestic economy highly vulnerable to global shocks. This creates a rapid domino effect where a price spike in the Middle East leads to higher diesel costs, which then increases transportation expenses for essential goods, ultimately raising the price of everything from tomatoes to grains at the local market. Furthermore, the summary emphasizes that this is not just an energy issue but a systemic one; the </w:t>
      </w:r>
      <w:r w:rsidRPr="00540C4C">
        <w:rPr>
          <w:rFonts w:ascii="Times New Roman" w:hAnsi="Times New Roman" w:cs="Times New Roman"/>
          <w:b/>
          <w:bCs/>
        </w:rPr>
        <w:t>Strait of Hormuz</w:t>
      </w:r>
      <w:r w:rsidRPr="00540C4C">
        <w:rPr>
          <w:rFonts w:ascii="Times New Roman" w:hAnsi="Times New Roman" w:cs="Times New Roman"/>
        </w:rPr>
        <w:t xml:space="preserve"> acts as a narrow "gate" for India’s energy and fertilizer supplies, and any disruption there creates a logistical "checkmate" that stalls major trade projects like the </w:t>
      </w:r>
      <w:r w:rsidRPr="00540C4C">
        <w:rPr>
          <w:rFonts w:ascii="Times New Roman" w:hAnsi="Times New Roman" w:cs="Times New Roman"/>
          <w:b/>
          <w:bCs/>
        </w:rPr>
        <w:t>India-Middle East-Europe Economic Corridor (IMEC)</w:t>
      </w:r>
      <w:r w:rsidRPr="00540C4C">
        <w:rPr>
          <w:rFonts w:ascii="Times New Roman" w:hAnsi="Times New Roman" w:cs="Times New Roman"/>
        </w:rPr>
        <w:t>.</w:t>
      </w:r>
    </w:p>
    <w:p w14:paraId="41704EE6" w14:textId="77777777" w:rsidR="00540C4C" w:rsidRPr="00540C4C" w:rsidRDefault="00540C4C" w:rsidP="00540C4C">
      <w:pPr>
        <w:jc w:val="both"/>
        <w:rPr>
          <w:rFonts w:ascii="Times New Roman" w:hAnsi="Times New Roman" w:cs="Times New Roman"/>
        </w:rPr>
      </w:pPr>
      <w:r w:rsidRPr="00540C4C">
        <w:rPr>
          <w:rFonts w:ascii="Times New Roman" w:hAnsi="Times New Roman" w:cs="Times New Roman"/>
        </w:rPr>
        <w:t xml:space="preserve">Beyond the immediate cost of fuel, the discussion highlights "silent killers" of the national budget, such as India’s dependence on the region for agricultural nutrients like phosphates and potash. When these supply chains snap, the government is forced to divert "development money"—originally intended for schools and infrastructure—into massive fertilizer subsidies to keep the agrarian economy afloat. This vulnerability is further compounded by the fact that nearly </w:t>
      </w:r>
      <w:r w:rsidRPr="00540C4C">
        <w:rPr>
          <w:rFonts w:ascii="Times New Roman" w:hAnsi="Times New Roman" w:cs="Times New Roman"/>
          <w:b/>
          <w:bCs/>
        </w:rPr>
        <w:t>38% of all remittances</w:t>
      </w:r>
      <w:r w:rsidRPr="00540C4C">
        <w:rPr>
          <w:rFonts w:ascii="Times New Roman" w:hAnsi="Times New Roman" w:cs="Times New Roman"/>
        </w:rPr>
        <w:t xml:space="preserve"> sent to India come from workers in the Gulf, meaning a regional conflict directly threatens the primary income of millions of Indian households. Ultimately, the summary argues </w:t>
      </w:r>
      <w:r w:rsidRPr="00540C4C">
        <w:rPr>
          <w:rFonts w:ascii="Times New Roman" w:hAnsi="Times New Roman" w:cs="Times New Roman"/>
        </w:rPr>
        <w:lastRenderedPageBreak/>
        <w:t xml:space="preserve">that in a globalized world, </w:t>
      </w:r>
      <w:r w:rsidRPr="00540C4C">
        <w:rPr>
          <w:rFonts w:ascii="Times New Roman" w:hAnsi="Times New Roman" w:cs="Times New Roman"/>
          <w:b/>
          <w:bCs/>
        </w:rPr>
        <w:t>foreign policy is domestic policy</w:t>
      </w:r>
      <w:r w:rsidRPr="00540C4C">
        <w:rPr>
          <w:rFonts w:ascii="Times New Roman" w:hAnsi="Times New Roman" w:cs="Times New Roman"/>
        </w:rPr>
        <w:t>, and the only path to true resilience lies in long-term decarbonization and diversifying trade partners to ensure the Indian economy no longer "catches a cold" every time West Asia sneezes.</w:t>
      </w:r>
    </w:p>
    <w:p w14:paraId="06863B4E" w14:textId="77777777" w:rsidR="00E62BBA" w:rsidRDefault="00E62BBA" w:rsidP="00540C4C">
      <w:pPr>
        <w:jc w:val="both"/>
        <w:rPr>
          <w:rFonts w:ascii="Times New Roman" w:hAnsi="Times New Roman" w:cs="Times New Roman"/>
        </w:rPr>
      </w:pPr>
    </w:p>
    <w:p w14:paraId="362F1A7A" w14:textId="385745F1" w:rsidR="00540C4C" w:rsidRPr="00540C4C" w:rsidRDefault="00540C4C" w:rsidP="00540C4C">
      <w:pPr>
        <w:jc w:val="both"/>
        <w:rPr>
          <w:rFonts w:ascii="Times New Roman" w:hAnsi="Times New Roman" w:cs="Times New Roman"/>
          <w:color w:val="EE0000"/>
        </w:rPr>
      </w:pPr>
      <w:r w:rsidRPr="00540C4C">
        <w:rPr>
          <w:rFonts w:ascii="Times New Roman" w:hAnsi="Times New Roman" w:cs="Times New Roman"/>
          <w:b/>
          <w:bCs/>
          <w:color w:val="EE0000"/>
        </w:rPr>
        <w:t xml:space="preserve">PODCAST 2 - </w:t>
      </w:r>
      <w:r w:rsidRPr="00540C4C">
        <w:rPr>
          <w:b/>
          <w:bCs/>
          <w:color w:val="EE0000"/>
        </w:rPr>
        <w:t>THE WEALTH OF THE NATION &amp; YOU</w:t>
      </w:r>
    </w:p>
    <w:p w14:paraId="5F3A722D" w14:textId="4E3A85E2" w:rsidR="00540C4C" w:rsidRPr="00540C4C" w:rsidRDefault="00540C4C" w:rsidP="00540C4C">
      <w:pPr>
        <w:jc w:val="both"/>
        <w:rPr>
          <w:rFonts w:ascii="Times New Roman" w:hAnsi="Times New Roman" w:cs="Times New Roman"/>
        </w:rPr>
      </w:pPr>
      <w:r w:rsidRPr="00540C4C">
        <w:rPr>
          <w:rFonts w:ascii="Times New Roman" w:hAnsi="Times New Roman" w:cs="Times New Roman"/>
        </w:rPr>
        <w:t xml:space="preserve">The core idea of this discussion is the </w:t>
      </w:r>
      <w:r w:rsidRPr="00540C4C">
        <w:rPr>
          <w:rFonts w:ascii="Times New Roman" w:hAnsi="Times New Roman" w:cs="Times New Roman"/>
          <w:b/>
          <w:bCs/>
        </w:rPr>
        <w:t>"National Health Report Card"</w:t>
      </w:r>
      <w:r w:rsidRPr="00540C4C">
        <w:rPr>
          <w:rFonts w:ascii="Times New Roman" w:hAnsi="Times New Roman" w:cs="Times New Roman"/>
        </w:rPr>
        <w:t xml:space="preserve">—a breakdown of the Economic Survey 2025-26 that translates high-level fiscal data into a practical survival guide for the individual citizen. The dialogue centers on the concept that </w:t>
      </w:r>
      <w:r w:rsidRPr="00540C4C">
        <w:rPr>
          <w:rFonts w:ascii="Times New Roman" w:hAnsi="Times New Roman" w:cs="Times New Roman"/>
          <w:b/>
          <w:bCs/>
        </w:rPr>
        <w:t>financial literacy is inseparable from legal awareness</w:t>
      </w:r>
      <w:r w:rsidRPr="00540C4C">
        <w:rPr>
          <w:rFonts w:ascii="Times New Roman" w:hAnsi="Times New Roman" w:cs="Times New Roman"/>
        </w:rPr>
        <w:t>, using the current economic landscape to illustrate how government policy dictates personal bank balances.</w:t>
      </w:r>
    </w:p>
    <w:p w14:paraId="603B14FE" w14:textId="77777777" w:rsidR="00540C4C" w:rsidRPr="00540C4C" w:rsidRDefault="00540C4C" w:rsidP="00540C4C">
      <w:pPr>
        <w:jc w:val="both"/>
        <w:rPr>
          <w:rFonts w:ascii="Times New Roman" w:hAnsi="Times New Roman" w:cs="Times New Roman"/>
        </w:rPr>
      </w:pPr>
      <w:r w:rsidRPr="00540C4C">
        <w:rPr>
          <w:rFonts w:ascii="Times New Roman" w:hAnsi="Times New Roman" w:cs="Times New Roman"/>
        </w:rPr>
        <w:t>The discussion is built around four pillars of "Economic Realism":</w:t>
      </w:r>
    </w:p>
    <w:p w14:paraId="55A13CA6" w14:textId="77777777" w:rsidR="00540C4C" w:rsidRPr="00540C4C" w:rsidRDefault="00540C4C" w:rsidP="00540C4C">
      <w:pPr>
        <w:jc w:val="both"/>
        <w:rPr>
          <w:rFonts w:ascii="Times New Roman" w:hAnsi="Times New Roman" w:cs="Times New Roman"/>
          <w:b/>
          <w:bCs/>
        </w:rPr>
      </w:pPr>
      <w:r w:rsidRPr="00540C4C">
        <w:rPr>
          <w:rFonts w:ascii="Times New Roman" w:hAnsi="Times New Roman" w:cs="Times New Roman"/>
          <w:b/>
          <w:bCs/>
        </w:rPr>
        <w:t>1. The Growth vs. Discipline Paradox</w:t>
      </w:r>
    </w:p>
    <w:p w14:paraId="25A0871F" w14:textId="77777777" w:rsidR="00540C4C" w:rsidRPr="00540C4C" w:rsidRDefault="00540C4C" w:rsidP="00540C4C">
      <w:pPr>
        <w:jc w:val="both"/>
        <w:rPr>
          <w:rFonts w:ascii="Times New Roman" w:hAnsi="Times New Roman" w:cs="Times New Roman"/>
        </w:rPr>
      </w:pPr>
      <w:r w:rsidRPr="00540C4C">
        <w:rPr>
          <w:rFonts w:ascii="Times New Roman" w:hAnsi="Times New Roman" w:cs="Times New Roman"/>
        </w:rPr>
        <w:t xml:space="preserve">While the nation targets a robust </w:t>
      </w:r>
      <w:r w:rsidRPr="00540C4C">
        <w:rPr>
          <w:rFonts w:ascii="Times New Roman" w:hAnsi="Times New Roman" w:cs="Times New Roman"/>
          <w:b/>
          <w:bCs/>
        </w:rPr>
        <w:t>7% growth rate</w:t>
      </w:r>
      <w:r w:rsidRPr="00540C4C">
        <w:rPr>
          <w:rFonts w:ascii="Times New Roman" w:hAnsi="Times New Roman" w:cs="Times New Roman"/>
        </w:rPr>
        <w:t xml:space="preserve"> driven by record-high private spending, the experts warn of a "global rocky scenario." The central idea is that macro-growth doesn't guarantee individual security; rather, low-inflation periods should be viewed as a strategic window to increase </w:t>
      </w:r>
      <w:r w:rsidRPr="00540C4C">
        <w:rPr>
          <w:rFonts w:ascii="Times New Roman" w:hAnsi="Times New Roman" w:cs="Times New Roman"/>
          <w:b/>
          <w:bCs/>
        </w:rPr>
        <w:t>Systemic Investment Plans (SIPs)</w:t>
      </w:r>
      <w:r w:rsidRPr="00540C4C">
        <w:rPr>
          <w:rFonts w:ascii="Times New Roman" w:hAnsi="Times New Roman" w:cs="Times New Roman"/>
        </w:rPr>
        <w:t xml:space="preserve"> before prices inevitably "firm up" later in the year.</w:t>
      </w:r>
    </w:p>
    <w:p w14:paraId="1A6C696F" w14:textId="77777777" w:rsidR="00540C4C" w:rsidRPr="00540C4C" w:rsidRDefault="00540C4C" w:rsidP="00540C4C">
      <w:pPr>
        <w:jc w:val="both"/>
        <w:rPr>
          <w:rFonts w:ascii="Times New Roman" w:hAnsi="Times New Roman" w:cs="Times New Roman"/>
          <w:b/>
          <w:bCs/>
        </w:rPr>
      </w:pPr>
      <w:r w:rsidRPr="00540C4C">
        <w:rPr>
          <w:rFonts w:ascii="Times New Roman" w:hAnsi="Times New Roman" w:cs="Times New Roman"/>
          <w:b/>
          <w:bCs/>
        </w:rPr>
        <w:t>2. Human Capital in the AI Era</w:t>
      </w:r>
    </w:p>
    <w:p w14:paraId="4C159181" w14:textId="77777777" w:rsidR="00540C4C" w:rsidRPr="00540C4C" w:rsidRDefault="00540C4C" w:rsidP="00540C4C">
      <w:pPr>
        <w:jc w:val="both"/>
        <w:rPr>
          <w:rFonts w:ascii="Times New Roman" w:hAnsi="Times New Roman" w:cs="Times New Roman"/>
        </w:rPr>
      </w:pPr>
      <w:r w:rsidRPr="00540C4C">
        <w:rPr>
          <w:rFonts w:ascii="Times New Roman" w:hAnsi="Times New Roman" w:cs="Times New Roman"/>
        </w:rPr>
        <w:t xml:space="preserve">A significant portion of the discussion shifts the definition of a financial asset. In the face of an evolving AI ecosystem, the idea is that </w:t>
      </w:r>
      <w:r w:rsidRPr="00540C4C">
        <w:rPr>
          <w:rFonts w:ascii="Times New Roman" w:hAnsi="Times New Roman" w:cs="Times New Roman"/>
          <w:b/>
          <w:bCs/>
        </w:rPr>
        <w:t>"Human Capital"</w:t>
      </w:r>
      <w:r w:rsidRPr="00540C4C">
        <w:rPr>
          <w:rFonts w:ascii="Times New Roman" w:hAnsi="Times New Roman" w:cs="Times New Roman"/>
        </w:rPr>
        <w:t>—one's ability to upskill and work alongside technology—is a more valuable long-term asset than a static bank balance. This is linked to the "Skilling Crisis," where the gap in secondary education enrollment is framed as a direct threat to future employability in a high-tech economy.</w:t>
      </w:r>
    </w:p>
    <w:p w14:paraId="727BD4F5" w14:textId="77777777" w:rsidR="00540C4C" w:rsidRPr="00540C4C" w:rsidRDefault="00540C4C" w:rsidP="00540C4C">
      <w:pPr>
        <w:jc w:val="both"/>
        <w:rPr>
          <w:rFonts w:ascii="Times New Roman" w:hAnsi="Times New Roman" w:cs="Times New Roman"/>
          <w:b/>
          <w:bCs/>
        </w:rPr>
      </w:pPr>
      <w:r w:rsidRPr="00540C4C">
        <w:rPr>
          <w:rFonts w:ascii="Times New Roman" w:hAnsi="Times New Roman" w:cs="Times New Roman"/>
          <w:b/>
          <w:bCs/>
        </w:rPr>
        <w:t>3. The "Housekeeping" of Governance</w:t>
      </w:r>
    </w:p>
    <w:p w14:paraId="13A5A5B4" w14:textId="77777777" w:rsidR="00540C4C" w:rsidRPr="00540C4C" w:rsidRDefault="00540C4C" w:rsidP="00540C4C">
      <w:pPr>
        <w:jc w:val="both"/>
        <w:rPr>
          <w:rFonts w:ascii="Times New Roman" w:hAnsi="Times New Roman" w:cs="Times New Roman"/>
        </w:rPr>
      </w:pPr>
      <w:r w:rsidRPr="00540C4C">
        <w:rPr>
          <w:rFonts w:ascii="Times New Roman" w:hAnsi="Times New Roman" w:cs="Times New Roman"/>
        </w:rPr>
        <w:t>Using household analogies, the podcast explains the "Legal Engine" of the economy:</w:t>
      </w:r>
    </w:p>
    <w:p w14:paraId="54D2B70B" w14:textId="77777777" w:rsidR="00540C4C" w:rsidRPr="00540C4C" w:rsidRDefault="00540C4C" w:rsidP="00540C4C">
      <w:pPr>
        <w:numPr>
          <w:ilvl w:val="0"/>
          <w:numId w:val="1"/>
        </w:numPr>
        <w:jc w:val="both"/>
        <w:rPr>
          <w:rFonts w:ascii="Times New Roman" w:hAnsi="Times New Roman" w:cs="Times New Roman"/>
        </w:rPr>
      </w:pPr>
      <w:r w:rsidRPr="00540C4C">
        <w:rPr>
          <w:rFonts w:ascii="Times New Roman" w:hAnsi="Times New Roman" w:cs="Times New Roman"/>
          <w:b/>
          <w:bCs/>
        </w:rPr>
        <w:t>Fiscal Discipline:</w:t>
      </w:r>
      <w:r w:rsidRPr="00540C4C">
        <w:rPr>
          <w:rFonts w:ascii="Times New Roman" w:hAnsi="Times New Roman" w:cs="Times New Roman"/>
        </w:rPr>
        <w:t xml:space="preserve"> If the government overspends on "populism" (Revenue Expenditure) rather than infrastructure (Capital Expenditure), it "crowds out" capital, making personal loans for homes or cars more expensive for the average listener.</w:t>
      </w:r>
    </w:p>
    <w:p w14:paraId="32C4F3DE" w14:textId="77777777" w:rsidR="00540C4C" w:rsidRPr="00540C4C" w:rsidRDefault="00540C4C" w:rsidP="00540C4C">
      <w:pPr>
        <w:numPr>
          <w:ilvl w:val="0"/>
          <w:numId w:val="1"/>
        </w:numPr>
        <w:jc w:val="both"/>
        <w:rPr>
          <w:rFonts w:ascii="Times New Roman" w:hAnsi="Times New Roman" w:cs="Times New Roman"/>
        </w:rPr>
      </w:pPr>
      <w:r w:rsidRPr="00540C4C">
        <w:rPr>
          <w:rFonts w:ascii="Times New Roman" w:hAnsi="Times New Roman" w:cs="Times New Roman"/>
          <w:b/>
          <w:bCs/>
        </w:rPr>
        <w:t>Legislative Power:</w:t>
      </w:r>
      <w:r w:rsidRPr="00540C4C">
        <w:rPr>
          <w:rFonts w:ascii="Times New Roman" w:hAnsi="Times New Roman" w:cs="Times New Roman"/>
        </w:rPr>
        <w:t xml:space="preserve"> Understanding the difference between </w:t>
      </w:r>
      <w:r w:rsidRPr="00540C4C">
        <w:rPr>
          <w:rFonts w:ascii="Times New Roman" w:hAnsi="Times New Roman" w:cs="Times New Roman"/>
          <w:b/>
          <w:bCs/>
        </w:rPr>
        <w:t>Money Bills</w:t>
      </w:r>
      <w:r w:rsidRPr="00540C4C">
        <w:rPr>
          <w:rFonts w:ascii="Times New Roman" w:hAnsi="Times New Roman" w:cs="Times New Roman"/>
        </w:rPr>
        <w:t xml:space="preserve"> and </w:t>
      </w:r>
      <w:r w:rsidRPr="00540C4C">
        <w:rPr>
          <w:rFonts w:ascii="Times New Roman" w:hAnsi="Times New Roman" w:cs="Times New Roman"/>
          <w:b/>
          <w:bCs/>
        </w:rPr>
        <w:t>Finance Bills</w:t>
      </w:r>
      <w:r w:rsidRPr="00540C4C">
        <w:rPr>
          <w:rFonts w:ascii="Times New Roman" w:hAnsi="Times New Roman" w:cs="Times New Roman"/>
        </w:rPr>
        <w:t xml:space="preserve"> is presented as a "signal" for taxpayers to begin their annual tax planning, as these bills are the legal triggers for new tax slabs.</w:t>
      </w:r>
    </w:p>
    <w:p w14:paraId="48CC6171" w14:textId="77777777" w:rsidR="00540C4C" w:rsidRPr="00540C4C" w:rsidRDefault="00540C4C" w:rsidP="00540C4C">
      <w:pPr>
        <w:jc w:val="both"/>
        <w:rPr>
          <w:rFonts w:ascii="Times New Roman" w:hAnsi="Times New Roman" w:cs="Times New Roman"/>
          <w:b/>
          <w:bCs/>
        </w:rPr>
      </w:pPr>
      <w:r w:rsidRPr="00540C4C">
        <w:rPr>
          <w:rFonts w:ascii="Times New Roman" w:hAnsi="Times New Roman" w:cs="Times New Roman"/>
          <w:b/>
          <w:bCs/>
        </w:rPr>
        <w:t>4. The "Swadeshi" Resilience Strategy</w:t>
      </w:r>
    </w:p>
    <w:p w14:paraId="63C30510" w14:textId="77777777" w:rsidR="00540C4C" w:rsidRPr="00540C4C" w:rsidRDefault="00540C4C" w:rsidP="00540C4C">
      <w:pPr>
        <w:jc w:val="both"/>
        <w:rPr>
          <w:rFonts w:ascii="Times New Roman" w:hAnsi="Times New Roman" w:cs="Times New Roman"/>
        </w:rPr>
      </w:pPr>
      <w:r w:rsidRPr="00540C4C">
        <w:rPr>
          <w:rFonts w:ascii="Times New Roman" w:hAnsi="Times New Roman" w:cs="Times New Roman"/>
        </w:rPr>
        <w:t xml:space="preserve">The concluding idea is that India is pursuing </w:t>
      </w:r>
      <w:r w:rsidRPr="00540C4C">
        <w:rPr>
          <w:rFonts w:ascii="Times New Roman" w:hAnsi="Times New Roman" w:cs="Times New Roman"/>
          <w:b/>
          <w:bCs/>
        </w:rPr>
        <w:t>Self-Reliance (</w:t>
      </w:r>
      <w:proofErr w:type="spellStart"/>
      <w:r w:rsidRPr="00540C4C">
        <w:rPr>
          <w:rFonts w:ascii="Times New Roman" w:hAnsi="Times New Roman" w:cs="Times New Roman"/>
          <w:b/>
          <w:bCs/>
        </w:rPr>
        <w:t>Atmanirbharta</w:t>
      </w:r>
      <w:proofErr w:type="spellEnd"/>
      <w:r w:rsidRPr="00540C4C">
        <w:rPr>
          <w:rFonts w:ascii="Times New Roman" w:hAnsi="Times New Roman" w:cs="Times New Roman"/>
          <w:b/>
          <w:bCs/>
        </w:rPr>
        <w:t>)</w:t>
      </w:r>
      <w:r w:rsidRPr="00540C4C">
        <w:rPr>
          <w:rFonts w:ascii="Times New Roman" w:hAnsi="Times New Roman" w:cs="Times New Roman"/>
        </w:rPr>
        <w:t xml:space="preserve"> without isolation. For the individual and entrepreneur, the "Survey-aligned" strategy is to focus on </w:t>
      </w:r>
      <w:r w:rsidRPr="00540C4C">
        <w:rPr>
          <w:rFonts w:ascii="Times New Roman" w:hAnsi="Times New Roman" w:cs="Times New Roman"/>
          <w:b/>
          <w:bCs/>
        </w:rPr>
        <w:t xml:space="preserve">Import </w:t>
      </w:r>
      <w:r w:rsidRPr="00540C4C">
        <w:rPr>
          <w:rFonts w:ascii="Times New Roman" w:hAnsi="Times New Roman" w:cs="Times New Roman"/>
          <w:b/>
          <w:bCs/>
        </w:rPr>
        <w:lastRenderedPageBreak/>
        <w:t>Substitution</w:t>
      </w:r>
      <w:r w:rsidRPr="00540C4C">
        <w:rPr>
          <w:rFonts w:ascii="Times New Roman" w:hAnsi="Times New Roman" w:cs="Times New Roman"/>
        </w:rPr>
        <w:t>—creating domestic alternatives to foreign goods. This, combined with a "Green Transition" funded by domestic "Green Taxes" and EV incentives, represents a shift toward an economy that builds its own assets rather than relying on volatile international climate finance or global capital flows.</w:t>
      </w:r>
    </w:p>
    <w:p w14:paraId="501863FD" w14:textId="77777777" w:rsidR="00540C4C" w:rsidRPr="00540C4C" w:rsidRDefault="00540C4C" w:rsidP="00540C4C">
      <w:pPr>
        <w:jc w:val="both"/>
        <w:rPr>
          <w:rFonts w:ascii="Times New Roman" w:hAnsi="Times New Roman" w:cs="Times New Roman"/>
        </w:rPr>
      </w:pPr>
    </w:p>
    <w:sectPr w:rsidR="00540C4C" w:rsidRPr="00540C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10118B"/>
    <w:multiLevelType w:val="multilevel"/>
    <w:tmpl w:val="717A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1586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C4C"/>
    <w:rsid w:val="00540C4C"/>
    <w:rsid w:val="006E5E38"/>
    <w:rsid w:val="00CF1E38"/>
    <w:rsid w:val="00D460C0"/>
    <w:rsid w:val="00E62B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BC570"/>
  <w15:chartTrackingRefBased/>
  <w15:docId w15:val="{1A048F74-2160-404D-B300-8B236318E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0C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0C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40C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0C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0C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0C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0C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0C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0C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C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0C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40C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0C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0C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0C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C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C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C4C"/>
    <w:rPr>
      <w:rFonts w:eastAsiaTheme="majorEastAsia" w:cstheme="majorBidi"/>
      <w:color w:val="272727" w:themeColor="text1" w:themeTint="D8"/>
    </w:rPr>
  </w:style>
  <w:style w:type="paragraph" w:styleId="Title">
    <w:name w:val="Title"/>
    <w:basedOn w:val="Normal"/>
    <w:next w:val="Normal"/>
    <w:link w:val="TitleChar"/>
    <w:uiPriority w:val="10"/>
    <w:qFormat/>
    <w:rsid w:val="00540C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C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C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C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C4C"/>
    <w:pPr>
      <w:spacing w:before="160"/>
      <w:jc w:val="center"/>
    </w:pPr>
    <w:rPr>
      <w:i/>
      <w:iCs/>
      <w:color w:val="404040" w:themeColor="text1" w:themeTint="BF"/>
    </w:rPr>
  </w:style>
  <w:style w:type="character" w:customStyle="1" w:styleId="QuoteChar">
    <w:name w:val="Quote Char"/>
    <w:basedOn w:val="DefaultParagraphFont"/>
    <w:link w:val="Quote"/>
    <w:uiPriority w:val="29"/>
    <w:rsid w:val="00540C4C"/>
    <w:rPr>
      <w:i/>
      <w:iCs/>
      <w:color w:val="404040" w:themeColor="text1" w:themeTint="BF"/>
    </w:rPr>
  </w:style>
  <w:style w:type="paragraph" w:styleId="ListParagraph">
    <w:name w:val="List Paragraph"/>
    <w:basedOn w:val="Normal"/>
    <w:uiPriority w:val="34"/>
    <w:qFormat/>
    <w:rsid w:val="00540C4C"/>
    <w:pPr>
      <w:ind w:left="720"/>
      <w:contextualSpacing/>
    </w:pPr>
  </w:style>
  <w:style w:type="character" w:styleId="IntenseEmphasis">
    <w:name w:val="Intense Emphasis"/>
    <w:basedOn w:val="DefaultParagraphFont"/>
    <w:uiPriority w:val="21"/>
    <w:qFormat/>
    <w:rsid w:val="00540C4C"/>
    <w:rPr>
      <w:i/>
      <w:iCs/>
      <w:color w:val="2F5496" w:themeColor="accent1" w:themeShade="BF"/>
    </w:rPr>
  </w:style>
  <w:style w:type="paragraph" w:styleId="IntenseQuote">
    <w:name w:val="Intense Quote"/>
    <w:basedOn w:val="Normal"/>
    <w:next w:val="Normal"/>
    <w:link w:val="IntenseQuoteChar"/>
    <w:uiPriority w:val="30"/>
    <w:qFormat/>
    <w:rsid w:val="00540C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0C4C"/>
    <w:rPr>
      <w:i/>
      <w:iCs/>
      <w:color w:val="2F5496" w:themeColor="accent1" w:themeShade="BF"/>
    </w:rPr>
  </w:style>
  <w:style w:type="character" w:styleId="IntenseReference">
    <w:name w:val="Intense Reference"/>
    <w:basedOn w:val="DefaultParagraphFont"/>
    <w:uiPriority w:val="32"/>
    <w:qFormat/>
    <w:rsid w:val="00540C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904</Words>
  <Characters>5155</Characters>
  <Application>Microsoft Office Word</Application>
  <DocSecurity>0</DocSecurity>
  <Lines>42</Lines>
  <Paragraphs>12</Paragraphs>
  <ScaleCrop>false</ScaleCrop>
  <Company/>
  <LinksUpToDate>false</LinksUpToDate>
  <CharactersWithSpaces>6047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vaishali sahu</dc:creator>
  <cp:keywords/>
  <dc:description/>
  <cp:lastModifiedBy>vaishali sahu</cp:lastModifiedBy>
  <cp:revision>1</cp:revision>
  <dcterms:created xsi:type="dcterms:W3CDTF">2026-04-01T05:59:00Z</dcterms:created>
  <dcterms:modified xsi:type="dcterms:W3CDTF">2026-04-01T06:06:00Z</dcterms:modified>
</cp:coreProperties>
</file>