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Calibri" w:cs="Calibri" w:eastAsia="Calibri" w:hAnsi="Calibri"/>
          <w:b/>
          <w:bCs/>
          <w:color w:val="1A3A5C"/>
          <w:sz w:val="52"/>
          <w:szCs w:val="52"/>
        </w:rPr>
        <w:t xml:space="preserve">Indian Food Delivery Market Analysis</w:t>
      </w:r>
    </w:p>
    <w:p>
      <w:pPr>
        <w:pStyle w:val="DocSubtitle"/>
      </w:pPr>
      <w:r>
        <w:rPr>
          <w:rFonts w:ascii="Calibri" w:cs="Calibri" w:eastAsia="Calibri" w:hAnsi="Calibri"/>
          <w:i/>
          <w:iCs/>
          <w:color w:val="5A7A9A"/>
          <w:sz w:val="26"/>
          <w:szCs w:val="26"/>
        </w:rPr>
        <w:t xml:space="preserve">September 2026</w:t>
      </w:r>
    </w:p>
    <w:p>
      <w:pPr>
        <w:spacing w:after="80" w:before="0"/>
        <w:jc w:val="center"/>
      </w:pPr>
      <w:r>
        <w:rPr>
          <w:rFonts w:ascii="Calibri" w:cs="Calibri" w:eastAsia="Calibri" w:hAnsi="Calibri"/>
          <w:i/>
          <w:iCs/>
          <w:color w:val="5A7A9A"/>
          <w:sz w:val="20"/>
          <w:szCs w:val="20"/>
        </w:rPr>
        <w:t xml:space="preserve">Synthesizing the internal Food Delivery dataset (20,000 orders, 10 cities) with external Quick Research findings</w:t>
      </w:r>
    </w:p>
    <w:p>
      <w:pPr>
        <w:spacing w:after="120" w:before="0"/>
        <w:jc w:val="center"/>
      </w:pPr>
      <w:r>
        <w:rPr>
          <w:rFonts w:ascii="Calibri" w:cs="Calibri" w:eastAsia="Calibri" w:hAnsi="Calibri"/>
          <w:color w:val="444444"/>
          <w:sz w:val="20"/>
          <w:szCs w:val="20"/>
        </w:rPr>
        <w:t xml:space="preserve">Every insight is labeled: </w:t>
      </w:r>
      <w:r>
        <w:rPr>
          <w:rFonts w:ascii="Calibri" w:cs="Calibri" w:eastAsia="Calibri" w:hAnsi="Calibri"/>
          <w:b/>
          <w:bCs/>
          <w:color w:val="9A3412"/>
          <w:sz w:val="20"/>
          <w:szCs w:val="20"/>
        </w:rPr>
        <w:t xml:space="preserve">[Dataset]</w:t>
      </w:r>
      <w:r>
        <w:rPr>
          <w:rFonts w:ascii="Calibri" w:cs="Calibri" w:eastAsia="Calibri" w:hAnsi="Calibri"/>
          <w:color w:val="888888"/>
          <w:sz w:val="20"/>
          <w:szCs w:val="20"/>
        </w:rPr>
        <w:t xml:space="preserve">  |  </w:t>
      </w:r>
      <w:r>
        <w:rPr>
          <w:rFonts w:ascii="Calibri" w:cs="Calibri" w:eastAsia="Calibri" w:hAnsi="Calibri"/>
          <w:b/>
          <w:bCs/>
          <w:color w:val="1D4ED8"/>
          <w:sz w:val="20"/>
          <w:szCs w:val="20"/>
        </w:rPr>
        <w:t xml:space="preserve">[Quick Research]</w:t>
      </w:r>
      <w:r>
        <w:rPr>
          <w:rFonts w:ascii="Calibri" w:cs="Calibri" w:eastAsia="Calibri" w:hAnsi="Calibri"/>
          <w:color w:val="888888"/>
          <w:sz w:val="20"/>
          <w:szCs w:val="20"/>
        </w:rPr>
        <w:t xml:space="preserve">  |  </w:t>
      </w:r>
      <w:r>
        <w:rPr>
          <w:rFonts w:ascii="Calibri" w:cs="Calibri" w:eastAsia="Calibri" w:hAnsi="Calibri"/>
          <w:b/>
          <w:bCs/>
          <w:color w:val="065F46"/>
          <w:sz w:val="20"/>
          <w:szCs w:val="20"/>
        </w:rPr>
        <w:t xml:space="preserve">[Both]</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6"/>
            </w:tcBorders>
            <w:shd w:fill="FFFBEB" w:val="clear"/>
          </w:tcPr>
          <w:p>
            <w:pPr>
              <w:spacing w:after="40" w:before="40"/>
              <w:ind w:left="160"/>
            </w:pPr>
            <w:r>
              <w:rPr>
                <w:rFonts w:ascii="Calibri" w:cs="Calibri" w:eastAsia="Calibri" w:hAnsi="Calibri"/>
                <w:color w:val="7A3800"/>
                <w:sz w:val="20"/>
                <w:szCs w:val="20"/>
              </w:rPr>
              <w:t xml:space="preserve">⚠️  Critical Data Quality Note</w:t>
            </w:r>
          </w:p>
          <w:p>
            <w:pPr>
              <w:spacing w:after="40" w:before="40"/>
              <w:ind w:left="160"/>
            </w:pPr>
            <w:r>
              <w:rPr>
                <w:rFonts w:ascii="Calibri" w:cs="Calibri" w:eastAsia="Calibri" w:hAnsi="Calibri"/>
                <w:color w:val="7A3800"/>
                <w:sz w:val="20"/>
                <w:szCs w:val="20"/>
              </w:rPr>
              <w:t xml:space="preserve">The internal dataset has been confirmed through statistical audit as synthetically generated — exhibiting uniform</w:t>
            </w:r>
          </w:p>
          <w:p>
            <w:pPr>
              <w:spacing w:after="40" w:before="40"/>
              <w:ind w:left="160"/>
            </w:pPr>
            <w:r>
              <w:rPr>
                <w:rFonts w:ascii="Calibri" w:cs="Calibri" w:eastAsia="Calibri" w:hAnsi="Calibri"/>
                <w:color w:val="7A3800"/>
                <w:sz w:val="20"/>
                <w:szCs w:val="20"/>
              </w:rPr>
              <w:t xml:space="preserve">distributions, impossible values (e.g., snow in Chennai), and near-zero correlations between satisfaction and quality</w:t>
            </w:r>
          </w:p>
          <w:p>
            <w:pPr>
              <w:spacing w:after="40" w:before="40"/>
              <w:ind w:left="160"/>
            </w:pPr>
            <w:r>
              <w:rPr>
                <w:rFonts w:ascii="Calibri" w:cs="Calibri" w:eastAsia="Calibri" w:hAnsi="Calibri"/>
                <w:color w:val="7A3800"/>
                <w:sz w:val="20"/>
                <w:szCs w:val="20"/>
              </w:rPr>
              <w:t xml:space="preserve">metrics. All [Dataset] findings carry Low confidence and should be treated as illustrative, not operational evidence.</w:t>
            </w:r>
          </w:p>
          <w:p>
            <w:pPr>
              <w:spacing w:after="40" w:before="40"/>
              <w:ind w:left="160"/>
            </w:pPr>
            <w:r>
              <w:rPr>
                <w:rFonts w:ascii="Calibri" w:cs="Calibri" w:eastAsia="Calibri" w:hAnsi="Calibri"/>
                <w:color w:val="7A3800"/>
                <w:sz w:val="20"/>
                <w:szCs w:val="20"/>
              </w:rPr>
              <w:t xml:space="preserve">See Section 8 for full detail.</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1  </w:t>
            </w:r>
            <w:r>
              <w:rPr>
                <w:rFonts w:ascii="Calibri" w:cs="Calibri" w:eastAsia="Calibri" w:hAnsi="Calibri"/>
                <w:b/>
                <w:bCs/>
                <w:color w:val="FFFFFF"/>
                <w:sz w:val="28"/>
                <w:szCs w:val="28"/>
              </w:rPr>
              <w:t xml:space="preserve">Competitive Landscape</w:t>
            </w:r>
          </w:p>
        </w:tc>
      </w:tr>
    </w:tbl>
    <w:p>
      <w:pPr>
        <w:spacing w:after="0" w:before="120"/>
      </w:pPr>
      <w:r>
        <w:t xml:space="preserve"/>
      </w:r>
    </w:p>
    <w:p>
      <w:pPr>
        <w:spacing w:after="100" w:before="80"/>
      </w:pPr>
      <w:r>
        <w:rPr>
          <w:rFonts w:ascii="Calibri" w:cs="Calibri" w:eastAsia="Calibri" w:hAnsi="Calibri"/>
          <w:color w:val="444444"/>
          <w:sz w:val="22"/>
          <w:szCs w:val="22"/>
        </w:rPr>
        <w:t xml:space="preserve">[Quick Research | Confidence: </w:t>
      </w:r>
      <w:r>
        <w:rPr>
          <w:rFonts w:ascii="Calibri" w:cs="Calibri" w:eastAsia="Calibri" w:hAnsi="Calibri"/>
          <w:b/>
          <w:bCs/>
          <w:color w:val="059669"/>
          <w:sz w:val="18"/>
          <w:szCs w:val="18"/>
        </w:rPr>
        <w:t xml:space="preserve">High</w:t>
      </w:r>
      <w:r>
        <w:rPr>
          <w:rFonts w:ascii="Calibri" w:cs="Calibri" w:eastAsia="Calibri" w:hAnsi="Calibri"/>
          <w:color w:val="444444"/>
          <w:sz w:val="22"/>
          <w:szCs w:val="22"/>
        </w:rPr>
        <w:t xml:space="preserve">]</w:t>
      </w:r>
    </w:p>
    <w:p>
      <w:pPr>
        <w:pStyle w:val="BodyText"/>
        <w:spacing/>
      </w:pPr>
      <w:r>
        <w:rPr>
          <w:rFonts w:ascii="Calibri" w:cs="Calibri" w:eastAsia="Calibri" w:hAnsi="Calibri"/>
          <w:b w:val="false"/>
          <w:bCs w:val="false"/>
          <w:color w:val="222222"/>
          <w:sz w:val="22"/>
          <w:szCs w:val="22"/>
        </w:rPr>
        <w:t xml:space="preserve">India's food delivery market is a tight Zomato–Swiggy duopoly with a growing challenger fringe.</w:t>
      </w:r>
    </w:p>
    <w:p>
      <w:pPr>
        <w:spacing w:after="0" w:before="80"/>
      </w:pPr>
      <w:r>
        <w:t xml:space="preserve"/>
      </w:r>
    </w:p>
    <w:p>
      <w:pPr>
        <w:pStyle w:val="SubHead"/>
      </w:pPr>
      <w:r>
        <w:rPr>
          <w:rFonts w:ascii="Calibri" w:cs="Calibri" w:eastAsia="Calibri" w:hAnsi="Calibri"/>
          <w:b/>
          <w:bCs/>
          <w:color w:val="1A3A5C"/>
          <w:sz w:val="24"/>
          <w:szCs w:val="24"/>
        </w:rPr>
        <w:t xml:space="preserve">The Duopoly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Metric</w:t>
            </w:r>
          </w:p>
        </w:tc>
        <w:tc>
          <w:tcPr>
            <w:tcW w:type="dxa" w:w="328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Zomato (Eternal Ltd)</w:t>
            </w:r>
          </w:p>
        </w:tc>
        <w:tc>
          <w:tcPr>
            <w:tcW w:type="dxa" w:w="328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Swiggy</w:t>
            </w:r>
          </w:p>
        </w:tc>
      </w:tr>
      <w:tr>
        <w:trPr>
          <w:tblHeader w:val="false"/>
        </w:trPr>
        <w:tc>
          <w:tcPr>
            <w:tcW w:type="dxa" w:w="2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Market Share</w:t>
            </w:r>
          </w:p>
        </w:tc>
        <w:tc>
          <w:tcPr>
            <w:tcW w:type="dxa" w:w="3280"/>
            <w:tcBorders>
              <w:top w:val="single" w:color="CBD5E1" w:sz="6"/>
              <w:left w:val="single" w:color="CBD5E1" w:sz="6"/>
              <w:bottom w:val="single" w:color="CBD5E1" w:sz="6"/>
              <w:right w:val="single" w:color="CBD5E1" w:sz="6"/>
            </w:tcBorders>
            <w:shd w:fill="EEF6FF" w:val="clear"/>
          </w:tcPr>
          <w:p>
            <w:pPr>
              <w:spacing w:after="60" w:before="60"/>
              <w:jc w:val="left"/>
            </w:pPr>
            <w:r>
              <w:rPr>
                <w:rFonts w:ascii="Calibri" w:cs="Calibri" w:eastAsia="Calibri" w:hAnsi="Calibri"/>
                <w:b w:val="false"/>
                <w:bCs w:val="false"/>
                <w:color w:val="222222"/>
                <w:sz w:val="20"/>
                <w:szCs w:val="20"/>
              </w:rPr>
              <w:t xml:space="preserve">~58%</w:t>
            </w:r>
          </w:p>
        </w:tc>
        <w:tc>
          <w:tcPr>
            <w:tcW w:type="dxa" w:w="3280"/>
            <w:tcBorders>
              <w:top w:val="single" w:color="CBD5E1" w:sz="6"/>
              <w:left w:val="single" w:color="CBD5E1" w:sz="6"/>
              <w:bottom w:val="single" w:color="CBD5E1" w:sz="6"/>
              <w:right w:val="single" w:color="CBD5E1" w:sz="6"/>
            </w:tcBorders>
            <w:shd w:fill="F0FFF4" w:val="clear"/>
          </w:tcPr>
          <w:p>
            <w:pPr>
              <w:spacing w:after="60" w:before="60"/>
              <w:jc w:val="left"/>
            </w:pPr>
            <w:r>
              <w:rPr>
                <w:rFonts w:ascii="Calibri" w:cs="Calibri" w:eastAsia="Calibri" w:hAnsi="Calibri"/>
                <w:b w:val="false"/>
                <w:bCs w:val="false"/>
                <w:color w:val="222222"/>
                <w:sz w:val="20"/>
                <w:szCs w:val="20"/>
              </w:rPr>
              <w:t xml:space="preserve">~42%</w:t>
            </w:r>
          </w:p>
        </w:tc>
      </w:tr>
      <w:tr>
        <w:trPr>
          <w:tblHeader w:val="false"/>
        </w:trPr>
        <w:tc>
          <w:tcPr>
            <w:tcW w:type="dxa" w:w="2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FY25 Revenue</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₹20,243 Cr</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₹16,333 Cr</w:t>
            </w:r>
          </w:p>
        </w:tc>
      </w:tr>
      <w:tr>
        <w:trPr>
          <w:tblHeader w:val="false"/>
        </w:trPr>
        <w:tc>
          <w:tcPr>
            <w:tcW w:type="dxa" w:w="2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FY25 Net Income</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₹527 Cr (first profitable year)</w:t>
            </w:r>
          </w:p>
        </w:tc>
        <w:tc>
          <w:tcPr>
            <w:tcW w:type="dxa" w:w="3280"/>
            <w:tcBorders>
              <w:top w:val="single" w:color="CBD5E1" w:sz="6"/>
              <w:left w:val="single" w:color="CBD5E1" w:sz="6"/>
              <w:bottom w:val="single" w:color="CBD5E1" w:sz="6"/>
              <w:right w:val="single" w:color="CBD5E1" w:sz="6"/>
            </w:tcBorders>
            <w:shd w:fill="FFF7F7" w:val="clear"/>
          </w:tcPr>
          <w:p>
            <w:pPr>
              <w:spacing w:after="60" w:before="60"/>
              <w:jc w:val="left"/>
            </w:pPr>
            <w:r>
              <w:rPr>
                <w:rFonts w:ascii="Calibri" w:cs="Calibri" w:eastAsia="Calibri" w:hAnsi="Calibri"/>
                <w:b w:val="false"/>
                <w:bCs w:val="false"/>
                <w:color w:val="222222"/>
                <w:sz w:val="20"/>
                <w:szCs w:val="20"/>
              </w:rPr>
              <w:t xml:space="preserve">₹-3,107 Cr (loss narrowing)</w:t>
            </w:r>
          </w:p>
        </w:tc>
      </w:tr>
      <w:tr>
        <w:trPr>
          <w:tblHeader w:val="false"/>
        </w:trPr>
        <w:tc>
          <w:tcPr>
            <w:tcW w:type="dxa" w:w="2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Q1 FY27 Profit/Loss</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₹92 Cr (+268% YoY)</w:t>
            </w:r>
          </w:p>
        </w:tc>
        <w:tc>
          <w:tcPr>
            <w:tcW w:type="dxa" w:w="3280"/>
            <w:tcBorders>
              <w:top w:val="single" w:color="CBD5E1" w:sz="6"/>
              <w:left w:val="single" w:color="CBD5E1" w:sz="6"/>
              <w:bottom w:val="single" w:color="CBD5E1" w:sz="6"/>
              <w:right w:val="single" w:color="CBD5E1" w:sz="6"/>
            </w:tcBorders>
            <w:shd w:fill="FFF7F7" w:val="clear"/>
          </w:tcPr>
          <w:p>
            <w:pPr>
              <w:spacing w:after="60" w:before="60"/>
              <w:jc w:val="left"/>
            </w:pPr>
            <w:r>
              <w:rPr>
                <w:rFonts w:ascii="Calibri" w:cs="Calibri" w:eastAsia="Calibri" w:hAnsi="Calibri"/>
                <w:b w:val="false"/>
                <w:bCs w:val="false"/>
                <w:color w:val="222222"/>
                <w:sz w:val="20"/>
                <w:szCs w:val="20"/>
              </w:rPr>
              <w:t xml:space="preserve">₹-791 Cr (-34% YoY improvement)</w:t>
            </w:r>
          </w:p>
        </w:tc>
      </w:tr>
      <w:tr>
        <w:trPr>
          <w:tblHeader w:val="false"/>
        </w:trPr>
        <w:tc>
          <w:tcPr>
            <w:tcW w:type="dxa" w:w="2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Monthly Transacting Users (Q1 FY27)</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~27.0M</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~27.5M</w:t>
            </w:r>
          </w:p>
        </w:tc>
      </w:tr>
      <w:tr>
        <w:trPr>
          <w:tblHeader w:val="false"/>
        </w:trPr>
        <w:tc>
          <w:tcPr>
            <w:tcW w:type="dxa" w:w="2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Loyalty Subscribers</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7.4M (Zomato Gold)</w:t>
            </w:r>
          </w:p>
        </w:tc>
        <w:tc>
          <w:tcPr>
            <w:tcW w:type="dxa" w:w="328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5.7M (Swiggy One)</w:t>
            </w:r>
          </w:p>
        </w:tc>
      </w:tr>
    </w:tbl>
    <w:p>
      <w:pPr>
        <w:spacing w:after="0" w:before="120"/>
      </w:pPr>
      <w:r>
        <w:t xml:space="preserve"/>
      </w:r>
    </w:p>
    <w:p>
      <w:pPr>
        <w:pStyle w:val="SubHead"/>
      </w:pPr>
      <w:r>
        <w:rPr>
          <w:rFonts w:ascii="Calibri" w:cs="Calibri" w:eastAsia="Calibri" w:hAnsi="Calibri"/>
          <w:b/>
          <w:bCs/>
          <w:color w:val="1A3A5C"/>
          <w:sz w:val="24"/>
          <w:szCs w:val="24"/>
        </w:rPr>
        <w:t xml:space="preserve">Key Competitive Dynamics</w:t>
      </w:r>
    </w:p>
    <w:p>
      <w:pPr>
        <w:pStyle w:val="ListParagraph"/>
        <w:numPr>
          <w:ilvl w:val="0"/>
          <w:numId w:val="2"/>
        </w:numPr>
        <w:spacing w:after="40" w:before="40"/>
      </w:pPr>
      <w:r>
        <w:rPr>
          <w:rFonts w:ascii="Calibri" w:cs="Calibri" w:eastAsia="Calibri" w:hAnsi="Calibri"/>
          <w:sz w:val="22"/>
          <w:szCs w:val="22"/>
        </w:rPr>
        <w:t xml:space="preserve">Despite Zomato’s market share and revenue lead, user engagement is at near-parity (~27M MTUs each), meaning Swiggy’s users transact at higher frequency relative to its share.</w:t>
      </w:r>
    </w:p>
    <w:p>
      <w:pPr>
        <w:pStyle w:val="ListParagraph"/>
        <w:numPr>
          <w:ilvl w:val="0"/>
          <w:numId w:val="2"/>
        </w:numPr>
        <w:spacing w:after="40" w:before="40"/>
      </w:pPr>
      <w:r>
        <w:rPr>
          <w:rFonts w:ascii="Calibri" w:cs="Calibri" w:eastAsia="Calibri" w:hAnsi="Calibri"/>
          <w:sz w:val="22"/>
          <w:szCs w:val="22"/>
        </w:rPr>
        <w:t xml:space="preserve">Zomato's profitability includes Blinkit (quick commerce); standalone food delivery profitability remains unproven for either platform after a decade of operations.</w:t>
      </w:r>
    </w:p>
    <w:p>
      <w:pPr>
        <w:pStyle w:val="ListParagraph"/>
        <w:numPr>
          <w:ilvl w:val="0"/>
          <w:numId w:val="2"/>
        </w:numPr>
        <w:spacing w:after="40" w:before="40"/>
      </w:pPr>
      <w:r>
        <w:rPr>
          <w:rFonts w:ascii="Calibri" w:cs="Calibri" w:eastAsia="Calibri" w:hAnsi="Calibri"/>
          <w:sz w:val="22"/>
          <w:szCs w:val="22"/>
        </w:rPr>
        <w:t xml:space="preserve">Combined FY25 revenues exceed ₹36,000 Cr, yet platform fees escalated 7–9x (₹2 → ₹15–18/order) in just two years — signaling structural unit-economics pressure.</w:t>
      </w:r>
    </w:p>
    <w:p>
      <w:pPr>
        <w:spacing w:after="0" w:before="120"/>
      </w:pPr>
      <w:r>
        <w:t xml:space="preserve"/>
      </w:r>
    </w:p>
    <w:p>
      <w:pPr>
        <w:pStyle w:val="SubHead"/>
      </w:pPr>
      <w:r>
        <w:rPr>
          <w:rFonts w:ascii="Calibri" w:cs="Calibri" w:eastAsia="Calibri" w:hAnsi="Calibri"/>
          <w:b/>
          <w:bCs/>
          <w:color w:val="1A3A5C"/>
          <w:sz w:val="24"/>
          <w:szCs w:val="24"/>
        </w:rPr>
        <w:t xml:space="preserve">Emerging Challengers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Player</w:t>
            </w:r>
          </w:p>
        </w:tc>
        <w:tc>
          <w:tcPr>
            <w:tcW w:type="dxa" w:w="18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Model</w:t>
            </w:r>
          </w:p>
        </w:tc>
        <w:tc>
          <w:tcPr>
            <w:tcW w:type="dxa" w:w="18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Status</w:t>
            </w:r>
          </w:p>
        </w:tc>
        <w:tc>
          <w:tcPr>
            <w:tcW w:type="dxa" w:w="396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Key Differentiator</w:t>
            </w:r>
          </w:p>
        </w:tc>
      </w:tr>
      <w:tr>
        <w:trPr>
          <w:tblHeader w:val="false"/>
        </w:trPr>
        <w:tc>
          <w:tcPr>
            <w:tcW w:type="dxa" w:w="1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Rapido (Ownly)</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Zero-commission delivery</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Live in Bengaluru (Mar 2026)</w:t>
            </w:r>
          </w:p>
        </w:tc>
        <w:tc>
          <w:tcPr>
            <w:tcW w:type="dxa" w:w="396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Leverages existing rider fleet; offline-equivalent pricing</w:t>
            </w:r>
          </w:p>
        </w:tc>
      </w:tr>
      <w:tr>
        <w:trPr>
          <w:tblHeader w:val="false"/>
        </w:trPr>
        <w:tc>
          <w:tcPr>
            <w:tcW w:type="dxa" w:w="1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Zepto Cafe</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Dark-store prepared food</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Expanding nationally</w:t>
            </w:r>
          </w:p>
        </w:tc>
        <w:tc>
          <w:tcPr>
            <w:tcW w:type="dxa" w:w="396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10-minute delivery from dark stores</w:t>
            </w:r>
          </w:p>
        </w:tc>
      </w:tr>
      <w:tr>
        <w:trPr>
          <w:tblHeader w:val="false"/>
        </w:trPr>
        <w:tc>
          <w:tcPr>
            <w:tcW w:type="dxa" w:w="1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Magicpin (MagicNow)</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15-min restaurant delivery</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20 cities, 21,000+ restaurants</w:t>
            </w:r>
          </w:p>
        </w:tc>
        <w:tc>
          <w:tcPr>
            <w:tcW w:type="dxa" w:w="396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Hyperlocal speed; targets 20% order share by FY26</w:t>
            </w:r>
          </w:p>
        </w:tc>
      </w:tr>
      <w:tr>
        <w:trPr>
          <w:tblHeader w:val="false"/>
        </w:trPr>
        <w:tc>
          <w:tcPr>
            <w:tcW w:type="dxa" w:w="1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Flipkart</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Traditional aggregator</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Bengaluru pilot planned mid-2026</w:t>
            </w:r>
          </w:p>
        </w:tc>
        <w:tc>
          <w:tcPr>
            <w:tcW w:type="dxa" w:w="396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Walmart-backed; massive existing user base</w:t>
            </w:r>
          </w:p>
        </w:tc>
      </w:tr>
      <w:tr>
        <w:trPr>
          <w:tblHeader w:val="false"/>
        </w:trPr>
        <w:tc>
          <w:tcPr>
            <w:tcW w:type="dxa" w:w="18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ONDC</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Open network protocol</w:t>
            </w:r>
          </w:p>
        </w:tc>
        <w:tc>
          <w:tcPr>
            <w:tcW w:type="dxa" w:w="1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~4.3M monthly orders (Apr 2025)</w:t>
            </w:r>
          </w:p>
        </w:tc>
        <w:tc>
          <w:tcPr>
            <w:tcW w:type="dxa" w:w="396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Government-backed; decentralized model</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6"/>
            </w:tcBorders>
            <w:shd w:fill="FFFBEB" w:val="clear"/>
          </w:tcPr>
          <w:p>
            <w:pPr>
              <w:spacing w:after="40" w:before="40"/>
              <w:ind w:left="160"/>
            </w:pPr>
            <w:r>
              <w:rPr>
                <w:rFonts w:ascii="Calibri" w:cs="Calibri" w:eastAsia="Calibri" w:hAnsi="Calibri"/>
                <w:color w:val="7A3800"/>
                <w:sz w:val="20"/>
                <w:szCs w:val="20"/>
              </w:rPr>
              <w:t xml:space="preserve">[Dataset] The internal dataset contains no platform identification — orders cannot be attributed to Zomato, Swiggy, or any specific platform.</w:t>
            </w:r>
          </w:p>
          <w:p>
            <w:pPr>
              <w:spacing w:after="40" w:before="40"/>
              <w:ind w:left="160"/>
            </w:pPr>
            <w:r>
              <w:rPr>
                <w:rFonts w:ascii="Calibri" w:cs="Calibri" w:eastAsia="Calibri" w:hAnsi="Calibri"/>
                <w:color w:val="7A3800"/>
                <w:sz w:val="20"/>
                <w:szCs w:val="20"/>
              </w:rPr>
              <w:t xml:space="preserve">The dataset covers 100 restaurants across 10 cities but provides no competitive share data. Confidence: Low.</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2  </w:t>
            </w:r>
            <w:r>
              <w:rPr>
                <w:rFonts w:ascii="Calibri" w:cs="Calibri" w:eastAsia="Calibri" w:hAnsi="Calibri"/>
                <w:b/>
                <w:bCs/>
                <w:color w:val="FFFFFF"/>
                <w:sz w:val="28"/>
                <w:szCs w:val="28"/>
              </w:rPr>
              <w:t xml:space="preserve">Key Market Trends and Signals</w:t>
            </w:r>
          </w:p>
        </w:tc>
      </w:tr>
    </w:tbl>
    <w:p>
      <w:pPr>
        <w:spacing w:after="0" w:before="120"/>
      </w:pPr>
      <w:r>
        <w:t xml:space="preserve"/>
      </w:r>
    </w:p>
    <w:p>
      <w:pPr>
        <w:pStyle w:val="SubHead"/>
      </w:pPr>
      <w:r>
        <w:rPr>
          <w:rFonts w:ascii="Calibri" w:cs="Calibri" w:eastAsia="Calibri" w:hAnsi="Calibri"/>
          <w:b/>
          <w:bCs/>
          <w:color w:val="1A3A5C"/>
          <w:sz w:val="24"/>
          <w:szCs w:val="24"/>
        </w:rPr>
        <w:t xml:space="preserve">Trend 1: A $27B Market with a Profitability Paradox</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Medium</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The market was valued at $9.1B in 2024 and is projected to reach ~$27B by 2030 at ~19% CAGR. Online delivery's share of total food services is expected to grow from 11% (FY26) to 18% (FY31). Yet the fundamental paradox persists: neither platform has achieved sustained standalone food delivery profitability despite a decade of operations.</w:t>
      </w:r>
    </w:p>
    <w:p>
      <w:pPr>
        <w:pStyle w:val="SubHead"/>
      </w:pPr>
      <w:r>
        <w:rPr>
          <w:rFonts w:ascii="Calibri" w:cs="Calibri" w:eastAsia="Calibri" w:hAnsi="Calibri"/>
          <w:b/>
          <w:bCs/>
          <w:color w:val="1A3A5C"/>
          <w:sz w:val="24"/>
          <w:szCs w:val="24"/>
        </w:rPr>
        <w:t xml:space="preserve">Trend 2: Platform Fee Escalation Hitting a Ceiling</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Medium-High</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Platform fees climbed from ₹2/order (Aug 2023) to ₹14.90 (Zomato) and ₹17.58 (Swiggy) by late 2025 — with Swiggy implementing four hikes in seven months. Against average order values of only $5.20–$5.40 (~₹430–450), this creates a structural tension between margin improvement and consumer price sensitivity.</w:t>
      </w:r>
    </w:p>
    <w:p>
      <w:pPr>
        <w:pStyle w:val="SubHead"/>
      </w:pPr>
      <w:r>
        <w:rPr>
          <w:rFonts w:ascii="Calibri" w:cs="Calibri" w:eastAsia="Calibri" w:hAnsi="Calibri"/>
          <w:b/>
          <w:bCs/>
          <w:color w:val="1A3A5C"/>
          <w:sz w:val="24"/>
          <w:szCs w:val="24"/>
        </w:rPr>
        <w:t xml:space="preserve">Trend 3: Order Frequency Rebounding After Stagnation</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Medium</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Both platforms experienced stagnating order frequency for nearly six months in early 2025 before gross order value growth rebounded above 20% YoY by Q3 FY26. Swiggy's platform MTU grew 35% YoY to 21.6M by Q1 FY26, with 35% of users utilizing more than one service.</w:t>
      </w:r>
    </w:p>
    <w:p>
      <w:pPr>
        <w:pStyle w:val="SubHead"/>
      </w:pPr>
      <w:r>
        <w:rPr>
          <w:rFonts w:ascii="Calibri" w:cs="Calibri" w:eastAsia="Calibri" w:hAnsi="Calibri"/>
          <w:b/>
          <w:bCs/>
          <w:color w:val="1A3A5C"/>
          <w:sz w:val="24"/>
          <w:szCs w:val="24"/>
        </w:rPr>
        <w:t xml:space="preserve">Trend 4: South India as the Strategic Bellwether</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High</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Bengaluru alone accounts for ~20% of national food delivery orders. South India commands 35% of national cloud kitchen revenue. The region functions as the primary testing ground for competitive innovation — Rapido's Ownly, Zepto Cafe, and Magicpin MagicNow are all stress-testing models in southern cities first. Zomato has been narrowing the competitive gap with Swiggy in southern cities, demonstrating that entrenched positions are contestable.</w:t>
      </w:r>
    </w:p>
    <w:p>
      <w:pPr>
        <w:pStyle w:val="SubHead"/>
      </w:pPr>
      <w:r>
        <w:rPr>
          <w:rFonts w:ascii="Calibri" w:cs="Calibri" w:eastAsia="Calibri" w:hAnsi="Calibri"/>
          <w:b/>
          <w:bCs/>
          <w:color w:val="1A3A5C"/>
          <w:sz w:val="24"/>
          <w:szCs w:val="24"/>
        </w:rPr>
        <w:t xml:space="preserve">Trend 5: Tier-2/3 Digital Infrastructure Enabling Expansion</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Medium</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India's 660M smartphone users and 16–17B monthly UPI transactions create a massive addressable market. Rural smartphone adoption surged 40% between 2020–2024, with tier-2/3 cities accounting for 70%+ of new smartphone sales. Meal delivery user penetration is projected at 21.5% nationally in 2026.</w:t>
      </w:r>
    </w:p>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3  </w:t>
            </w:r>
            <w:r>
              <w:rPr>
                <w:rFonts w:ascii="Calibri" w:cs="Calibri" w:eastAsia="Calibri" w:hAnsi="Calibri"/>
                <w:b/>
                <w:bCs/>
                <w:color w:val="FFFFFF"/>
                <w:sz w:val="28"/>
                <w:szCs w:val="28"/>
              </w:rPr>
              <w:t xml:space="preserve">Customer and Cuisine Trends</w:t>
            </w:r>
          </w:p>
        </w:tc>
      </w:tr>
    </w:tbl>
    <w:p>
      <w:pPr>
        <w:spacing w:after="0" w:before="120"/>
      </w:pPr>
      <w:r>
        <w:t xml:space="preserve"/>
      </w:r>
    </w:p>
    <w:p>
      <w:pPr>
        <w:pStyle w:val="SubHead"/>
      </w:pPr>
      <w:r>
        <w:rPr>
          <w:rFonts w:ascii="Calibri" w:cs="Calibri" w:eastAsia="Calibri" w:hAnsi="Calibri"/>
          <w:b/>
          <w:bCs/>
          <w:color w:val="1A3A5C"/>
          <w:sz w:val="24"/>
          <w:szCs w:val="24"/>
        </w:rPr>
        <w:t xml:space="preserve">External Research Findings</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Medium-High</w:t>
      </w:r>
      <w:r>
        <w:rPr>
          <w:rFonts w:ascii="Calibri" w:cs="Calibri" w:eastAsia="Calibri" w:hAnsi="Calibri"/>
          <w:b/>
          <w:bCs/>
          <w:color w:val="2563EB"/>
          <w:sz w:val="18"/>
          <w:szCs w:val="18"/>
        </w:rPr>
        <w:t xml:space="preserve">]</w:t>
      </w:r>
    </w:p>
    <w:p>
      <w:pPr>
        <w:pStyle w:val="ListParagraph"/>
        <w:numPr>
          <w:ilvl w:val="0"/>
          <w:numId w:val="2"/>
        </w:numPr>
        <w:spacing w:after="40" w:before="40"/>
      </w:pPr>
      <w:r>
        <w:rPr>
          <w:rFonts w:ascii="Calibri" w:cs="Calibri" w:eastAsia="Calibri" w:hAnsi="Calibri"/>
          <w:sz w:val="22"/>
          <w:szCs w:val="22"/>
        </w:rPr>
        <w:t xml:space="preserve">Biryani dominates nationally: Swiggy's 2025 annual report recorded 93 million biryani orders (≈194/minute), with chicken biryani leading at 57.7M orders — heavily driven by Hyderabad and South Indian cities.</w:t>
      </w:r>
    </w:p>
    <w:p>
      <w:pPr>
        <w:pStyle w:val="ListParagraph"/>
        <w:numPr>
          <w:ilvl w:val="0"/>
          <w:numId w:val="2"/>
        </w:numPr>
        <w:spacing w:after="40" w:before="40"/>
      </w:pPr>
      <w:r>
        <w:rPr>
          <w:rFonts w:ascii="Calibri" w:cs="Calibri" w:eastAsia="Calibri" w:hAnsi="Calibri"/>
          <w:sz w:val="22"/>
          <w:szCs w:val="22"/>
        </w:rPr>
        <w:t xml:space="preserve">Average order values remain low: $5.20–$5.40 (~₹430–450), reflecting the price-sensitive nature of Indian consumers.</w:t>
      </w:r>
    </w:p>
    <w:p>
      <w:pPr>
        <w:pStyle w:val="ListParagraph"/>
        <w:numPr>
          <w:ilvl w:val="0"/>
          <w:numId w:val="2"/>
        </w:numPr>
        <w:spacing w:after="40" w:before="40"/>
      </w:pPr>
      <w:r>
        <w:rPr>
          <w:rFonts w:ascii="Calibri" w:cs="Calibri" w:eastAsia="Calibri" w:hAnsi="Calibri"/>
          <w:sz w:val="22"/>
          <w:szCs w:val="22"/>
        </w:rPr>
        <w:t xml:space="preserve">Loyalty programs are central to retention: Zomato Gold (7.4M) and Swiggy One (5.7M) subscribers represent the stickiest customer segments.</w:t>
      </w:r>
    </w:p>
    <w:p>
      <w:pPr>
        <w:pStyle w:val="ListParagraph"/>
        <w:numPr>
          <w:ilvl w:val="0"/>
          <w:numId w:val="2"/>
        </w:numPr>
        <w:spacing w:after="40" w:before="40"/>
      </w:pPr>
      <w:r>
        <w:rPr>
          <w:rFonts w:ascii="Calibri" w:cs="Calibri" w:eastAsia="Calibri" w:hAnsi="Calibri"/>
          <w:sz w:val="22"/>
          <w:szCs w:val="22"/>
        </w:rPr>
        <w:t xml:space="preserve">Multi-service adoption growing: 35% of Swiggy users utilize more than one platform service.</w:t>
      </w:r>
    </w:p>
    <w:p>
      <w:pPr>
        <w:spacing w:after="0" w:before="120"/>
      </w:pPr>
      <w:r>
        <w:t xml:space="preserve"/>
      </w:r>
    </w:p>
    <w:p>
      <w:pPr>
        <w:pStyle w:val="SubHead"/>
      </w:pPr>
      <w:r>
        <w:rPr>
          <w:rFonts w:ascii="Calibri" w:cs="Calibri" w:eastAsia="Calibri" w:hAnsi="Calibri"/>
          <w:b/>
          <w:bCs/>
          <w:color w:val="1A3A5C"/>
          <w:sz w:val="24"/>
          <w:szCs w:val="24"/>
        </w:rPr>
        <w:t xml:space="preserve">Internal Dataset Findings</w:t>
      </w:r>
    </w:p>
    <w:p>
      <w:pPr>
        <w:spacing w:after="100" w:before="0"/>
      </w:pPr>
      <w:r>
        <w:rPr>
          <w:rFonts w:ascii="Calibri" w:cs="Calibri" w:eastAsia="Calibri" w:hAnsi="Calibri"/>
          <w:b/>
          <w:bCs/>
          <w:color w:val="2563EB"/>
          <w:sz w:val="18"/>
          <w:szCs w:val="18"/>
        </w:rPr>
        <w:t xml:space="preserve">[Dataset | Confidence: </w:t>
      </w:r>
      <w:r>
        <w:rPr>
          <w:rFonts w:ascii="Calibri" w:cs="Calibri" w:eastAsia="Calibri" w:hAnsi="Calibri"/>
          <w:b/>
          <w:bCs/>
          <w:color w:val="DC2626"/>
          <w:sz w:val="18"/>
          <w:szCs w:val="18"/>
        </w:rPr>
        <w:t xml:space="preserve">Low</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The dataset records 20,000 orders from 20,000 unique customers (no repeat purchases) across 21 food items and 5 preferred cuisine categories. Key descriptive statistics:</w:t>
      </w:r>
    </w:p>
    <w:p>
      <w:pPr>
        <w:spacing w:after="0" w:before="80"/>
      </w:pPr>
      <w:r>
        <w:t xml:space="preserve"/>
      </w:r>
    </w:p>
    <w:p>
      <w:pPr>
        <w:pStyle w:val="SubHead"/>
      </w:pPr>
      <w:r>
        <w:rPr>
          <w:rFonts w:ascii="Calibri" w:cs="Calibri" w:eastAsia="Calibri" w:hAnsi="Calibri"/>
          <w:b/>
          <w:bCs/>
          <w:color w:val="1A3A5C"/>
          <w:sz w:val="22"/>
          <w:szCs w:val="22"/>
        </w:rPr>
        <w:t xml:space="preserve">Food Items — Top 10 by 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2340"/>
        <w:gridCol w:w="1880"/>
      </w:tblGrid>
      <w:tr>
        <w:trPr>
          <w:tblHeader/>
        </w:trPr>
        <w:tc>
          <w:tcPr>
            <w:tcW w:type="dxa" w:w="234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Food Item</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Orders</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Share (%)</w:t>
            </w:r>
          </w:p>
        </w:tc>
        <w:tc>
          <w:tcPr>
            <w:tcW w:type="dxa" w:w="234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Order Value</w:t>
            </w:r>
          </w:p>
        </w:tc>
        <w:tc>
          <w:tcPr>
            <w:tcW w:type="dxa" w:w="188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Rating</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Pasta</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1,884</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9.4%</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₹27.72</w:t>
            </w:r>
          </w:p>
        </w:tc>
        <w:tc>
          <w:tcPr>
            <w:tcW w:type="dxa" w:w="188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3.04</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Whole cake</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958</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4.8%</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₹26.96</w:t>
            </w:r>
          </w:p>
        </w:tc>
        <w:tc>
          <w:tcPr>
            <w:tcW w:type="dxa" w:w="188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3.01</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Soup</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948</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4.7%</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₹26.82</w:t>
            </w:r>
          </w:p>
        </w:tc>
        <w:tc>
          <w:tcPr>
            <w:tcW w:type="dxa" w:w="188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2.93</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Cup cake</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944</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4.7%</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₹27.92</w:t>
            </w:r>
          </w:p>
        </w:tc>
        <w:tc>
          <w:tcPr>
            <w:tcW w:type="dxa" w:w="188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3.00</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Chicken rice</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934</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4.7%</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₹27.69</w:t>
            </w:r>
          </w:p>
        </w:tc>
        <w:tc>
          <w:tcPr>
            <w:tcW w:type="dxa" w:w="188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2.97</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Beef pie</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934</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4.7%</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₹27.26</w:t>
            </w:r>
          </w:p>
        </w:tc>
        <w:tc>
          <w:tcPr>
            <w:tcW w:type="dxa" w:w="188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3.04</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Cookie</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930</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4.6%</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₹27.35</w:t>
            </w:r>
          </w:p>
        </w:tc>
        <w:tc>
          <w:tcPr>
            <w:tcW w:type="dxa" w:w="188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3.10</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Coffee/Boba tea</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922</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4.6%</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₹27.65</w:t>
            </w:r>
          </w:p>
        </w:tc>
        <w:tc>
          <w:tcPr>
            <w:tcW w:type="dxa" w:w="188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3.03</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Chicken wings</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918</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4.6%</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₹27.00</w:t>
            </w:r>
          </w:p>
        </w:tc>
        <w:tc>
          <w:tcPr>
            <w:tcW w:type="dxa" w:w="188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3.15</w:t>
            </w:r>
          </w:p>
        </w:tc>
      </w:tr>
      <w:tr>
        <w:trPr>
          <w:tblHeader w:val="false"/>
        </w:trPr>
        <w:tc>
          <w:tcPr>
            <w:tcW w:type="dxa" w:w="234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Pizza</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916</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4.6%</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₹27.90</w:t>
            </w:r>
          </w:p>
        </w:tc>
        <w:tc>
          <w:tcPr>
            <w:tcW w:type="dxa" w:w="188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2.96</w:t>
            </w:r>
          </w:p>
        </w:tc>
      </w:tr>
    </w:tbl>
    <w:p>
      <w:pPr>
        <w:spacing w:after="0" w:before="120"/>
      </w:pPr>
      <w:r>
        <w:t xml:space="preserve"/>
      </w:r>
    </w:p>
    <w:p>
      <w:pPr>
        <w:pStyle w:val="SubHead"/>
      </w:pPr>
      <w:r>
        <w:rPr>
          <w:rFonts w:ascii="Calibri" w:cs="Calibri" w:eastAsia="Calibri" w:hAnsi="Calibri"/>
          <w:b/>
          <w:bCs/>
          <w:color w:val="1A3A5C"/>
          <w:sz w:val="22"/>
          <w:szCs w:val="22"/>
        </w:rPr>
        <w:t xml:space="preserve">Preferred Cuisine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2340"/>
        <w:gridCol w:w="2120"/>
      </w:tblGrid>
      <w:tr>
        <w:trPr>
          <w:tblHeader/>
        </w:trPr>
        <w:tc>
          <w:tcPr>
            <w:tcW w:type="dxa" w:w="21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Preferred Cuisine</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Orders</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Share (%)</w:t>
            </w:r>
          </w:p>
        </w:tc>
        <w:tc>
          <w:tcPr>
            <w:tcW w:type="dxa" w:w="234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Order Value</w:t>
            </w:r>
          </w:p>
        </w:tc>
        <w:tc>
          <w:tcPr>
            <w:tcW w:type="dxa" w:w="212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Satisfaction</w:t>
            </w:r>
          </w:p>
        </w:tc>
      </w:tr>
      <w:tr>
        <w:trPr>
          <w:tblHeader w:val="false"/>
        </w:trPr>
        <w:tc>
          <w:tcPr>
            <w:tcW w:type="dxa" w:w="21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Asian</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4,088</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20.4%</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₹27.54</w:t>
            </w:r>
          </w:p>
        </w:tc>
        <w:tc>
          <w:tcPr>
            <w:tcW w:type="dxa" w:w="212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2.96</w:t>
            </w:r>
          </w:p>
        </w:tc>
      </w:tr>
      <w:tr>
        <w:trPr>
          <w:tblHeader w:val="false"/>
        </w:trPr>
        <w:tc>
          <w:tcPr>
            <w:tcW w:type="dxa" w:w="21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Mexican</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4,024</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20.1%</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₹27.39</w:t>
            </w:r>
          </w:p>
        </w:tc>
        <w:tc>
          <w:tcPr>
            <w:tcW w:type="dxa" w:w="212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2.99</w:t>
            </w:r>
          </w:p>
        </w:tc>
      </w:tr>
      <w:tr>
        <w:trPr>
          <w:tblHeader w:val="false"/>
        </w:trPr>
        <w:tc>
          <w:tcPr>
            <w:tcW w:type="dxa" w:w="21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American</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3,978</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19.9%</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₹27.05</w:t>
            </w:r>
          </w:p>
        </w:tc>
        <w:tc>
          <w:tcPr>
            <w:tcW w:type="dxa" w:w="212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2.91</w:t>
            </w:r>
          </w:p>
        </w:tc>
      </w:tr>
      <w:tr>
        <w:trPr>
          <w:tblHeader w:val="false"/>
        </w:trPr>
        <w:tc>
          <w:tcPr>
            <w:tcW w:type="dxa" w:w="21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Italian</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3,960</w:t>
            </w:r>
          </w:p>
        </w:tc>
        <w:tc>
          <w:tcPr>
            <w:tcW w:type="dxa" w:w="140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19.8%</w:t>
            </w:r>
          </w:p>
        </w:tc>
        <w:tc>
          <w:tcPr>
            <w:tcW w:type="dxa" w:w="234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₹27.49</w:t>
            </w:r>
          </w:p>
        </w:tc>
        <w:tc>
          <w:tcPr>
            <w:tcW w:type="dxa" w:w="2120"/>
            <w:tcBorders>
              <w:top w:val="single" w:color="CBD5E1" w:sz="6"/>
              <w:left w:val="single" w:color="CBD5E1" w:sz="6"/>
              <w:bottom w:val="single" w:color="CBD5E1" w:sz="6"/>
              <w:right w:val="single" w:color="CBD5E1" w:sz="6"/>
            </w:tcBorders>
            <w:shd w:fill="F8F8F8" w:val="clear"/>
          </w:tcPr>
          <w:p>
            <w:pPr>
              <w:spacing w:after="60" w:before="60"/>
              <w:jc w:val="right"/>
            </w:pPr>
            <w:r>
              <w:rPr>
                <w:rFonts w:ascii="Calibri" w:cs="Calibri" w:eastAsia="Calibri" w:hAnsi="Calibri"/>
                <w:b w:val="false"/>
                <w:bCs w:val="false"/>
                <w:color w:val="222222"/>
                <w:sz w:val="20"/>
                <w:szCs w:val="20"/>
              </w:rPr>
              <w:t xml:space="preserve">3.00</w:t>
            </w:r>
          </w:p>
        </w:tc>
      </w:tr>
      <w:tr>
        <w:trPr>
          <w:tblHeader w:val="false"/>
        </w:trPr>
        <w:tc>
          <w:tcPr>
            <w:tcW w:type="dxa" w:w="21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Mediterranean</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3,950</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19.8%</w:t>
            </w:r>
          </w:p>
        </w:tc>
        <w:tc>
          <w:tcPr>
            <w:tcW w:type="dxa" w:w="234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₹27.20</w:t>
            </w:r>
          </w:p>
        </w:tc>
        <w:tc>
          <w:tcPr>
            <w:tcW w:type="dxa" w:w="212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3.02</w:t>
            </w:r>
          </w:p>
        </w:tc>
      </w:tr>
    </w:tbl>
    <w:p>
      <w:pPr>
        <w:spacing w:after="0" w:before="120"/>
      </w:pPr>
      <w:r>
        <w:t xml:space="preserve"/>
      </w:r>
    </w:p>
    <w:p>
      <w:pPr>
        <w:pStyle w:val="SubHead"/>
      </w:pPr>
      <w:r>
        <w:rPr>
          <w:rFonts w:ascii="Calibri" w:cs="Calibri" w:eastAsia="Calibri" w:hAnsi="Calibri"/>
          <w:b/>
          <w:bCs/>
          <w:color w:val="1A3A5C"/>
          <w:sz w:val="22"/>
          <w:szCs w:val="22"/>
        </w:rPr>
        <w:t xml:space="preserve">Customer Demographics (Dataset)</w:t>
      </w:r>
    </w:p>
    <w:p>
      <w:pPr>
        <w:pStyle w:val="ListParagraph"/>
        <w:numPr>
          <w:ilvl w:val="0"/>
          <w:numId w:val="2"/>
        </w:numPr>
        <w:spacing w:after="40" w:before="40"/>
      </w:pPr>
      <w:r>
        <w:rPr>
          <w:rFonts w:ascii="Calibri" w:cs="Calibri" w:eastAsia="Calibri" w:hAnsi="Calibri"/>
          <w:sz w:val="22"/>
          <w:szCs w:val="22"/>
        </w:rPr>
        <w:t xml:space="preserve">Age range: 18–60 (mean 38.9); the 26–35 and 36–45 age groups each contribute ~23% of orders.</w:t>
      </w:r>
    </w:p>
    <w:p>
      <w:pPr>
        <w:pStyle w:val="ListParagraph"/>
        <w:numPr>
          <w:ilvl w:val="0"/>
          <w:numId w:val="2"/>
        </w:numPr>
        <w:spacing w:after="40" w:before="40"/>
      </w:pPr>
      <w:r>
        <w:rPr>
          <w:rFonts w:ascii="Calibri" w:cs="Calibri" w:eastAsia="Calibri" w:hAnsi="Calibri"/>
          <w:sz w:val="22"/>
          <w:szCs w:val="22"/>
        </w:rPr>
        <w:t xml:space="preserve">Gender: Female 33.3%, Male 32.8%, Other 33.9% — near-perfectly uniform.</w:t>
      </w:r>
    </w:p>
    <w:p>
      <w:pPr>
        <w:pStyle w:val="ListParagraph"/>
        <w:numPr>
          <w:ilvl w:val="0"/>
          <w:numId w:val="2"/>
        </w:numPr>
        <w:spacing w:after="40" w:before="40"/>
      </w:pPr>
      <w:r>
        <w:rPr>
          <w:rFonts w:ascii="Calibri" w:cs="Calibri" w:eastAsia="Calibri" w:hAnsi="Calibri"/>
          <w:sz w:val="22"/>
          <w:szCs w:val="22"/>
        </w:rPr>
        <w:t xml:space="preserve">Order frequency: Weekly 50.2%, Monthly 49.8%.</w:t>
      </w:r>
    </w:p>
    <w:p>
      <w:pPr>
        <w:pStyle w:val="ListParagraph"/>
        <w:numPr>
          <w:ilvl w:val="0"/>
          <w:numId w:val="2"/>
        </w:numPr>
        <w:spacing w:after="40" w:before="40"/>
      </w:pPr>
      <w:r>
        <w:rPr>
          <w:rFonts w:ascii="Calibri" w:cs="Calibri" w:eastAsia="Calibri" w:hAnsi="Calibri"/>
          <w:sz w:val="22"/>
          <w:szCs w:val="22"/>
        </w:rPr>
        <w:t xml:space="preserve">Loyalty program: 50.1% enrolled — but loyalty members show virtually no difference in order value (₹27.40 vs ₹27.27), satisfaction (2.96 vs 2.99), or order history (25.76 vs 25.74) compared to non-members.</w:t>
      </w:r>
    </w:p>
    <w:p>
      <w:pPr>
        <w:spacing w:after="0" w:before="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6"/>
            </w:tcBorders>
            <w:shd w:fill="FFFBEB" w:val="clear"/>
          </w:tcPr>
          <w:p>
            <w:pPr>
              <w:spacing w:after="40" w:before="40"/>
              <w:ind w:left="160"/>
            </w:pPr>
            <w:r>
              <w:rPr>
                <w:rFonts w:ascii="Calibri" w:cs="Calibri" w:eastAsia="Calibri" w:hAnsi="Calibri"/>
                <w:color w:val="7A3800"/>
                <w:sz w:val="20"/>
                <w:szCs w:val="20"/>
              </w:rPr>
              <w:t xml:space="preserve">⚠️  Dataset Limitation: The cuisine categories (Mexican, Italian, Asian, American, Mediterranean) contain no Indian cuisine</w:t>
            </w:r>
          </w:p>
          <w:p>
            <w:pPr>
              <w:spacing w:after="40" w:before="40"/>
              <w:ind w:left="160"/>
            </w:pPr>
            <w:r>
              <w:rPr>
                <w:rFonts w:ascii="Calibri" w:cs="Calibri" w:eastAsia="Calibri" w:hAnsi="Calibri"/>
                <w:color w:val="7A3800"/>
                <w:sz w:val="20"/>
                <w:szCs w:val="20"/>
              </w:rPr>
              <w:t xml:space="preserve">category — a significant implausibility for an Indian market dataset. Food items include Beef pie, Sushi, and Burritos, which are</w:t>
            </w:r>
          </w:p>
          <w:p>
            <w:pPr>
              <w:spacing w:after="40" w:before="40"/>
              <w:ind w:left="160"/>
            </w:pPr>
            <w:r>
              <w:rPr>
                <w:rFonts w:ascii="Calibri" w:cs="Calibri" w:eastAsia="Calibri" w:hAnsi="Calibri"/>
                <w:color w:val="7A3800"/>
                <w:sz w:val="20"/>
                <w:szCs w:val="20"/>
              </w:rPr>
              <w:t xml:space="preserve">atypical for Indian food delivery. The near-uniform distribution across all categories (chi-square p=0.52 for cuisine) and the</w:t>
            </w:r>
          </w:p>
          <w:p>
            <w:pPr>
              <w:spacing w:after="40" w:before="40"/>
              <w:ind w:left="160"/>
            </w:pPr>
            <w:r>
              <w:rPr>
                <w:rFonts w:ascii="Calibri" w:cs="Calibri" w:eastAsia="Calibri" w:hAnsi="Calibri"/>
                <w:color w:val="7A3800"/>
                <w:sz w:val="20"/>
                <w:szCs w:val="20"/>
              </w:rPr>
              <w:t xml:space="preserve">absence of repeat customers (20,000 unique customers for 20,000 orders) confirm synthetic generation. These findings cannot</w:t>
            </w:r>
          </w:p>
          <w:p>
            <w:pPr>
              <w:spacing w:after="40" w:before="40"/>
              <w:ind w:left="160"/>
            </w:pPr>
            <w:r>
              <w:rPr>
                <w:rFonts w:ascii="Calibri" w:cs="Calibri" w:eastAsia="Calibri" w:hAnsi="Calibri"/>
                <w:color w:val="7A3800"/>
                <w:sz w:val="20"/>
                <w:szCs w:val="20"/>
              </w:rPr>
              <w:t xml:space="preserve">be used to draw conclusions about real Indian consumer preferences.</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4  </w:t>
            </w:r>
            <w:r>
              <w:rPr>
                <w:rFonts w:ascii="Calibri" w:cs="Calibri" w:eastAsia="Calibri" w:hAnsi="Calibri"/>
                <w:b/>
                <w:bCs/>
                <w:color w:val="FFFFFF"/>
                <w:sz w:val="28"/>
                <w:szCs w:val="28"/>
              </w:rPr>
              <w:t xml:space="preserve">Location / Regional Insights</w:t>
            </w:r>
          </w:p>
        </w:tc>
      </w:tr>
    </w:tbl>
    <w:p>
      <w:pPr>
        <w:spacing w:after="0" w:before="120"/>
      </w:pPr>
      <w:r>
        <w:t xml:space="preserve"/>
      </w:r>
    </w:p>
    <w:p>
      <w:pPr>
        <w:pStyle w:val="SubHead"/>
      </w:pPr>
      <w:r>
        <w:rPr>
          <w:rFonts w:ascii="Calibri" w:cs="Calibri" w:eastAsia="Calibri" w:hAnsi="Calibri"/>
          <w:b/>
          <w:bCs/>
          <w:color w:val="1A3A5C"/>
          <w:sz w:val="24"/>
          <w:szCs w:val="24"/>
        </w:rPr>
        <w:t xml:space="preserve">Dataset Cities and Descriptive Statistics</w:t>
      </w:r>
    </w:p>
    <w:p>
      <w:pPr>
        <w:spacing w:after="100" w:before="0"/>
      </w:pPr>
      <w:r>
        <w:rPr>
          <w:rFonts w:ascii="Calibri" w:cs="Calibri" w:eastAsia="Calibri" w:hAnsi="Calibri"/>
          <w:b/>
          <w:bCs/>
          <w:color w:val="2563EB"/>
          <w:sz w:val="18"/>
          <w:szCs w:val="18"/>
        </w:rPr>
        <w:t xml:space="preserve">[Dataset | Confidence: </w:t>
      </w:r>
      <w:r>
        <w:rPr>
          <w:rFonts w:ascii="Calibri" w:cs="Calibri" w:eastAsia="Calibri" w:hAnsi="Calibri"/>
          <w:b/>
          <w:bCs/>
          <w:color w:val="DC2626"/>
          <w:sz w:val="18"/>
          <w:szCs w:val="18"/>
        </w:rPr>
        <w:t xml:space="preserve">Low</w:t>
      </w:r>
      <w:r>
        <w:rPr>
          <w:rFonts w:ascii="Calibri" w:cs="Calibri" w:eastAsia="Calibri" w:hAnsi="Calibri"/>
          <w:b/>
          <w:bCs/>
          <w:color w:val="2563EB"/>
          <w:sz w:val="18"/>
          <w:szCs w:val="18"/>
        </w:rPr>
        <w:t xml:space="preserve">]</w:t>
      </w:r>
    </w:p>
    <w:p>
      <w:pPr>
        <w:pStyle w:val="BodyText"/>
        <w:spacing/>
      </w:pPr>
      <w:r>
        <w:rPr>
          <w:rFonts w:ascii="Calibri" w:cs="Calibri" w:eastAsia="Calibri" w:hAnsi="Calibri"/>
          <w:b w:val="false"/>
          <w:bCs w:val="false"/>
          <w:color w:val="222222"/>
          <w:sz w:val="22"/>
          <w:szCs w:val="22"/>
        </w:rPr>
        <w:t xml:space="preserve">The dataset covers 10 Indian cities. All show near-identical metrics due to the synthetic nature of the data:</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1200"/>
        <w:gridCol w:w="1100"/>
        <w:gridCol w:w="1000"/>
        <w:gridCol w:w="1300"/>
        <w:gridCol w:w="1560"/>
      </w:tblGrid>
      <w:tr>
        <w:trPr>
          <w:tblHeader/>
        </w:trPr>
        <w:tc>
          <w:tcPr>
            <w:tcW w:type="dxa" w:w="13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City</w:t>
            </w:r>
          </w:p>
        </w:tc>
        <w:tc>
          <w:tcPr>
            <w:tcW w:type="dxa" w:w="9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Orders</w:t>
            </w:r>
          </w:p>
        </w:tc>
        <w:tc>
          <w:tcPr>
            <w:tcW w:type="dxa" w:w="9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Share</w:t>
            </w:r>
          </w:p>
        </w:tc>
        <w:tc>
          <w:tcPr>
            <w:tcW w:type="dxa" w:w="12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Order Value</w:t>
            </w:r>
          </w:p>
        </w:tc>
        <w:tc>
          <w:tcPr>
            <w:tcW w:type="dxa" w:w="11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Delay (min)</w:t>
            </w:r>
          </w:p>
        </w:tc>
        <w:tc>
          <w:tcPr>
            <w:tcW w:type="dxa" w:w="10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Rating</w:t>
            </w:r>
          </w:p>
        </w:tc>
        <w:tc>
          <w:tcPr>
            <w:tcW w:type="dxa" w:w="13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Avg Satisfaction</w:t>
            </w:r>
          </w:p>
        </w:tc>
        <w:tc>
          <w:tcPr>
            <w:tcW w:type="dxa" w:w="156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Loyalty (%)</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Ahmedabad</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2,051</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10.3%</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₹27.45</w:t>
            </w:r>
          </w:p>
        </w:tc>
        <w:tc>
          <w:tcPr>
            <w:tcW w:type="dxa" w:w="11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5.01</w:t>
            </w:r>
          </w:p>
        </w:tc>
        <w:tc>
          <w:tcPr>
            <w:tcW w:type="dxa" w:w="10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3.09</w:t>
            </w:r>
          </w:p>
        </w:tc>
        <w:tc>
          <w:tcPr>
            <w:tcW w:type="dxa" w:w="13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2.96</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50.6%</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Kolkata</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2,032</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10.2%</w:t>
            </w:r>
          </w:p>
        </w:tc>
        <w:tc>
          <w:tcPr>
            <w:tcW w:type="dxa" w:w="12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₹27.20</w:t>
            </w:r>
          </w:p>
        </w:tc>
        <w:tc>
          <w:tcPr>
            <w:tcW w:type="dxa" w:w="11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4.77</w:t>
            </w:r>
          </w:p>
        </w:tc>
        <w:tc>
          <w:tcPr>
            <w:tcW w:type="dxa" w:w="10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3.05</w:t>
            </w:r>
          </w:p>
        </w:tc>
        <w:tc>
          <w:tcPr>
            <w:tcW w:type="dxa" w:w="13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2.97</w:t>
            </w:r>
          </w:p>
        </w:tc>
        <w:tc>
          <w:tcPr>
            <w:tcW w:type="dxa" w:w="156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51.2%</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Delhi</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2,027</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10.1%</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₹27.15</w:t>
            </w:r>
          </w:p>
        </w:tc>
        <w:tc>
          <w:tcPr>
            <w:tcW w:type="dxa" w:w="11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5.20</w:t>
            </w:r>
          </w:p>
        </w:tc>
        <w:tc>
          <w:tcPr>
            <w:tcW w:type="dxa" w:w="10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2.99</w:t>
            </w:r>
          </w:p>
        </w:tc>
        <w:tc>
          <w:tcPr>
            <w:tcW w:type="dxa" w:w="13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3.06</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50.0%</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Pune</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2,026</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10.1%</w:t>
            </w:r>
          </w:p>
        </w:tc>
        <w:tc>
          <w:tcPr>
            <w:tcW w:type="dxa" w:w="12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₹27.29</w:t>
            </w:r>
          </w:p>
        </w:tc>
        <w:tc>
          <w:tcPr>
            <w:tcW w:type="dxa" w:w="11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4.78</w:t>
            </w:r>
          </w:p>
        </w:tc>
        <w:tc>
          <w:tcPr>
            <w:tcW w:type="dxa" w:w="10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3.03</w:t>
            </w:r>
          </w:p>
        </w:tc>
        <w:tc>
          <w:tcPr>
            <w:tcW w:type="dxa" w:w="13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2.97</w:t>
            </w:r>
          </w:p>
        </w:tc>
        <w:tc>
          <w:tcPr>
            <w:tcW w:type="dxa" w:w="156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50.1%</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Jaipur</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2,013</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10.1%</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₹27.68</w:t>
            </w:r>
          </w:p>
        </w:tc>
        <w:tc>
          <w:tcPr>
            <w:tcW w:type="dxa" w:w="11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5.33</w:t>
            </w:r>
          </w:p>
        </w:tc>
        <w:tc>
          <w:tcPr>
            <w:tcW w:type="dxa" w:w="10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3.07</w:t>
            </w:r>
          </w:p>
        </w:tc>
        <w:tc>
          <w:tcPr>
            <w:tcW w:type="dxa" w:w="13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2.92</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48.2%</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Chennai</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1,998</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10.0%</w:t>
            </w:r>
          </w:p>
        </w:tc>
        <w:tc>
          <w:tcPr>
            <w:tcW w:type="dxa" w:w="12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₹26.79</w:t>
            </w:r>
          </w:p>
        </w:tc>
        <w:tc>
          <w:tcPr>
            <w:tcW w:type="dxa" w:w="11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4.73</w:t>
            </w:r>
          </w:p>
        </w:tc>
        <w:tc>
          <w:tcPr>
            <w:tcW w:type="dxa" w:w="10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3.03</w:t>
            </w:r>
          </w:p>
        </w:tc>
        <w:tc>
          <w:tcPr>
            <w:tcW w:type="dxa" w:w="13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3.04</w:t>
            </w:r>
          </w:p>
        </w:tc>
        <w:tc>
          <w:tcPr>
            <w:tcW w:type="dxa" w:w="156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50.2%</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Mumbai</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1,980</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9.9%</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₹27.60</w:t>
            </w:r>
          </w:p>
        </w:tc>
        <w:tc>
          <w:tcPr>
            <w:tcW w:type="dxa" w:w="11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5.00</w:t>
            </w:r>
          </w:p>
        </w:tc>
        <w:tc>
          <w:tcPr>
            <w:tcW w:type="dxa" w:w="10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3.02</w:t>
            </w:r>
          </w:p>
        </w:tc>
        <w:tc>
          <w:tcPr>
            <w:tcW w:type="dxa" w:w="13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2.96</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48.9%</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Hyderabad</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1,973</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9.9%</w:t>
            </w:r>
          </w:p>
        </w:tc>
        <w:tc>
          <w:tcPr>
            <w:tcW w:type="dxa" w:w="12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₹27.80</w:t>
            </w:r>
          </w:p>
        </w:tc>
        <w:tc>
          <w:tcPr>
            <w:tcW w:type="dxa" w:w="11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4.79</w:t>
            </w:r>
          </w:p>
        </w:tc>
        <w:tc>
          <w:tcPr>
            <w:tcW w:type="dxa" w:w="10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3.04</w:t>
            </w:r>
          </w:p>
        </w:tc>
        <w:tc>
          <w:tcPr>
            <w:tcW w:type="dxa" w:w="13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2.96</w:t>
            </w:r>
          </w:p>
        </w:tc>
        <w:tc>
          <w:tcPr>
            <w:tcW w:type="dxa" w:w="156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49.7%</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Bangalore</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1,968</w:t>
            </w:r>
          </w:p>
        </w:tc>
        <w:tc>
          <w:tcPr>
            <w:tcW w:type="dxa" w:w="9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9.8%</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₹27.37</w:t>
            </w:r>
          </w:p>
        </w:tc>
        <w:tc>
          <w:tcPr>
            <w:tcW w:type="dxa" w:w="11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5.06</w:t>
            </w:r>
          </w:p>
        </w:tc>
        <w:tc>
          <w:tcPr>
            <w:tcW w:type="dxa" w:w="10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2.94</w:t>
            </w:r>
          </w:p>
        </w:tc>
        <w:tc>
          <w:tcPr>
            <w:tcW w:type="dxa" w:w="130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2.94</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right"/>
            </w:pPr>
            <w:r>
              <w:rPr>
                <w:rFonts w:ascii="Calibri" w:cs="Calibri" w:eastAsia="Calibri" w:hAnsi="Calibri"/>
                <w:b w:val="false"/>
                <w:bCs w:val="false"/>
                <w:color w:val="222222"/>
                <w:sz w:val="20"/>
                <w:szCs w:val="20"/>
              </w:rPr>
              <w:t xml:space="preserve">49.8%</w:t>
            </w:r>
          </w:p>
        </w:tc>
      </w:tr>
      <w:tr>
        <w:trPr>
          <w:tblHeader w:val="false"/>
        </w:trPr>
        <w:tc>
          <w:tcPr>
            <w:tcW w:type="dxa" w:w="13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Lucknow</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1,932</w:t>
            </w:r>
          </w:p>
        </w:tc>
        <w:tc>
          <w:tcPr>
            <w:tcW w:type="dxa" w:w="9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9.7%</w:t>
            </w:r>
          </w:p>
        </w:tc>
        <w:tc>
          <w:tcPr>
            <w:tcW w:type="dxa" w:w="12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₹27.01</w:t>
            </w:r>
          </w:p>
        </w:tc>
        <w:tc>
          <w:tcPr>
            <w:tcW w:type="dxa" w:w="11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4.86</w:t>
            </w:r>
          </w:p>
        </w:tc>
        <w:tc>
          <w:tcPr>
            <w:tcW w:type="dxa" w:w="10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3.02</w:t>
            </w:r>
          </w:p>
        </w:tc>
        <w:tc>
          <w:tcPr>
            <w:tcW w:type="dxa" w:w="130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2.97</w:t>
            </w:r>
          </w:p>
        </w:tc>
        <w:tc>
          <w:tcPr>
            <w:tcW w:type="dxa" w:w="1560"/>
            <w:tcBorders>
              <w:top w:val="single" w:color="CBD5E1" w:sz="6"/>
              <w:left w:val="single" w:color="CBD5E1" w:sz="6"/>
              <w:bottom w:val="single" w:color="CBD5E1" w:sz="6"/>
              <w:right w:val="single" w:color="CBD5E1" w:sz="6"/>
            </w:tcBorders>
            <w:shd w:fill="F8FAFC" w:val="clear"/>
          </w:tcPr>
          <w:p>
            <w:pPr>
              <w:spacing w:after="60" w:before="60"/>
              <w:jc w:val="right"/>
            </w:pPr>
            <w:r>
              <w:rPr>
                <w:rFonts w:ascii="Calibri" w:cs="Calibri" w:eastAsia="Calibri" w:hAnsi="Calibri"/>
                <w:b w:val="false"/>
                <w:bCs w:val="false"/>
                <w:color w:val="222222"/>
                <w:sz w:val="20"/>
                <w:szCs w:val="20"/>
              </w:rPr>
              <w:t xml:space="preserve">52.2%</w:t>
            </w:r>
          </w:p>
        </w:tc>
      </w:tr>
    </w:tbl>
    <w:p>
      <w:pPr>
        <w:spacing w:after="0" w:before="120"/>
      </w:pPr>
      <w:r>
        <w:t xml:space="preserve"/>
      </w:r>
    </w:p>
    <w:p>
      <w:pPr>
        <w:pStyle w:val="SubHead"/>
      </w:pPr>
      <w:r>
        <w:rPr>
          <w:rFonts w:ascii="Calibri" w:cs="Calibri" w:eastAsia="Calibri" w:hAnsi="Calibri"/>
          <w:b/>
          <w:bCs/>
          <w:color w:val="1A3A5C"/>
          <w:sz w:val="22"/>
          <w:szCs w:val="22"/>
        </w:rPr>
        <w:t xml:space="preserve">Metro vs Tier-2 Comparison (Dataset)</w:t>
      </w:r>
    </w:p>
    <w:p>
      <w:pPr>
        <w:pStyle w:val="ListParagraph"/>
        <w:numPr>
          <w:ilvl w:val="0"/>
          <w:numId w:val="2"/>
        </w:numPr>
        <w:spacing w:after="40" w:before="40"/>
      </w:pPr>
      <w:r>
        <w:rPr>
          <w:rFonts w:ascii="Calibri" w:cs="Calibri" w:eastAsia="Calibri" w:hAnsi="Calibri"/>
          <w:sz w:val="22"/>
          <w:szCs w:val="22"/>
        </w:rPr>
        <w:t xml:space="preserve">Metro cities (Delhi, Mumbai, Bangalore, Chennai, Hyderabad, Kolkata): 59.9% of orders, avg order value ₹27.32, avg delay 4.92 min.</w:t>
      </w:r>
    </w:p>
    <w:p>
      <w:pPr>
        <w:pStyle w:val="ListParagraph"/>
        <w:numPr>
          <w:ilvl w:val="0"/>
          <w:numId w:val="2"/>
        </w:numPr>
        <w:spacing w:after="40" w:before="40"/>
      </w:pPr>
      <w:r>
        <w:rPr>
          <w:rFonts w:ascii="Calibri" w:cs="Calibri" w:eastAsia="Calibri" w:hAnsi="Calibri"/>
          <w:sz w:val="22"/>
          <w:szCs w:val="22"/>
        </w:rPr>
        <w:t xml:space="preserve">Tier-2 cities (Pune, Jaipur, Lucknow, Ahmedabad): 40.1% of orders, avg order value ₹27.36, avg delay 4.99 min.</w:t>
      </w:r>
    </w:p>
    <w:p>
      <w:pPr>
        <w:pStyle w:val="ListParagraph"/>
        <w:numPr>
          <w:ilvl w:val="0"/>
          <w:numId w:val="2"/>
        </w:numPr>
        <w:spacing w:after="40" w:before="40"/>
      </w:pPr>
      <w:r>
        <w:rPr>
          <w:rFonts w:ascii="Calibri" w:cs="Calibri" w:eastAsia="Calibri" w:hAnsi="Calibri"/>
          <w:sz w:val="22"/>
          <w:szCs w:val="22"/>
        </w:rPr>
        <w:t xml:space="preserve">The differences are statistically negligible — consistent with synthetic uniform generation.</w:t>
      </w:r>
    </w:p>
    <w:p>
      <w:pPr>
        <w:spacing w:after="0" w:before="80"/>
      </w:pPr>
      <w:r>
        <w:t xml:space="preserve"/>
      </w:r>
    </w:p>
    <w:p>
      <w:pPr>
        <w:pStyle w:val="SubHead"/>
      </w:pPr>
      <w:r>
        <w:rPr>
          <w:rFonts w:ascii="Calibri" w:cs="Calibri" w:eastAsia="Calibri" w:hAnsi="Calibri"/>
          <w:b/>
          <w:bCs/>
          <w:color w:val="1A3A5C"/>
          <w:sz w:val="22"/>
          <w:szCs w:val="22"/>
        </w:rPr>
        <w:t xml:space="preserve">South India Subset — Bangalore, Chennai, Hyderabad (Dataset)</w:t>
      </w:r>
    </w:p>
    <w:p>
      <w:pPr>
        <w:pStyle w:val="ListParagraph"/>
        <w:numPr>
          <w:ilvl w:val="0"/>
          <w:numId w:val="2"/>
        </w:numPr>
        <w:spacing w:after="40" w:before="40"/>
      </w:pPr>
      <w:r>
        <w:rPr>
          <w:rFonts w:ascii="Calibri" w:cs="Calibri" w:eastAsia="Calibri" w:hAnsi="Calibri"/>
          <w:sz w:val="22"/>
          <w:szCs w:val="22"/>
        </w:rPr>
        <w:t xml:space="preserve">29.7% of dataset orders (5,939).</w:t>
      </w:r>
    </w:p>
    <w:p>
      <w:pPr>
        <w:pStyle w:val="ListParagraph"/>
        <w:numPr>
          <w:ilvl w:val="0"/>
          <w:numId w:val="2"/>
        </w:numPr>
        <w:spacing w:after="40" w:before="40"/>
      </w:pPr>
      <w:r>
        <w:rPr>
          <w:rFonts w:ascii="Calibri" w:cs="Calibri" w:eastAsia="Calibri" w:hAnsi="Calibri"/>
          <w:sz w:val="22"/>
          <w:szCs w:val="22"/>
        </w:rPr>
        <w:t xml:space="preserve">Avg order value: ₹27.32 vs ₹27.34 (rest) — no meaningful difference.</w:t>
      </w:r>
    </w:p>
    <w:p>
      <w:pPr>
        <w:pStyle w:val="ListParagraph"/>
        <w:numPr>
          <w:ilvl w:val="0"/>
          <w:numId w:val="2"/>
        </w:numPr>
        <w:spacing w:after="40" w:before="40"/>
      </w:pPr>
      <w:r>
        <w:rPr>
          <w:rFonts w:ascii="Calibri" w:cs="Calibri" w:eastAsia="Calibri" w:hAnsi="Calibri"/>
          <w:sz w:val="22"/>
          <w:szCs w:val="22"/>
        </w:rPr>
        <w:t xml:space="preserve">Avg delay: 4.86 min vs 4.99 min (rest) — no meaningful difference.</w:t>
      </w:r>
    </w:p>
    <w:p>
      <w:pPr>
        <w:spacing w:after="0" w:before="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6"/>
            </w:tcBorders>
            <w:shd w:fill="FFFBEB" w:val="clear"/>
          </w:tcPr>
          <w:p>
            <w:pPr>
              <w:spacing w:after="40" w:before="40"/>
              <w:ind w:left="160"/>
            </w:pPr>
            <w:r>
              <w:rPr>
                <w:rFonts w:ascii="Calibri" w:cs="Calibri" w:eastAsia="Calibri" w:hAnsi="Calibri"/>
                <w:color w:val="7A3800"/>
                <w:sz w:val="20"/>
                <w:szCs w:val="20"/>
              </w:rPr>
              <w:t xml:space="preserve">⚠️  Dataset Limitation: The equal-weight city distribution (chi-square p=0.74, statistically uniform) directly contradicts known</w:t>
            </w:r>
          </w:p>
          <w:p>
            <w:pPr>
              <w:spacing w:after="40" w:before="40"/>
              <w:ind w:left="160"/>
            </w:pPr>
            <w:r>
              <w:rPr>
                <w:rFonts w:ascii="Calibri" w:cs="Calibri" w:eastAsia="Calibri" w:hAnsi="Calibri"/>
                <w:color w:val="7A3800"/>
                <w:sz w:val="20"/>
                <w:szCs w:val="20"/>
              </w:rPr>
              <w:t xml:space="preserve">market reality. External research confirms Bengaluru alone accounts for ~20% of national orders, yet the dataset gives it only</w:t>
            </w:r>
          </w:p>
          <w:p>
            <w:pPr>
              <w:spacing w:after="40" w:before="40"/>
              <w:ind w:left="160"/>
            </w:pPr>
            <w:r>
              <w:rPr>
                <w:rFonts w:ascii="Calibri" w:cs="Calibri" w:eastAsia="Calibri" w:hAnsi="Calibri"/>
                <w:color w:val="7A3800"/>
                <w:sz w:val="20"/>
                <w:szCs w:val="20"/>
              </w:rPr>
              <w:t xml:space="preserve">9.8%. The dataset cannot support any city-level comparative conclusions.</w:t>
            </w:r>
          </w:p>
        </w:tc>
      </w:tr>
    </w:tbl>
    <w:p>
      <w:pPr>
        <w:spacing w:after="0" w:before="120"/>
      </w:pPr>
      <w:r>
        <w:t xml:space="preserve"/>
      </w:r>
    </w:p>
    <w:p>
      <w:pPr>
        <w:pStyle w:val="SubHead"/>
      </w:pPr>
      <w:r>
        <w:rPr>
          <w:rFonts w:ascii="Calibri" w:cs="Calibri" w:eastAsia="Calibri" w:hAnsi="Calibri"/>
          <w:b/>
          <w:bCs/>
          <w:color w:val="1A3A5C"/>
          <w:sz w:val="24"/>
          <w:szCs w:val="24"/>
        </w:rPr>
        <w:t xml:space="preserve">External Research: Regional Dynamics</w:t>
      </w:r>
    </w:p>
    <w:p>
      <w:pPr>
        <w:spacing w:after="100" w:before="0"/>
      </w:pPr>
      <w:r>
        <w:rPr>
          <w:rFonts w:ascii="Calibri" w:cs="Calibri" w:eastAsia="Calibri" w:hAnsi="Calibri"/>
          <w:b/>
          <w:bCs/>
          <w:color w:val="2563EB"/>
          <w:sz w:val="18"/>
          <w:szCs w:val="18"/>
        </w:rPr>
        <w:t xml:space="preserve">[Quick Research | Confidence: </w:t>
      </w:r>
      <w:r>
        <w:rPr>
          <w:rFonts w:ascii="Calibri" w:cs="Calibri" w:eastAsia="Calibri" w:hAnsi="Calibri"/>
          <w:b/>
          <w:bCs/>
          <w:color w:val="059669"/>
          <w:sz w:val="18"/>
          <w:szCs w:val="18"/>
        </w:rPr>
        <w:t xml:space="preserve">High</w:t>
      </w:r>
      <w:r>
        <w:rPr>
          <w:rFonts w:ascii="Calibri" w:cs="Calibri" w:eastAsia="Calibri" w:hAnsi="Calibri"/>
          <w:b/>
          <w:bCs/>
          <w:color w:val="2563EB"/>
          <w:sz w:val="18"/>
          <w:szCs w:val="18"/>
        </w:rPr>
        <w:t xml:space="preserve">]</w:t>
      </w:r>
    </w:p>
    <w:p>
      <w:pPr>
        <w:pStyle w:val="ListParagraph"/>
        <w:numPr>
          <w:ilvl w:val="0"/>
          <w:numId w:val="2"/>
        </w:numPr>
        <w:spacing w:after="40" w:before="40"/>
      </w:pPr>
      <w:r>
        <w:rPr>
          <w:rFonts w:ascii="Calibri" w:cs="Calibri" w:eastAsia="Calibri" w:hAnsi="Calibri"/>
          <w:sz w:val="22"/>
          <w:szCs w:val="22"/>
        </w:rPr>
        <w:t xml:space="preserve">Bengaluru is the single most important city, accounting for ~20% of national food delivery orders.</w:t>
      </w:r>
    </w:p>
    <w:p>
      <w:pPr>
        <w:pStyle w:val="ListParagraph"/>
        <w:numPr>
          <w:ilvl w:val="0"/>
          <w:numId w:val="2"/>
        </w:numPr>
        <w:spacing w:after="40" w:before="40"/>
      </w:pPr>
      <w:r>
        <w:rPr>
          <w:rFonts w:ascii="Calibri" w:cs="Calibri" w:eastAsia="Calibri" w:hAnsi="Calibri"/>
          <w:sz w:val="22"/>
          <w:szCs w:val="22"/>
        </w:rPr>
        <w:t xml:space="preserve">South India commands 35% of national cloud kitchen revenue ($1.24B market in 2025, projected $3.69B by 2034).</w:t>
      </w:r>
    </w:p>
    <w:p>
      <w:pPr>
        <w:pStyle w:val="ListParagraph"/>
        <w:numPr>
          <w:ilvl w:val="0"/>
          <w:numId w:val="2"/>
        </w:numPr>
        <w:spacing w:after="40" w:before="40"/>
      </w:pPr>
      <w:r>
        <w:rPr>
          <w:rFonts w:ascii="Calibri" w:cs="Calibri" w:eastAsia="Calibri" w:hAnsi="Calibri"/>
          <w:sz w:val="22"/>
          <w:szCs w:val="22"/>
        </w:rPr>
        <w:t xml:space="preserve">Hyderabad drives the biryani phenomenon (57.7M chicken biryani orders nationally in 2025).</w:t>
      </w:r>
    </w:p>
    <w:p>
      <w:pPr>
        <w:pStyle w:val="ListParagraph"/>
        <w:numPr>
          <w:ilvl w:val="0"/>
          <w:numId w:val="2"/>
        </w:numPr>
        <w:spacing w:after="40" w:before="40"/>
      </w:pPr>
      <w:r>
        <w:rPr>
          <w:rFonts w:ascii="Calibri" w:cs="Calibri" w:eastAsia="Calibri" w:hAnsi="Calibri"/>
          <w:sz w:val="22"/>
          <w:szCs w:val="22"/>
        </w:rPr>
        <w:t xml:space="preserve">Bengaluru, Pune, and Hyderabad serve as testing grounds for hyperlocal and rapid delivery models.</w:t>
      </w:r>
    </w:p>
    <w:p>
      <w:pPr>
        <w:pStyle w:val="ListParagraph"/>
        <w:numPr>
          <w:ilvl w:val="0"/>
          <w:numId w:val="2"/>
        </w:numPr>
        <w:spacing w:after="40" w:before="40"/>
      </w:pPr>
      <w:r>
        <w:rPr>
          <w:rFonts w:ascii="Calibri" w:cs="Calibri" w:eastAsia="Calibri" w:hAnsi="Calibri"/>
          <w:sz w:val="22"/>
          <w:szCs w:val="22"/>
        </w:rPr>
        <w:t xml:space="preserve">Zomato has successfully closed a historically wide competitive gap with Swiggy in Southern cities, now approaching its national market share average there.</w:t>
      </w:r>
    </w:p>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5  </w:t>
            </w:r>
            <w:r>
              <w:rPr>
                <w:rFonts w:ascii="Calibri" w:cs="Calibri" w:eastAsia="Calibri" w:hAnsi="Calibri"/>
                <w:b/>
                <w:bCs/>
                <w:color w:val="FFFFFF"/>
                <w:sz w:val="28"/>
                <w:szCs w:val="28"/>
              </w:rPr>
              <w:t xml:space="preserve">Opportunities</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600"/>
        <w:gridCol w:w="1760"/>
      </w:tblGrid>
      <w:tr>
        <w:trPr>
          <w:tblHeader/>
        </w:trPr>
        <w:tc>
          <w:tcPr>
            <w:tcW w:type="dxa" w:w="22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Opportunity</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Source</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Signal Strength</w:t>
            </w:r>
          </w:p>
        </w:tc>
        <w:tc>
          <w:tcPr>
            <w:tcW w:type="dxa" w:w="26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Key Evidence</w:t>
            </w:r>
          </w:p>
        </w:tc>
        <w:tc>
          <w:tcPr>
            <w:tcW w:type="dxa" w:w="176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Caveat</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Tier-2/3 city expansion</w:t>
            </w:r>
          </w:p>
        </w:tc>
        <w:tc>
          <w:tcPr>
            <w:tcW w:type="dxa" w:w="140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40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bCs/>
                <w:color w:val="065F46"/>
                <w:sz w:val="20"/>
                <w:szCs w:val="20"/>
              </w:rPr>
              <w:t xml:space="preserve">High</w:t>
            </w:r>
          </w:p>
        </w:tc>
        <w:tc>
          <w:tcPr>
            <w:tcW w:type="dxa" w:w="26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20–25% of market; 70%+ of new smartphone sales; 40% rural smartphone surge 2020–2024</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Unit economics unproven in these markets</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Cloud kitchen scaling</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40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bCs/>
                <w:color w:val="065F46"/>
                <w:sz w:val="20"/>
                <w:szCs w:val="20"/>
              </w:rPr>
              <w:t xml:space="preserve">High</w:t>
            </w:r>
          </w:p>
        </w:tc>
        <w:tc>
          <w:tcPr>
            <w:tcW w:type="dxa" w:w="26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$1.24B → $3.69B by 2034 (12.28% CAGR); South India commanding 35% of revenue</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FSSAI compliance adds operational cost floor</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Hyperlocal rapid delivery (sub-30 min)</w:t>
            </w:r>
          </w:p>
        </w:tc>
        <w:tc>
          <w:tcPr>
            <w:tcW w:type="dxa" w:w="140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40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val="false"/>
                <w:bCs w:val="false"/>
                <w:color w:val="065F46"/>
                <w:sz w:val="20"/>
                <w:szCs w:val="20"/>
              </w:rPr>
              <w:t xml:space="preserve">Medium-High</w:t>
            </w:r>
          </w:p>
        </w:tc>
        <w:tc>
          <w:tcPr>
            <w:tcW w:type="dxa" w:w="2600"/>
            <w:tcBorders>
              <w:top w:val="single" w:color="CBD5E1" w:sz="6"/>
              <w:left w:val="single" w:color="CBD5E1" w:sz="6"/>
              <w:bottom w:val="single" w:color="CBD5E1" w:sz="6"/>
              <w:right w:val="single" w:color="CBD5E1" w:sz="6"/>
            </w:tcBorders>
            <w:shd w:fill="F8FAFC" w:val="clear"/>
          </w:tcPr>
          <w:p>
            <w:pPr>
              <w:spacing w:after="60" w:before="60"/>
              <w:jc w:val="left"/>
            </w:pPr>
            <w:r>
              <w:rPr>
                <w:rFonts w:ascii="Calibri" w:cs="Calibri" w:eastAsia="Calibri" w:hAnsi="Calibri"/>
                <w:b w:val="false"/>
                <w:bCs w:val="false"/>
                <w:color w:val="222222"/>
                <w:sz w:val="20"/>
                <w:szCs w:val="20"/>
              </w:rPr>
              <w:t xml:space="preserve">Active pilots in Bengaluru, Pune, Hyderabad; Zepto Cafe and Magicpin proving demand</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Margin pressure from speed investment unclear</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Loyalty program deepening</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444444"/>
                <w:sz w:val="20"/>
                <w:szCs w:val="20"/>
              </w:rPr>
              <w:t xml:space="preserve">Medium</w:t>
            </w:r>
          </w:p>
        </w:tc>
        <w:tc>
          <w:tcPr>
            <w:tcW w:type="dxa" w:w="26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Zomato Gold 7.4M, Swiggy One 5.7M; loyalty reduces price sensitivity</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Limited differentiation between programs currently</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AI-driven delivery logistics optimization</w:t>
            </w:r>
          </w:p>
        </w:tc>
        <w:tc>
          <w:tcPr>
            <w:tcW w:type="dxa" w:w="140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val="false"/>
                <w:bCs w:val="false"/>
                <w:color w:val="065F46"/>
                <w:sz w:val="20"/>
                <w:szCs w:val="20"/>
              </w:rPr>
              <w:t xml:space="preserve">[Both]</w:t>
            </w:r>
          </w:p>
        </w:tc>
        <w:tc>
          <w:tcPr>
            <w:tcW w:type="dxa" w:w="140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val="false"/>
                <w:bCs w:val="false"/>
                <w:color w:val="065F46"/>
                <w:sz w:val="20"/>
                <w:szCs w:val="20"/>
              </w:rPr>
              <w:t xml:space="preserve">Medium-High</w:t>
            </w:r>
          </w:p>
        </w:tc>
        <w:tc>
          <w:tcPr>
            <w:tcW w:type="dxa" w:w="2600"/>
            <w:tcBorders>
              <w:top w:val="single" w:color="CBD5E1" w:sz="6"/>
              <w:left w:val="single" w:color="CBD5E1" w:sz="6"/>
              <w:bottom w:val="single" w:color="CBD5E1" w:sz="6"/>
              <w:right w:val="single" w:color="CBD5E1" w:sz="6"/>
            </w:tcBorders>
            <w:shd w:fill="F8FAFC" w:val="clear"/>
          </w:tcPr>
          <w:p>
            <w:pPr>
              <w:spacing w:after="60" w:before="60"/>
              <w:jc w:val="left"/>
            </w:pPr>
            <w:r>
              <w:rPr>
                <w:rFonts w:ascii="Calibri" w:cs="Calibri" w:eastAsia="Calibri" w:hAnsi="Calibri"/>
                <w:b w:val="false"/>
                <w:bCs w:val="false"/>
                <w:color w:val="222222"/>
                <w:sz w:val="20"/>
                <w:szCs w:val="20"/>
              </w:rPr>
              <w:t xml:space="preserve">Quick Research: standalone delivery unprofitable; Dataset: wide route efficiency variance (0.003–0.99)</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Dataset findings are synthetic; real-world variance requires validation</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Organised food services structural shift</w:t>
            </w:r>
          </w:p>
        </w:tc>
        <w:tc>
          <w:tcPr>
            <w:tcW w:type="dxa" w:w="140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40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bCs/>
                <w:color w:val="065F46"/>
                <w:sz w:val="20"/>
                <w:szCs w:val="20"/>
              </w:rPr>
              <w:t xml:space="preserve">High</w:t>
            </w:r>
          </w:p>
        </w:tc>
        <w:tc>
          <w:tcPr>
            <w:tcW w:type="dxa" w:w="26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Organised segment growing from 47–52% (FY25) to 60–65% (FY30)</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Dependent on sustained digital adoption in smaller cities</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6  </w:t>
            </w:r>
            <w:r>
              <w:rPr>
                <w:rFonts w:ascii="Calibri" w:cs="Calibri" w:eastAsia="Calibri" w:hAnsi="Calibri"/>
                <w:b/>
                <w:bCs/>
                <w:color w:val="FFFFFF"/>
                <w:sz w:val="28"/>
                <w:szCs w:val="28"/>
              </w:rPr>
              <w:t xml:space="preserve">Risks</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2800"/>
        <w:gridCol w:w="1760"/>
      </w:tblGrid>
      <w:tr>
        <w:trPr>
          <w:tblHeader/>
        </w:trPr>
        <w:tc>
          <w:tcPr>
            <w:tcW w:type="dxa" w:w="22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Risk</w:t>
            </w:r>
          </w:p>
        </w:tc>
        <w:tc>
          <w:tcPr>
            <w:tcW w:type="dxa" w:w="14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Source</w:t>
            </w:r>
          </w:p>
        </w:tc>
        <w:tc>
          <w:tcPr>
            <w:tcW w:type="dxa" w:w="12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Severity</w:t>
            </w:r>
          </w:p>
        </w:tc>
        <w:tc>
          <w:tcPr>
            <w:tcW w:type="dxa" w:w="280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Evidence</w:t>
            </w:r>
          </w:p>
        </w:tc>
        <w:tc>
          <w:tcPr>
            <w:tcW w:type="dxa" w:w="176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Likelihood</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Profitability remains elusive at scale</w:t>
            </w:r>
          </w:p>
        </w:tc>
        <w:tc>
          <w:tcPr>
            <w:tcW w:type="dxa" w:w="140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0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bCs/>
                <w:color w:val="DC2626"/>
                <w:sz w:val="20"/>
                <w:szCs w:val="20"/>
              </w:rPr>
              <w:t xml:space="preserve">High</w:t>
            </w:r>
          </w:p>
        </w:tc>
        <w:tc>
          <w:tcPr>
            <w:tcW w:type="dxa" w:w="2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Swiggy ₹-3,107 Cr net loss FY25; Zomato profit includes Blinkit; neither has standalone food delivery profitability after 10+ years</w:t>
            </w:r>
          </w:p>
        </w:tc>
        <w:tc>
          <w:tcPr>
            <w:tcW w:type="dxa" w:w="1760"/>
            <w:tcBorders>
              <w:top w:val="single" w:color="CBD5E1" w:sz="6"/>
              <w:left w:val="single" w:color="CBD5E1" w:sz="6"/>
              <w:bottom w:val="single" w:color="CBD5E1" w:sz="6"/>
              <w:right w:val="single" w:color="CBD5E1" w:sz="6"/>
            </w:tcBorders>
            <w:shd w:fill="FFF0F0" w:val="clear"/>
          </w:tcPr>
          <w:p>
            <w:pPr>
              <w:spacing w:after="60" w:before="60"/>
              <w:jc w:val="left"/>
            </w:pPr>
            <w:r>
              <w:rPr>
                <w:rFonts w:ascii="Calibri" w:cs="Calibri" w:eastAsia="Calibri" w:hAnsi="Calibri"/>
                <w:b w:val="false"/>
                <w:bCs w:val="false"/>
                <w:color w:val="991B1B"/>
                <w:sz w:val="20"/>
                <w:szCs w:val="20"/>
              </w:rPr>
              <w:t xml:space="preserve">Already materialised; structural</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Competitive fragmentation compressing margins</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0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bCs/>
                <w:color w:val="DC2626"/>
                <w:sz w:val="20"/>
                <w:szCs w:val="20"/>
              </w:rPr>
              <w:t xml:space="preserve">High</w:t>
            </w:r>
          </w:p>
        </w:tc>
        <w:tc>
          <w:tcPr>
            <w:tcW w:type="dxa" w:w="2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Rapido zero-commission model; Flipkart entry planned; ONDC government-backed; zero-commission viability challenges entire commission-based revenue model</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Emerging; most challengers pre-scale</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Platform fee backlash</w:t>
            </w:r>
          </w:p>
        </w:tc>
        <w:tc>
          <w:tcPr>
            <w:tcW w:type="dxa" w:w="140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00"/>
            <w:tcBorders>
              <w:top w:val="single" w:color="CBD5E1" w:sz="6"/>
              <w:left w:val="single" w:color="CBD5E1" w:sz="6"/>
              <w:bottom w:val="single" w:color="CBD5E1" w:sz="6"/>
              <w:right w:val="single" w:color="CBD5E1" w:sz="6"/>
            </w:tcBorders>
            <w:shd w:fill="FFFBEB" w:val="clear"/>
          </w:tcPr>
          <w:p>
            <w:pPr>
              <w:spacing w:after="60" w:before="60"/>
              <w:jc w:val="center"/>
            </w:pPr>
            <w:r>
              <w:rPr>
                <w:rFonts w:ascii="Calibri" w:cs="Calibri" w:eastAsia="Calibri" w:hAnsi="Calibri"/>
                <w:b w:val="false"/>
                <w:bCs w:val="false"/>
                <w:color w:val="92400E"/>
                <w:sz w:val="20"/>
                <w:szCs w:val="20"/>
              </w:rPr>
              <w:t xml:space="preserve">Medium-High</w:t>
            </w:r>
          </w:p>
        </w:tc>
        <w:tc>
          <w:tcPr>
            <w:tcW w:type="dxa" w:w="2800"/>
            <w:tcBorders>
              <w:top w:val="single" w:color="CBD5E1" w:sz="6"/>
              <w:left w:val="single" w:color="CBD5E1" w:sz="6"/>
              <w:bottom w:val="single" w:color="CBD5E1" w:sz="6"/>
              <w:right w:val="single" w:color="CBD5E1" w:sz="6"/>
            </w:tcBorders>
            <w:shd w:fill="F8FAFC" w:val="clear"/>
          </w:tcPr>
          <w:p>
            <w:pPr>
              <w:spacing w:after="60" w:before="60"/>
              <w:jc w:val="left"/>
            </w:pPr>
            <w:r>
              <w:rPr>
                <w:rFonts w:ascii="Calibri" w:cs="Calibri" w:eastAsia="Calibri" w:hAnsi="Calibri"/>
                <w:b w:val="false"/>
                <w:bCs w:val="false"/>
                <w:color w:val="222222"/>
                <w:sz w:val="20"/>
                <w:szCs w:val="20"/>
              </w:rPr>
              <w:t xml:space="preserve">Fees escalated ₹2 → ₹15–18/order (7–9x in 2 years); AOV only $5.20–5.40; Swiggy implemented 4 hikes in 7 months</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Materialising; new entrants exploiting this tension</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Regulatory cost escalation</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00"/>
            <w:tcBorders>
              <w:top w:val="single" w:color="CBD5E1" w:sz="6"/>
              <w:left w:val="single" w:color="CBD5E1" w:sz="6"/>
              <w:bottom w:val="single" w:color="CBD5E1" w:sz="6"/>
              <w:right w:val="single" w:color="CBD5E1" w:sz="6"/>
            </w:tcBorders>
            <w:shd w:fill="FFFBEB" w:val="clear"/>
          </w:tcPr>
          <w:p>
            <w:pPr>
              <w:spacing w:after="60" w:before="60"/>
              <w:jc w:val="center"/>
            </w:pPr>
            <w:r>
              <w:rPr>
                <w:rFonts w:ascii="Calibri" w:cs="Calibri" w:eastAsia="Calibri" w:hAnsi="Calibri"/>
                <w:b w:val="false"/>
                <w:bCs w:val="false"/>
                <w:color w:val="92400E"/>
                <w:sz w:val="20"/>
                <w:szCs w:val="20"/>
              </w:rPr>
              <w:t xml:space="preserve">Medium-High</w:t>
            </w:r>
          </w:p>
        </w:tc>
        <w:tc>
          <w:tcPr>
            <w:tcW w:type="dxa" w:w="2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Social Security Code (Nov 2025); CCI antitrust findings; FSSAI expanding to cloud kitchens; financial impact not yet quantified</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Confirmed and accelerating</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Quick commerce cannibalisation</w:t>
            </w:r>
          </w:p>
        </w:tc>
        <w:tc>
          <w:tcPr>
            <w:tcW w:type="dxa" w:w="140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444444"/>
                <w:sz w:val="20"/>
                <w:szCs w:val="20"/>
              </w:rPr>
              <w:t xml:space="preserve">Medium</w:t>
            </w:r>
          </w:p>
        </w:tc>
        <w:tc>
          <w:tcPr>
            <w:tcW w:type="dxa" w:w="2800"/>
            <w:tcBorders>
              <w:top w:val="single" w:color="CBD5E1" w:sz="6"/>
              <w:left w:val="single" w:color="CBD5E1" w:sz="6"/>
              <w:bottom w:val="single" w:color="CBD5E1" w:sz="6"/>
              <w:right w:val="single" w:color="CBD5E1" w:sz="6"/>
            </w:tcBorders>
            <w:shd w:fill="F8FAFC" w:val="clear"/>
          </w:tcPr>
          <w:p>
            <w:pPr>
              <w:spacing w:after="60" w:before="60"/>
              <w:jc w:val="left"/>
            </w:pPr>
            <w:r>
              <w:rPr>
                <w:rFonts w:ascii="Calibri" w:cs="Calibri" w:eastAsia="Calibri" w:hAnsi="Calibri"/>
                <w:b w:val="false"/>
                <w:bCs w:val="false"/>
                <w:color w:val="222222"/>
                <w:sz w:val="20"/>
                <w:szCs w:val="20"/>
              </w:rPr>
              <w:t xml:space="preserve">Blinkit outpaced Zomato food delivery in net order value (Q1 FY26); Amazon, Flipkart, Zepto expanding into rapid delivery</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Growing; structural overlap increasing</w:t>
            </w:r>
          </w:p>
        </w:tc>
      </w:tr>
      <w:tr>
        <w:trPr>
          <w:tblHeader w:val="false"/>
        </w:trPr>
        <w:tc>
          <w:tcPr>
            <w:tcW w:type="dxa" w:w="220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ONDC as structural disruptor</w:t>
            </w:r>
          </w:p>
        </w:tc>
        <w:tc>
          <w:tcPr>
            <w:tcW w:type="dxa" w:w="14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0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444444"/>
                <w:sz w:val="20"/>
                <w:szCs w:val="20"/>
              </w:rPr>
              <w:t xml:space="preserve">Medium</w:t>
            </w:r>
          </w:p>
        </w:tc>
        <w:tc>
          <w:tcPr>
            <w:tcW w:type="dxa" w:w="280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~4.3M monthly orders (Apr 2025); orders declined 34% but government backing creates long-term risk to commission-based model</w:t>
            </w:r>
          </w:p>
        </w:tc>
        <w:tc>
          <w:tcPr>
            <w:tcW w:type="dxa" w:w="1760"/>
            <w:tcBorders>
              <w:top w:val="single" w:color="CBD5E1" w:sz="6"/>
              <w:left w:val="single" w:color="CBD5E1" w:sz="6"/>
              <w:bottom w:val="single" w:color="CBD5E1" w:sz="6"/>
              <w:right w:val="single" w:color="CBD5E1" w:sz="6"/>
            </w:tcBorders>
            <w:shd w:fill="FFFBEB" w:val="clear"/>
          </w:tcPr>
          <w:p>
            <w:pPr>
              <w:spacing w:after="60" w:before="60"/>
              <w:jc w:val="left"/>
            </w:pPr>
            <w:r>
              <w:rPr>
                <w:rFonts w:ascii="Calibri" w:cs="Calibri" w:eastAsia="Calibri" w:hAnsi="Calibri"/>
                <w:b w:val="false"/>
                <w:bCs w:val="false"/>
                <w:color w:val="92400E"/>
                <w:sz w:val="20"/>
                <w:szCs w:val="20"/>
              </w:rPr>
              <w:t xml:space="preserve">Currently limited; long-term trajectory uncertain</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7  </w:t>
            </w:r>
            <w:r>
              <w:rPr>
                <w:rFonts w:ascii="Calibri" w:cs="Calibri" w:eastAsia="Calibri" w:hAnsi="Calibri"/>
                <w:b/>
                <w:bCs/>
                <w:color w:val="FFFFFF"/>
                <w:sz w:val="28"/>
                <w:szCs w:val="28"/>
              </w:rPr>
              <w:t xml:space="preserve">Strategic Implications</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EB" w:sz="20"/>
              <w:bottom w:val="none"/>
              <w:right w:val="none"/>
            </w:tcBorders>
            <w:shd w:fill="F0F6FF" w:val="clear"/>
          </w:tcPr>
          <w:p>
            <w:pPr>
              <w:spacing w:after="60" w:before="100"/>
              <w:ind w:left="200"/>
            </w:pPr>
            <w:r>
              <w:rPr>
                <w:rFonts w:ascii="Calibri" w:cs="Calibri" w:eastAsia="Calibri" w:hAnsi="Calibri"/>
                <w:b/>
                <w:bCs/>
                <w:color w:val="1A3A5C"/>
                <w:sz w:val="24"/>
                <w:szCs w:val="24"/>
              </w:rPr>
              <w:t xml:space="preserve">Pillar 1: Margin Optimization Through Operational Excellence</w:t>
            </w:r>
          </w:p>
          <w:p>
            <w:pPr>
              <w:spacing w:after="40" w:before="40"/>
              <w:ind w:left="200"/>
            </w:pPr>
            <w:r>
              <w:rPr>
                <w:rFonts w:ascii="Calibri" w:cs="Calibri" w:eastAsia="Calibri" w:hAnsi="Calibri"/>
                <w:b/>
                <w:bCs/>
                <w:color w:val="2563EB"/>
                <w:sz w:val="18"/>
                <w:szCs w:val="18"/>
              </w:rPr>
              <w:t xml:space="preserve">[Quick Research]</w:t>
            </w:r>
          </w:p>
          <w:p>
            <w:pPr>
              <w:spacing w:after="100" w:before="60"/>
              <w:ind w:left="200"/>
            </w:pPr>
            <w:r>
              <w:rPr>
                <w:rFonts w:ascii="Calibri" w:cs="Calibri" w:eastAsia="Calibri" w:hAnsi="Calibri"/>
                <w:color w:val="222222"/>
                <w:sz w:val="22"/>
                <w:szCs w:val="22"/>
              </w:rPr>
              <w:t xml:space="preserve">The structural reality that standalone food delivery remains unprofitable after a decade points to delivery logistics optimization as the highest-ROI lever. Platform fee escalation has structural limits given the $5.20–$5.40 AOV — the long-term answer must come from cost reduction, not fee increases. AI-driven route optimization, dynamic delivery method selection, and weather/traffic-adaptive scheduling represent the most credible margin improvement pathway.</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59669" w:sz="20"/>
              <w:bottom w:val="none"/>
              <w:right w:val="none"/>
            </w:tcBorders>
            <w:shd w:fill="F0FDF4" w:val="clear"/>
          </w:tcPr>
          <w:p>
            <w:pPr>
              <w:spacing w:after="60" w:before="100"/>
              <w:ind w:left="200"/>
            </w:pPr>
            <w:r>
              <w:rPr>
                <w:rFonts w:ascii="Calibri" w:cs="Calibri" w:eastAsia="Calibri" w:hAnsi="Calibri"/>
                <w:b/>
                <w:bCs/>
                <w:color w:val="1A3A5C"/>
                <w:sz w:val="24"/>
                <w:szCs w:val="24"/>
              </w:rPr>
              <w:t xml:space="preserve">Pillar 2: Disciplined, Data-Driven Tier-2/3 Expansion</w:t>
            </w:r>
          </w:p>
          <w:p>
            <w:pPr>
              <w:spacing w:after="40" w:before="40"/>
              <w:ind w:left="200"/>
            </w:pPr>
            <w:r>
              <w:rPr>
                <w:rFonts w:ascii="Calibri" w:cs="Calibri" w:eastAsia="Calibri" w:hAnsi="Calibri"/>
                <w:b/>
                <w:bCs/>
                <w:color w:val="2563EB"/>
                <w:sz w:val="18"/>
                <w:szCs w:val="18"/>
              </w:rPr>
              <w:t xml:space="preserve">[Quick Research]</w:t>
            </w:r>
          </w:p>
          <w:p>
            <w:pPr>
              <w:spacing w:after="100" w:before="60"/>
              <w:ind w:left="200"/>
            </w:pPr>
            <w:r>
              <w:rPr>
                <w:rFonts w:ascii="Calibri" w:cs="Calibri" w:eastAsia="Calibri" w:hAnsi="Calibri"/>
                <w:color w:val="222222"/>
                <w:sz w:val="22"/>
                <w:szCs w:val="22"/>
              </w:rPr>
              <w:t xml:space="preserve">The digital infrastructure tailwinds are genuine (660M smartphones, 16–17B UPI transactions/month, 70%+ of new smartphone sales in tier-2/3). However, unit economics in these markets are explicitly unproven. Expansion driven by volume targets rather than economics validation risks compounding existing profitability challenges. Each new city should be treated as a controlled experiment — instrument, measure, decide — not a broad rollout.</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C3AED" w:sz="20"/>
              <w:bottom w:val="none"/>
              <w:right w:val="none"/>
            </w:tcBorders>
            <w:shd w:fill="F5F3FF" w:val="clear"/>
          </w:tcPr>
          <w:p>
            <w:pPr>
              <w:spacing w:after="60" w:before="100"/>
              <w:ind w:left="200"/>
            </w:pPr>
            <w:r>
              <w:rPr>
                <w:rFonts w:ascii="Calibri" w:cs="Calibri" w:eastAsia="Calibri" w:hAnsi="Calibri"/>
                <w:b/>
                <w:bCs/>
                <w:color w:val="1A3A5C"/>
                <w:sz w:val="24"/>
                <w:szCs w:val="24"/>
              </w:rPr>
              <w:t xml:space="preserve">Pillar 3: South India as the Strategic Laboratory</w:t>
            </w:r>
          </w:p>
          <w:p>
            <w:pPr>
              <w:spacing w:after="40" w:before="40"/>
              <w:ind w:left="200"/>
            </w:pPr>
            <w:r>
              <w:rPr>
                <w:rFonts w:ascii="Calibri" w:cs="Calibri" w:eastAsia="Calibri" w:hAnsi="Calibri"/>
                <w:b/>
                <w:bCs/>
                <w:color w:val="2563EB"/>
                <w:sz w:val="18"/>
                <w:szCs w:val="18"/>
              </w:rPr>
              <w:t xml:space="preserve">[Quick Research]</w:t>
            </w:r>
          </w:p>
          <w:p>
            <w:pPr>
              <w:spacing w:after="100" w:before="60"/>
              <w:ind w:left="200"/>
            </w:pPr>
            <w:r>
              <w:rPr>
                <w:rFonts w:ascii="Calibri" w:cs="Calibri" w:eastAsia="Calibri" w:hAnsi="Calibri"/>
                <w:color w:val="222222"/>
                <w:sz w:val="22"/>
                <w:szCs w:val="22"/>
              </w:rPr>
              <w:t xml:space="preserve">South India's outsized market concentration (~20% of national orders in Bengaluru alone) and its role as the first testing ground for new competitive models make it the leading indicator for national market evolution. Rapido's Ownly traction in Bengaluru is the single most important near-term competitive signal. Cloud kitchen investment in South India (35% of national revenue) should be prioritised as the region offers both the most developed infrastructure and the highest-quality competitive intelligence.</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20"/>
              <w:bottom w:val="none"/>
              <w:right w:val="none"/>
            </w:tcBorders>
            <w:shd w:fill="FFF8F8" w:val="clear"/>
          </w:tcPr>
          <w:p>
            <w:pPr>
              <w:spacing w:after="60" w:before="100"/>
              <w:ind w:left="200"/>
            </w:pPr>
            <w:r>
              <w:rPr>
                <w:rFonts w:ascii="Calibri" w:cs="Calibri" w:eastAsia="Calibri" w:hAnsi="Calibri"/>
                <w:b/>
                <w:bCs/>
                <w:color w:val="1A3A5C"/>
                <w:sz w:val="24"/>
                <w:szCs w:val="24"/>
              </w:rPr>
              <w:t xml:space="preserve">Pillar 4: Competitive Monitoring and Defensive Positioning</w:t>
            </w:r>
          </w:p>
          <w:p>
            <w:pPr>
              <w:spacing w:after="40" w:before="40"/>
              <w:ind w:left="200"/>
            </w:pPr>
            <w:r>
              <w:rPr>
                <w:rFonts w:ascii="Calibri" w:cs="Calibri" w:eastAsia="Calibri" w:hAnsi="Calibri"/>
                <w:b/>
                <w:bCs/>
                <w:color w:val="2563EB"/>
                <w:sz w:val="18"/>
                <w:szCs w:val="18"/>
              </w:rPr>
              <w:t xml:space="preserve">[Quick Research]</w:t>
            </w:r>
          </w:p>
          <w:p>
            <w:pPr>
              <w:spacing w:after="100" w:before="60"/>
              <w:ind w:left="200"/>
            </w:pPr>
            <w:r>
              <w:rPr>
                <w:rFonts w:ascii="Calibri" w:cs="Calibri" w:eastAsia="Calibri" w:hAnsi="Calibri"/>
                <w:color w:val="222222"/>
                <w:sz w:val="22"/>
                <w:szCs w:val="22"/>
              </w:rPr>
              <w:t xml:space="preserve">The emergence of zero-commission models (Rapido) and government-backed open networks (ONDC) poses a structural threat to the commission-based revenue architecture. If zero-commission models prove viable at scale, the entire business model of the duopoly is challenged. Leadership should treat new entrant traction in Bengaluru as a leading indicator, not a local curiosity.</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Pr>
          <w:p>
            <w:pPr>
              <w:spacing w:after="140" w:before="140"/>
              <w:ind w:left="200"/>
            </w:pPr>
            <w:r>
              <w:rPr>
                <w:rFonts w:ascii="Calibri" w:cs="Calibri" w:eastAsia="Calibri" w:hAnsi="Calibri"/>
                <w:b/>
                <w:bCs/>
                <w:color w:val="A8C4E0"/>
                <w:sz w:val="28"/>
                <w:szCs w:val="28"/>
              </w:rPr>
              <w:t xml:space="preserve">8  </w:t>
            </w:r>
            <w:r>
              <w:rPr>
                <w:rFonts w:ascii="Calibri" w:cs="Calibri" w:eastAsia="Calibri" w:hAnsi="Calibri"/>
                <w:b/>
                <w:bCs/>
                <w:color w:val="FFFFFF"/>
                <w:sz w:val="28"/>
                <w:szCs w:val="28"/>
              </w:rPr>
              <w:t xml:space="preserve">Confidence and Limitations</w:t>
            </w:r>
          </w:p>
        </w:tc>
      </w:tr>
    </w:tbl>
    <w:p>
      <w:pPr>
        <w:spacing w:after="0" w:before="120"/>
      </w:pPr>
      <w:r>
        <w:t xml:space="preserve"/>
      </w:r>
    </w:p>
    <w:p>
      <w:pPr>
        <w:pStyle w:val="SubHead"/>
      </w:pPr>
      <w:r>
        <w:rPr>
          <w:rFonts w:ascii="Calibri" w:cs="Calibri" w:eastAsia="Calibri" w:hAnsi="Calibri"/>
          <w:b/>
          <w:bCs/>
          <w:color w:val="1A3A5C"/>
          <w:sz w:val="24"/>
          <w:szCs w:val="24"/>
        </w:rPr>
        <w:t xml:space="preserve">Evidence Confidence Matrix</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260"/>
        <w:gridCol w:w="3420"/>
      </w:tblGrid>
      <w:tr>
        <w:trPr>
          <w:tblHeader/>
        </w:trPr>
        <w:tc>
          <w:tcPr>
            <w:tcW w:type="dxa" w:w="312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Finding / Insight</w:t>
            </w:r>
          </w:p>
        </w:tc>
        <w:tc>
          <w:tcPr>
            <w:tcW w:type="dxa" w:w="156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Source</w:t>
            </w:r>
          </w:p>
        </w:tc>
        <w:tc>
          <w:tcPr>
            <w:tcW w:type="dxa" w:w="126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Confidence</w:t>
            </w:r>
          </w:p>
        </w:tc>
        <w:tc>
          <w:tcPr>
            <w:tcW w:type="dxa" w:w="3420"/>
            <w:tcBorders>
              <w:top w:val="single" w:color="CBD5E1" w:sz="6"/>
              <w:left w:val="single" w:color="CBD5E1" w:sz="6"/>
              <w:bottom w:val="single" w:color="CBD5E1" w:sz="6"/>
              <w:right w:val="single" w:color="CBD5E1" w:sz="6"/>
            </w:tcBorders>
            <w:shd w:fill="1A3A5C" w:val="clear"/>
            <w:vAlign w:val="center"/>
          </w:tcPr>
          <w:p>
            <w:pPr>
              <w:spacing w:after="80" w:before="80"/>
              <w:jc w:val="center"/>
            </w:pPr>
            <w:r>
              <w:rPr>
                <w:rFonts w:ascii="Calibri" w:cs="Calibri" w:eastAsia="Calibri" w:hAnsi="Calibri"/>
                <w:b/>
                <w:bCs/>
                <w:color w:val="FFFFFF"/>
                <w:sz w:val="20"/>
                <w:szCs w:val="20"/>
              </w:rPr>
              <w:t xml:space="preserve">Key Limitation</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Market size &amp; growth ($9.1B → $27B)</w:t>
            </w:r>
          </w:p>
        </w:tc>
        <w:tc>
          <w:tcPr>
            <w:tcW w:type="dxa" w:w="156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FFBEB" w:val="clear"/>
          </w:tcPr>
          <w:p>
            <w:pPr>
              <w:spacing w:after="60" w:before="60"/>
              <w:jc w:val="center"/>
            </w:pPr>
            <w:r>
              <w:rPr>
                <w:rFonts w:ascii="Calibri" w:cs="Calibri" w:eastAsia="Calibri" w:hAnsi="Calibri"/>
                <w:b w:val="false"/>
                <w:bCs w:val="false"/>
                <w:color w:val="92400E"/>
                <w:sz w:val="20"/>
                <w:szCs w:val="20"/>
              </w:rPr>
              <w:t xml:space="preserve">Medium</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Forward projections; no downside scenario modeled</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Duopoly structure (58/42 split)</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bCs/>
                <w:color w:val="065F46"/>
                <w:sz w:val="20"/>
                <w:szCs w:val="20"/>
              </w:rPr>
              <w:t xml:space="preserve">High</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May have shifted since Q1 FY26 reporting period</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Emerging challengers (Rapido, Zepto, Flipkart)</w:t>
            </w:r>
          </w:p>
        </w:tc>
        <w:tc>
          <w:tcPr>
            <w:tcW w:type="dxa" w:w="156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FFBEB" w:val="clear"/>
          </w:tcPr>
          <w:p>
            <w:pPr>
              <w:spacing w:after="60" w:before="60"/>
              <w:jc w:val="center"/>
            </w:pPr>
            <w:r>
              <w:rPr>
                <w:rFonts w:ascii="Calibri" w:cs="Calibri" w:eastAsia="Calibri" w:hAnsi="Calibri"/>
                <w:b w:val="false"/>
                <w:bCs w:val="false"/>
                <w:color w:val="92400E"/>
                <w:sz w:val="20"/>
                <w:szCs w:val="20"/>
              </w:rPr>
              <w:t xml:space="preserve">Medium</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Launches confirmed; scale viability unproven</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Consumer ordering patterns (biryani dominance, AOV)</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val="false"/>
                <w:bCs w:val="false"/>
                <w:color w:val="065F46"/>
                <w:sz w:val="20"/>
                <w:szCs w:val="20"/>
              </w:rPr>
              <w:t xml:space="preserve">Medium-High</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Based on platform self-reported data</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South India as bellwether</w:t>
            </w:r>
          </w:p>
        </w:tc>
        <w:tc>
          <w:tcPr>
            <w:tcW w:type="dxa" w:w="156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bCs/>
                <w:color w:val="065F46"/>
                <w:sz w:val="20"/>
                <w:szCs w:val="20"/>
              </w:rPr>
              <w:t xml:space="preserve">High</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Corroborated by multiple independent sources</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Regulatory risk (CCI, Social Security Code, FSSAI)</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0FFF4" w:val="clear"/>
          </w:tcPr>
          <w:p>
            <w:pPr>
              <w:spacing w:after="60" w:before="60"/>
              <w:jc w:val="center"/>
            </w:pPr>
            <w:r>
              <w:rPr>
                <w:rFonts w:ascii="Calibri" w:cs="Calibri" w:eastAsia="Calibri" w:hAnsi="Calibri"/>
                <w:b w:val="false"/>
                <w:bCs w:val="false"/>
                <w:color w:val="065F46"/>
                <w:sz w:val="20"/>
                <w:szCs w:val="20"/>
              </w:rPr>
              <w:t xml:space="preserve">Medium-High</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Regulatory actions confirmed; financial impact not quantified</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Tier-2/3 growth opportunity</w:t>
            </w:r>
          </w:p>
        </w:tc>
        <w:tc>
          <w:tcPr>
            <w:tcW w:type="dxa" w:w="1560"/>
            <w:tcBorders>
              <w:top w:val="single" w:color="CBD5E1" w:sz="6"/>
              <w:left w:val="single" w:color="CBD5E1" w:sz="6"/>
              <w:bottom w:val="single" w:color="CBD5E1" w:sz="6"/>
              <w:right w:val="single" w:color="CBD5E1" w:sz="6"/>
            </w:tcBorders>
            <w:shd w:fill="EEF6FF" w:val="clear"/>
          </w:tcPr>
          <w:p>
            <w:pPr>
              <w:spacing w:after="60" w:before="60"/>
              <w:jc w:val="center"/>
            </w:pPr>
            <w:r>
              <w:rPr>
                <w:rFonts w:ascii="Calibri" w:cs="Calibri" w:eastAsia="Calibri" w:hAnsi="Calibri"/>
                <w:b w:val="false"/>
                <w:bCs w:val="false"/>
                <w:color w:val="1D4ED8"/>
                <w:sz w:val="20"/>
                <w:szCs w:val="20"/>
              </w:rPr>
              <w:t xml:space="preserve">[Quick Research]</w:t>
            </w:r>
          </w:p>
        </w:tc>
        <w:tc>
          <w:tcPr>
            <w:tcW w:type="dxa" w:w="1260"/>
            <w:tcBorders>
              <w:top w:val="single" w:color="CBD5E1" w:sz="6"/>
              <w:left w:val="single" w:color="CBD5E1" w:sz="6"/>
              <w:bottom w:val="single" w:color="CBD5E1" w:sz="6"/>
              <w:right w:val="single" w:color="CBD5E1" w:sz="6"/>
            </w:tcBorders>
            <w:shd w:fill="FFFBEB" w:val="clear"/>
          </w:tcPr>
          <w:p>
            <w:pPr>
              <w:spacing w:after="60" w:before="60"/>
              <w:jc w:val="center"/>
            </w:pPr>
            <w:r>
              <w:rPr>
                <w:rFonts w:ascii="Calibri" w:cs="Calibri" w:eastAsia="Calibri" w:hAnsi="Calibri"/>
                <w:b w:val="false"/>
                <w:bCs w:val="false"/>
                <w:color w:val="92400E"/>
                <w:sz w:val="20"/>
                <w:szCs w:val="20"/>
              </w:rPr>
              <w:t xml:space="preserve">Medium</w:t>
            </w:r>
          </w:p>
        </w:tc>
        <w:tc>
          <w:tcPr>
            <w:tcW w:type="dxa" w:w="3420"/>
            <w:tcBorders>
              <w:top w:val="single" w:color="CBD5E1" w:sz="6"/>
              <w:left w:val="single" w:color="CBD5E1" w:sz="6"/>
              <w:bottom w:val="single" w:color="CBD5E1" w:sz="6"/>
              <w:right w:val="single" w:color="CBD5E1" w:sz="6"/>
            </w:tcBorders>
            <w:shd w:fill="FFFFFF" w:val="clear"/>
          </w:tcPr>
          <w:p>
            <w:pPr>
              <w:spacing w:after="60" w:before="60"/>
              <w:jc w:val="left"/>
            </w:pPr>
            <w:r>
              <w:rPr>
                <w:rFonts w:ascii="Calibri" w:cs="Calibri" w:eastAsia="Calibri" w:hAnsi="Calibri"/>
                <w:b w:val="false"/>
                <w:bCs w:val="false"/>
                <w:color w:val="222222"/>
                <w:sz w:val="20"/>
                <w:szCs w:val="20"/>
              </w:rPr>
              <w:t xml:space="preserve">Growth signal credible; profitability unproven</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City-level operational differences</w:t>
            </w:r>
          </w:p>
        </w:tc>
        <w:tc>
          <w:tcPr>
            <w:tcW w:type="dxa" w:w="156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val="false"/>
                <w:bCs w:val="false"/>
                <w:color w:val="DC2626"/>
                <w:sz w:val="20"/>
                <w:szCs w:val="20"/>
              </w:rPr>
              <w:t xml:space="preserve">[Dataset]</w:t>
            </w:r>
          </w:p>
        </w:tc>
        <w:tc>
          <w:tcPr>
            <w:tcW w:type="dxa" w:w="126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bCs/>
                <w:color w:val="DC2626"/>
                <w:sz w:val="20"/>
                <w:szCs w:val="20"/>
              </w:rPr>
              <w:t xml:space="preserve">Low</w:t>
            </w:r>
          </w:p>
        </w:tc>
        <w:tc>
          <w:tcPr>
            <w:tcW w:type="dxa" w:w="3420"/>
            <w:tcBorders>
              <w:top w:val="single" w:color="CBD5E1" w:sz="6"/>
              <w:left w:val="single" w:color="CBD5E1" w:sz="6"/>
              <w:bottom w:val="single" w:color="CBD5E1" w:sz="6"/>
              <w:right w:val="single" w:color="CBD5E1" w:sz="6"/>
            </w:tcBorders>
            <w:shd w:fill="FFF0F0" w:val="clear"/>
          </w:tcPr>
          <w:p>
            <w:pPr>
              <w:spacing w:after="60" w:before="60"/>
              <w:jc w:val="left"/>
            </w:pPr>
            <w:r>
              <w:rPr>
                <w:rFonts w:ascii="Calibri" w:cs="Calibri" w:eastAsia="Calibri" w:hAnsi="Calibri"/>
                <w:b w:val="false"/>
                <w:bCs w:val="false"/>
                <w:color w:val="222222"/>
                <w:sz w:val="20"/>
                <w:szCs w:val="20"/>
              </w:rPr>
              <w:t xml:space="preserve">Synthetic data; uniform distributions; no meaningful city variation</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Customer satisfaction drivers</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DC2626"/>
                <w:sz w:val="20"/>
                <w:szCs w:val="20"/>
              </w:rPr>
              <w:t xml:space="preserve">[Dataset]</w:t>
            </w:r>
          </w:p>
        </w:tc>
        <w:tc>
          <w:tcPr>
            <w:tcW w:type="dxa" w:w="126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bCs/>
                <w:color w:val="DC2626"/>
                <w:sz w:val="20"/>
                <w:szCs w:val="20"/>
              </w:rPr>
              <w:t xml:space="preserve">Low</w:t>
            </w:r>
          </w:p>
        </w:tc>
        <w:tc>
          <w:tcPr>
            <w:tcW w:type="dxa" w:w="3420"/>
            <w:tcBorders>
              <w:top w:val="single" w:color="CBD5E1" w:sz="6"/>
              <w:left w:val="single" w:color="CBD5E1" w:sz="6"/>
              <w:bottom w:val="single" w:color="CBD5E1" w:sz="6"/>
              <w:right w:val="single" w:color="CBD5E1" w:sz="6"/>
            </w:tcBorders>
            <w:shd w:fill="FFF0F0" w:val="clear"/>
          </w:tcPr>
          <w:p>
            <w:pPr>
              <w:spacing w:after="60" w:before="60"/>
              <w:jc w:val="left"/>
            </w:pPr>
            <w:r>
              <w:rPr>
                <w:rFonts w:ascii="Calibri" w:cs="Calibri" w:eastAsia="Calibri" w:hAnsi="Calibri"/>
                <w:b w:val="false"/>
                <w:bCs w:val="false"/>
                <w:color w:val="222222"/>
                <w:sz w:val="20"/>
                <w:szCs w:val="20"/>
              </w:rPr>
              <w:t xml:space="preserve">Near-zero correlations (all |r| &lt; 0.02); satisfaction appears randomly assigned</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Food item / cuisine preferences</w:t>
            </w:r>
          </w:p>
        </w:tc>
        <w:tc>
          <w:tcPr>
            <w:tcW w:type="dxa" w:w="156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val="false"/>
                <w:bCs w:val="false"/>
                <w:color w:val="DC2626"/>
                <w:sz w:val="20"/>
                <w:szCs w:val="20"/>
              </w:rPr>
              <w:t xml:space="preserve">[Dataset]</w:t>
            </w:r>
          </w:p>
        </w:tc>
        <w:tc>
          <w:tcPr>
            <w:tcW w:type="dxa" w:w="126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bCs/>
                <w:color w:val="DC2626"/>
                <w:sz w:val="20"/>
                <w:szCs w:val="20"/>
              </w:rPr>
              <w:t xml:space="preserve">Low</w:t>
            </w:r>
          </w:p>
        </w:tc>
        <w:tc>
          <w:tcPr>
            <w:tcW w:type="dxa" w:w="3420"/>
            <w:tcBorders>
              <w:top w:val="single" w:color="CBD5E1" w:sz="6"/>
              <w:left w:val="single" w:color="CBD5E1" w:sz="6"/>
              <w:bottom w:val="single" w:color="CBD5E1" w:sz="6"/>
              <w:right w:val="single" w:color="CBD5E1" w:sz="6"/>
            </w:tcBorders>
            <w:shd w:fill="FFF0F0" w:val="clear"/>
          </w:tcPr>
          <w:p>
            <w:pPr>
              <w:spacing w:after="60" w:before="60"/>
              <w:jc w:val="left"/>
            </w:pPr>
            <w:r>
              <w:rPr>
                <w:rFonts w:ascii="Calibri" w:cs="Calibri" w:eastAsia="Calibri" w:hAnsi="Calibri"/>
                <w:b w:val="false"/>
                <w:bCs w:val="false"/>
                <w:color w:val="222222"/>
                <w:sz w:val="20"/>
                <w:szCs w:val="20"/>
              </w:rPr>
              <w:t xml:space="preserve">No Indian cuisine category; items atypical for Indian market; uniform distribution</w:t>
            </w:r>
          </w:p>
        </w:tc>
      </w:tr>
      <w:tr>
        <w:trPr>
          <w:tblHeader w:val="false"/>
        </w:trPr>
        <w:tc>
          <w:tcPr>
            <w:tcW w:type="dxa" w:w="3120"/>
            <w:tcBorders>
              <w:top w:val="single" w:color="CBD5E1" w:sz="6"/>
              <w:left w:val="single" w:color="CBD5E1" w:sz="6"/>
              <w:bottom w:val="single" w:color="CBD5E1" w:sz="6"/>
              <w:right w:val="single" w:color="CBD5E1" w:sz="6"/>
            </w:tcBorders>
            <w:shd w:fill="F0F4F8" w:val="clear"/>
          </w:tcPr>
          <w:p>
            <w:pPr>
              <w:spacing w:after="60" w:before="60"/>
              <w:jc w:val="left"/>
            </w:pPr>
            <w:r>
              <w:rPr>
                <w:rFonts w:ascii="Calibri" w:cs="Calibri" w:eastAsia="Calibri" w:hAnsi="Calibri"/>
                <w:b/>
                <w:bCs/>
                <w:color w:val="222222"/>
                <w:sz w:val="20"/>
                <w:szCs w:val="20"/>
              </w:rPr>
              <w:t xml:space="preserve">Delivery performance patterns</w:t>
            </w:r>
          </w:p>
        </w:tc>
        <w:tc>
          <w:tcPr>
            <w:tcW w:type="dxa" w:w="1560"/>
            <w:tcBorders>
              <w:top w:val="single" w:color="CBD5E1" w:sz="6"/>
              <w:left w:val="single" w:color="CBD5E1" w:sz="6"/>
              <w:bottom w:val="single" w:color="CBD5E1" w:sz="6"/>
              <w:right w:val="single" w:color="CBD5E1" w:sz="6"/>
            </w:tcBorders>
            <w:shd w:fill="FFFFFF" w:val="clear"/>
          </w:tcPr>
          <w:p>
            <w:pPr>
              <w:spacing w:after="60" w:before="60"/>
              <w:jc w:val="center"/>
            </w:pPr>
            <w:r>
              <w:rPr>
                <w:rFonts w:ascii="Calibri" w:cs="Calibri" w:eastAsia="Calibri" w:hAnsi="Calibri"/>
                <w:b w:val="false"/>
                <w:bCs w:val="false"/>
                <w:color w:val="DC2626"/>
                <w:sz w:val="20"/>
                <w:szCs w:val="20"/>
              </w:rPr>
              <w:t xml:space="preserve">[Dataset]</w:t>
            </w:r>
          </w:p>
        </w:tc>
        <w:tc>
          <w:tcPr>
            <w:tcW w:type="dxa" w:w="1260"/>
            <w:tcBorders>
              <w:top w:val="single" w:color="CBD5E1" w:sz="6"/>
              <w:left w:val="single" w:color="CBD5E1" w:sz="6"/>
              <w:bottom w:val="single" w:color="CBD5E1" w:sz="6"/>
              <w:right w:val="single" w:color="CBD5E1" w:sz="6"/>
            </w:tcBorders>
            <w:shd w:fill="FFF0F0" w:val="clear"/>
          </w:tcPr>
          <w:p>
            <w:pPr>
              <w:spacing w:after="60" w:before="60"/>
              <w:jc w:val="center"/>
            </w:pPr>
            <w:r>
              <w:rPr>
                <w:rFonts w:ascii="Calibri" w:cs="Calibri" w:eastAsia="Calibri" w:hAnsi="Calibri"/>
                <w:b/>
                <w:bCs/>
                <w:color w:val="DC2626"/>
                <w:sz w:val="20"/>
                <w:szCs w:val="20"/>
              </w:rPr>
              <w:t xml:space="preserve">Low</w:t>
            </w:r>
          </w:p>
        </w:tc>
        <w:tc>
          <w:tcPr>
            <w:tcW w:type="dxa" w:w="3420"/>
            <w:tcBorders>
              <w:top w:val="single" w:color="CBD5E1" w:sz="6"/>
              <w:left w:val="single" w:color="CBD5E1" w:sz="6"/>
              <w:bottom w:val="single" w:color="CBD5E1" w:sz="6"/>
              <w:right w:val="single" w:color="CBD5E1" w:sz="6"/>
            </w:tcBorders>
            <w:shd w:fill="FFF0F0" w:val="clear"/>
          </w:tcPr>
          <w:p>
            <w:pPr>
              <w:spacing w:after="60" w:before="60"/>
              <w:jc w:val="left"/>
            </w:pPr>
            <w:r>
              <w:rPr>
                <w:rFonts w:ascii="Calibri" w:cs="Calibri" w:eastAsia="Calibri" w:hAnsi="Calibri"/>
                <w:b w:val="false"/>
                <w:bCs w:val="false"/>
                <w:color w:val="222222"/>
                <w:sz w:val="20"/>
                <w:szCs w:val="20"/>
              </w:rPr>
              <w:t xml:space="preserve">Uniform delay distribution; impossible weather values; unrealistic walk distances</w:t>
            </w:r>
          </w:p>
        </w:tc>
      </w:tr>
    </w:tbl>
    <w:p>
      <w:pPr>
        <w:spacing w:after="0" w:before="160"/>
      </w:pPr>
      <w:r>
        <w:t xml:space="preserve"/>
      </w:r>
    </w:p>
    <w:p>
      <w:pPr>
        <w:pStyle w:val="SubHead"/>
      </w:pPr>
      <w:r>
        <w:rPr>
          <w:rFonts w:ascii="Calibri" w:cs="Calibri" w:eastAsia="Calibri" w:hAnsi="Calibri"/>
          <w:b/>
          <w:bCs/>
          <w:color w:val="1A3A5C"/>
          <w:sz w:val="24"/>
          <w:szCs w:val="24"/>
        </w:rPr>
        <w:t xml:space="preserve">Internal Dataset: Synthetic Data Indicators</w:t>
      </w:r>
    </w:p>
    <w:p>
      <w:pPr>
        <w:pStyle w:val="BodyText"/>
        <w:spacing/>
      </w:pPr>
      <w:r>
        <w:rPr>
          <w:rFonts w:ascii="Calibri" w:cs="Calibri" w:eastAsia="Calibri" w:hAnsi="Calibri"/>
          <w:b w:val="false"/>
          <w:bCs w:val="false"/>
          <w:color w:val="222222"/>
          <w:sz w:val="22"/>
          <w:szCs w:val="22"/>
        </w:rPr>
        <w:t xml:space="preserve">The statistical audit identified 10 specific indicators confirming the dataset is synthetically generated:</w:t>
      </w:r>
    </w:p>
    <w:p>
      <w:pPr>
        <w:spacing w:after="0" w:before="60"/>
      </w:pPr>
      <w:r>
        <w:t xml:space="preserve"/>
      </w:r>
    </w:p>
    <w:p>
      <w:pPr>
        <w:pStyle w:val="ListParagraph"/>
        <w:numPr>
          <w:ilvl w:val="0"/>
          <w:numId w:val="2"/>
        </w:numPr>
        <w:spacing w:after="40" w:before="40"/>
      </w:pPr>
      <w:r>
        <w:rPr>
          <w:rFonts w:ascii="Calibri" w:cs="Calibri" w:eastAsia="Calibri" w:hAnsi="Calibri"/>
          <w:b/>
          <w:bCs/>
          <w:color w:val="DC2626"/>
          <w:sz w:val="22"/>
          <w:szCs w:val="22"/>
        </w:rPr>
        <w:t xml:space="preserve">1.  </w:t>
      </w:r>
      <w:r>
        <w:rPr>
          <w:rFonts w:ascii="Calibri" w:cs="Calibri" w:eastAsia="Calibri" w:hAnsi="Calibri"/>
          <w:color w:val="222222"/>
          <w:sz w:val="22"/>
          <w:szCs w:val="22"/>
        </w:rPr>
        <w:t xml:space="preserve">Near-uniform distributions across all categorical variables (chi-square p-values 0.09–0.82)</w:t>
      </w:r>
    </w:p>
    <w:p>
      <w:pPr>
        <w:pStyle w:val="ListParagraph"/>
        <w:numPr>
          <w:ilvl w:val="0"/>
          <w:numId w:val="2"/>
        </w:numPr>
        <w:spacing w:after="40" w:before="40"/>
      </w:pPr>
      <w:r>
        <w:rPr>
          <w:rFonts w:ascii="Calibri" w:cs="Calibri" w:eastAsia="Calibri" w:hAnsi="Calibri"/>
          <w:b/>
          <w:bCs/>
          <w:color w:val="DC2626"/>
          <w:sz w:val="22"/>
          <w:szCs w:val="22"/>
        </w:rPr>
        <w:t xml:space="preserve">2.  </w:t>
      </w:r>
      <w:r>
        <w:rPr>
          <w:rFonts w:ascii="Calibri" w:cs="Calibri" w:eastAsia="Calibri" w:hAnsi="Calibri"/>
          <w:color w:val="222222"/>
          <w:sz w:val="22"/>
          <w:szCs w:val="22"/>
        </w:rPr>
        <w:t xml:space="preserve">"Snowy" weather in Chennai, Mumbai, Hyderabad (33.6% of all orders)</w:t>
      </w:r>
    </w:p>
    <w:p>
      <w:pPr>
        <w:pStyle w:val="ListParagraph"/>
        <w:numPr>
          <w:ilvl w:val="0"/>
          <w:numId w:val="2"/>
        </w:numPr>
        <w:spacing w:after="40" w:before="40"/>
      </w:pPr>
      <w:r>
        <w:rPr>
          <w:rFonts w:ascii="Calibri" w:cs="Calibri" w:eastAsia="Calibri" w:hAnsi="Calibri"/>
          <w:b/>
          <w:bCs/>
          <w:color w:val="DC2626"/>
          <w:sz w:val="22"/>
          <w:szCs w:val="22"/>
        </w:rPr>
        <w:t xml:space="preserve">3.  </w:t>
      </w:r>
      <w:r>
        <w:rPr>
          <w:rFonts w:ascii="Calibri" w:cs="Calibri" w:eastAsia="Calibri" w:hAnsi="Calibri"/>
          <w:color w:val="222222"/>
          <w:sz w:val="22"/>
          <w:szCs w:val="22"/>
        </w:rPr>
        <w:t xml:space="preserve">Unrealistic combinations: 38.2% of "Walk" deliveries cover 10–15 km</w:t>
      </w:r>
    </w:p>
    <w:p>
      <w:pPr>
        <w:pStyle w:val="ListParagraph"/>
        <w:numPr>
          <w:ilvl w:val="0"/>
          <w:numId w:val="2"/>
        </w:numPr>
        <w:spacing w:after="40" w:before="40"/>
      </w:pPr>
      <w:r>
        <w:rPr>
          <w:rFonts w:ascii="Calibri" w:cs="Calibri" w:eastAsia="Calibri" w:hAnsi="Calibri"/>
          <w:b/>
          <w:bCs/>
          <w:color w:val="DC2626"/>
          <w:sz w:val="22"/>
          <w:szCs w:val="22"/>
        </w:rPr>
        <w:t xml:space="preserve">4.  </w:t>
      </w:r>
      <w:r>
        <w:rPr>
          <w:rFonts w:ascii="Calibri" w:cs="Calibri" w:eastAsia="Calibri" w:hAnsi="Calibri"/>
          <w:color w:val="222222"/>
          <w:sz w:val="22"/>
          <w:szCs w:val="22"/>
        </w:rPr>
        <w:t xml:space="preserve">No Indian cuisine category: all 5 cuisines are Western/international</w:t>
      </w:r>
    </w:p>
    <w:p>
      <w:pPr>
        <w:pStyle w:val="ListParagraph"/>
        <w:numPr>
          <w:ilvl w:val="0"/>
          <w:numId w:val="2"/>
        </w:numPr>
        <w:spacing w:after="40" w:before="40"/>
      </w:pPr>
      <w:r>
        <w:rPr>
          <w:rFonts w:ascii="Calibri" w:cs="Calibri" w:eastAsia="Calibri" w:hAnsi="Calibri"/>
          <w:b/>
          <w:bCs/>
          <w:color w:val="DC2626"/>
          <w:sz w:val="22"/>
          <w:szCs w:val="22"/>
        </w:rPr>
        <w:t xml:space="preserve">5.  </w:t>
      </w:r>
      <w:r>
        <w:rPr>
          <w:rFonts w:ascii="Calibri" w:cs="Calibri" w:eastAsia="Calibri" w:hAnsi="Calibri"/>
          <w:color w:val="222222"/>
          <w:sz w:val="22"/>
          <w:szCs w:val="22"/>
        </w:rPr>
        <w:t xml:space="preserve">Equal city weighting: all 10 cities at ~2,000 orders (ratio 1.06:1)</w:t>
      </w:r>
    </w:p>
    <w:p>
      <w:pPr>
        <w:pStyle w:val="ListParagraph"/>
        <w:numPr>
          <w:ilvl w:val="0"/>
          <w:numId w:val="2"/>
        </w:numPr>
        <w:spacing w:after="40" w:before="40"/>
      </w:pPr>
      <w:r>
        <w:rPr>
          <w:rFonts w:ascii="Calibri" w:cs="Calibri" w:eastAsia="Calibri" w:hAnsi="Calibri"/>
          <w:b/>
          <w:bCs/>
          <w:color w:val="DC2626"/>
          <w:sz w:val="22"/>
          <w:szCs w:val="22"/>
        </w:rPr>
        <w:t xml:space="preserve">6.  </w:t>
      </w:r>
      <w:r>
        <w:rPr>
          <w:rFonts w:ascii="Calibri" w:cs="Calibri" w:eastAsia="Calibri" w:hAnsi="Calibri"/>
          <w:color w:val="222222"/>
          <w:sz w:val="22"/>
          <w:szCs w:val="22"/>
        </w:rPr>
        <w:t xml:space="preserve">One order per customer: 20,000 unique customers for exactly 20,000 orders</w:t>
      </w:r>
    </w:p>
    <w:p>
      <w:pPr>
        <w:pStyle w:val="ListParagraph"/>
        <w:numPr>
          <w:ilvl w:val="0"/>
          <w:numId w:val="2"/>
        </w:numPr>
        <w:spacing w:after="40" w:before="40"/>
      </w:pPr>
      <w:r>
        <w:rPr>
          <w:rFonts w:ascii="Calibri" w:cs="Calibri" w:eastAsia="Calibri" w:hAnsi="Calibri"/>
          <w:b/>
          <w:bCs/>
          <w:color w:val="DC2626"/>
          <w:sz w:val="22"/>
          <w:szCs w:val="22"/>
        </w:rPr>
        <w:t xml:space="preserve">7.  </w:t>
      </w:r>
      <w:r>
        <w:rPr>
          <w:rFonts w:ascii="Calibri" w:cs="Calibri" w:eastAsia="Calibri" w:hAnsi="Calibri"/>
          <w:color w:val="222222"/>
          <w:sz w:val="22"/>
          <w:szCs w:val="22"/>
        </w:rPr>
        <w:t xml:space="preserve">Suspiciously round bounds: delay exactly -10.00 to +20.00; order values 5.00 to 49.99</w:t>
      </w:r>
    </w:p>
    <w:p>
      <w:pPr>
        <w:pStyle w:val="ListParagraph"/>
        <w:numPr>
          <w:ilvl w:val="0"/>
          <w:numId w:val="2"/>
        </w:numPr>
        <w:spacing w:after="40" w:before="40"/>
      </w:pPr>
      <w:r>
        <w:rPr>
          <w:rFonts w:ascii="Calibri" w:cs="Calibri" w:eastAsia="Calibri" w:hAnsi="Calibri"/>
          <w:b/>
          <w:bCs/>
          <w:color w:val="DC2626"/>
          <w:sz w:val="22"/>
          <w:szCs w:val="22"/>
        </w:rPr>
        <w:t xml:space="preserve">8.  </w:t>
      </w:r>
      <w:r>
        <w:rPr>
          <w:rFonts w:ascii="Calibri" w:cs="Calibri" w:eastAsia="Calibri" w:hAnsi="Calibri"/>
          <w:color w:val="222222"/>
          <w:sz w:val="22"/>
          <w:szCs w:val="22"/>
        </w:rPr>
        <w:t xml:space="preserve">Near-zero correlations: customer satisfaction shows |r| &lt; 0.02 with every quality metric</w:t>
      </w:r>
    </w:p>
    <w:p>
      <w:pPr>
        <w:pStyle w:val="ListParagraph"/>
        <w:numPr>
          <w:ilvl w:val="0"/>
          <w:numId w:val="2"/>
        </w:numPr>
        <w:spacing w:after="40" w:before="40"/>
      </w:pPr>
      <w:r>
        <w:rPr>
          <w:rFonts w:ascii="Calibri" w:cs="Calibri" w:eastAsia="Calibri" w:hAnsi="Calibri"/>
          <w:b/>
          <w:bCs/>
          <w:color w:val="DC2626"/>
          <w:sz w:val="22"/>
          <w:szCs w:val="22"/>
        </w:rPr>
        <w:t xml:space="preserve">9.  </w:t>
      </w:r>
      <w:r>
        <w:rPr>
          <w:rFonts w:ascii="Calibri" w:cs="Calibri" w:eastAsia="Calibri" w:hAnsi="Calibri"/>
          <w:color w:val="222222"/>
          <w:sz w:val="22"/>
          <w:szCs w:val="22"/>
        </w:rPr>
        <w:t xml:space="preserve">No time-of-day data: only dates, no timestamps</w:t>
      </w:r>
    </w:p>
    <w:p>
      <w:pPr>
        <w:pStyle w:val="ListParagraph"/>
        <w:numPr>
          <w:ilvl w:val="0"/>
          <w:numId w:val="2"/>
        </w:numPr>
        <w:spacing w:after="40" w:before="40"/>
      </w:pPr>
      <w:r>
        <w:rPr>
          <w:rFonts w:ascii="Calibri" w:cs="Calibri" w:eastAsia="Calibri" w:hAnsi="Calibri"/>
          <w:b/>
          <w:bCs/>
          <w:color w:val="DC2626"/>
          <w:sz w:val="22"/>
          <w:szCs w:val="22"/>
        </w:rPr>
        <w:t xml:space="preserve">10.  </w:t>
      </w:r>
      <w:r>
        <w:rPr>
          <w:rFonts w:ascii="Calibri" w:cs="Calibri" w:eastAsia="Calibri" w:hAnsi="Calibri"/>
          <w:color w:val="222222"/>
          <w:sz w:val="22"/>
          <w:szCs w:val="22"/>
        </w:rPr>
        <w:t xml:space="preserve">Uniformly distributed delays: KS test p=0.094, consistent with random number generation</w:t>
      </w:r>
    </w:p>
    <w:p>
      <w:pPr>
        <w:spacing w:after="0" w:before="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6"/>
            </w:tcBorders>
            <w:shd w:fill="FFFBEB" w:val="clear"/>
          </w:tcPr>
          <w:p>
            <w:pPr>
              <w:spacing w:after="40" w:before="40"/>
              <w:ind w:left="160"/>
            </w:pPr>
            <w:r>
              <w:rPr>
                <w:rFonts w:ascii="Calibri" w:cs="Calibri" w:eastAsia="Calibri" w:hAnsi="Calibri"/>
                <w:color w:val="7A3800"/>
                <w:sz w:val="20"/>
                <w:szCs w:val="20"/>
              </w:rPr>
              <w:t xml:space="preserve">Conclusion: The dataset should be treated as a simulation or training tool. No operational or strategic decisions</w:t>
            </w:r>
          </w:p>
          <w:p>
            <w:pPr>
              <w:spacing w:after="40" w:before="40"/>
              <w:ind w:left="160"/>
            </w:pPr>
            <w:r>
              <w:rPr>
                <w:rFonts w:ascii="Calibri" w:cs="Calibri" w:eastAsia="Calibri" w:hAnsi="Calibri"/>
                <w:color w:val="7A3800"/>
                <w:sz w:val="20"/>
                <w:szCs w:val="20"/>
              </w:rPr>
              <w:t xml:space="preserve">should be based on its findings alone. The synthetic dataset cannot serve as corroborating evidence for any claim.</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8"/>
              <w:left w:val="none"/>
              <w:bottom w:val="single" w:color="94A3B8" w:sz="8"/>
              <w:right w:val="none"/>
            </w:tcBorders>
            <w:shd w:fill="F8FAFC" w:val="clear"/>
          </w:tcPr>
          <w:p>
            <w:pPr>
              <w:spacing w:after="60" w:before="120"/>
              <w:ind w:left="160"/>
            </w:pPr>
            <w:r>
              <w:rPr>
                <w:rFonts w:ascii="Calibri" w:cs="Calibri" w:eastAsia="Calibri" w:hAnsi="Calibri"/>
                <w:b/>
                <w:bCs/>
                <w:color w:val="1A3A5C"/>
                <w:sz w:val="22"/>
                <w:szCs w:val="22"/>
              </w:rPr>
              <w:t xml:space="preserve">Analytical Note</w:t>
            </w:r>
          </w:p>
          <w:p>
            <w:pPr>
              <w:spacing w:after="120" w:before="40"/>
              <w:ind w:left="160"/>
            </w:pPr>
            <w:r>
              <w:rPr>
                <w:rFonts w:ascii="Calibri" w:cs="Calibri" w:eastAsia="Calibri" w:hAnsi="Calibri"/>
                <w:i/>
                <w:iCs/>
                <w:color w:val="444444"/>
                <w:sz w:val="20"/>
                <w:szCs w:val="20"/>
              </w:rPr>
              <w:t xml:space="preserve">This analysis draws from two materially different evidence tiers. Quick Research findings (competitive landscape, market sizing, regulatory environment, consumer trends) are sourced from company filings, industry databases, and credible media, carrying Medium to High confidence. Internal dataset findings are from a confirmed synthetic dataset and carry Low confidence across all dimensions. Where both sources address similar topics, convergence in topic area does not mean the dataset validates the external findings — the synthetic dataset cannot serve as corroborating evidence for any claim.</w:t>
            </w:r>
          </w:p>
        </w:tc>
      </w:tr>
    </w:tbl>
    <w:p>
      <w:pPr>
        <w:spacing w:after="0" w:before="2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r>
      <w:rPr>
        <w:rFonts w:ascii="Calibri" w:cs="Calibri" w:eastAsia="Calibri" w:hAnsi="Calibri"/>
        <w:color w:val="94A3B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94A3B8"/>
        <w:sz w:val="16"/>
        <w:szCs w:val="16"/>
      </w:rPr>
      <w:t xml:space="preserve">Indian Food Delivery Market Analysis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20" w:before="0"/>
      <w:jc w:val="center"/>
    </w:pPr>
    <w:rPr>
      <w:rFonts w:ascii="Calibri" w:cs="Calibri" w:eastAsia="Calibri" w:hAnsi="Calibri"/>
      <w:b/>
      <w:bCs/>
      <w:color w:val="1A3A5C"/>
      <w:sz w:val="52"/>
      <w:szCs w:val="52"/>
    </w:rPr>
  </w:style>
  <w:style w:type="paragraph" w:styleId="DocSubtitle">
    <w:name w:val="DocSubtitle"/>
    <w:basedOn w:val="Normal"/>
    <w:qFormat/>
    <w:pPr>
      <w:spacing w:after="400" w:before="0"/>
      <w:jc w:val="center"/>
    </w:pPr>
    <w:rPr>
      <w:rFonts w:ascii="Calibri" w:cs="Calibri" w:eastAsia="Calibri" w:hAnsi="Calibri"/>
      <w:i/>
      <w:iCs/>
      <w:color w:val="5A7A9A"/>
      <w:sz w:val="24"/>
      <w:szCs w:val="24"/>
    </w:rPr>
  </w:style>
  <w:style w:type="paragraph" w:styleId="SectionHead">
    <w:name w:val="SectionHead"/>
    <w:basedOn w:val="Normal"/>
    <w:next w:val="Normal"/>
    <w:qFormat/>
    <w:pPr>
      <w:spacing w:after="200" w:before="400"/>
    </w:pPr>
    <w:rPr>
      <w:rFonts w:ascii="Calibri" w:cs="Calibri" w:eastAsia="Calibri" w:hAnsi="Calibri"/>
      <w:b/>
      <w:bCs/>
      <w:color w:val="FFFFFF"/>
      <w:sz w:val="30"/>
      <w:szCs w:val="30"/>
    </w:rPr>
  </w:style>
  <w:style w:type="paragraph" w:styleId="SubHead">
    <w:name w:val="SubHead"/>
    <w:basedOn w:val="Normal"/>
    <w:next w:val="Normal"/>
    <w:qFormat/>
    <w:pPr>
      <w:spacing w:after="120" w:before="280"/>
    </w:pPr>
    <w:rPr>
      <w:rFonts w:ascii="Calibri" w:cs="Calibri" w:eastAsia="Calibri" w:hAnsi="Calibri"/>
      <w:b/>
      <w:bCs/>
      <w:color w:val="1A3A5C"/>
      <w:sz w:val="24"/>
      <w:szCs w:val="24"/>
    </w:rPr>
  </w:style>
  <w:style w:type="paragraph" w:styleId="BodyText">
    <w:name w:val="BodyText"/>
    <w:basedOn w:val="Normal"/>
    <w:pPr>
      <w:spacing w:after="140" w:line="268"/>
    </w:pPr>
    <w:rPr>
      <w:rFonts w:ascii="Calibri" w:cs="Calibri" w:eastAsia="Calibri" w:hAnsi="Calibri"/>
      <w:color w:val="222222"/>
      <w:sz w:val="22"/>
      <w:szCs w:val="22"/>
    </w:rPr>
  </w:style>
  <w:style w:type="paragraph" w:styleId="Caption">
    <w:name w:val="Caption"/>
    <w:basedOn w:val="Normal"/>
    <w:pPr>
      <w:spacing w:after="80"/>
    </w:pPr>
    <w:rPr>
      <w:rFonts w:ascii="Calibri" w:cs="Calibri" w:eastAsia="Calibri" w:hAnsi="Calibri"/>
      <w:i/>
      <w:iCs/>
      <w:color w:val="666666"/>
      <w:sz w:val="18"/>
      <w:szCs w:val="18"/>
    </w:rPr>
  </w:style>
  <w:style w:type="paragraph" w:styleId="Callout">
    <w:name w:val="Callout"/>
    <w:basedOn w:val="Normal"/>
    <w:pPr>
      <w:spacing w:after="80" w:before="80"/>
      <w:ind w:left="360"/>
    </w:pPr>
    <w:rPr>
      <w:rFonts w:ascii="Calibri" w:cs="Calibri" w:eastAsia="Calibri" w:hAnsi="Calibri"/>
      <w:i/>
      <w:iCs/>
      <w:color w:val="7A45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12792A-6AAD-44E3-B3BD-BB989639E573}">
  <we:reference id="WA200010615" version="1.0.10036.0" store="en-us" storeType="OMEX"/>
  <we:alternateReferences/>
  <we:properties>
    <we:property name="Office.AutoShowTaskpaneWithDocument" value="true"/>
    <we:property name="conversationId" value="&quot;0f881090-c623-42a8-a545-bd63afee21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2026-09-13T11:00:55.363Z</dcterms:created>
  <dcterms:modified xsi:type="dcterms:W3CDTF">2026-09-13T11:00:55.363Z</dcterms:modified>
</cp:coreProperties>
</file>

<file path=docProps/custom.xml><?xml version="1.0" encoding="utf-8"?>
<Properties xmlns="http://schemas.openxmlformats.org/officeDocument/2006/custom-properties" xmlns:vt="http://schemas.openxmlformats.org/officeDocument/2006/docPropsVTypes"/>
</file>