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B3A6B"/>
          <w:sz w:val="48"/>
          <w:szCs w:val="48"/>
        </w:rPr>
        <w:t xml:space="preserve">Reliability Evaluation</w:t>
      </w:r>
    </w:p>
    <w:p>
      <w:pPr>
        <w:spacing w:after="60" w:before="0"/>
      </w:pPr>
      <w:r>
        <w:rPr>
          <w:rFonts w:ascii="Calibri" w:cs="Calibri" w:eastAsia="Calibri" w:hAnsi="Calibri"/>
          <w:b/>
          <w:bCs/>
          <w:color w:val="2E5FA3"/>
          <w:sz w:val="32"/>
          <w:szCs w:val="32"/>
        </w:rPr>
        <w:t xml:space="preserve">Indian Food Delivery Market Analysis</w:t>
      </w:r>
    </w:p>
    <w:p>
      <w:pPr>
        <w:pBdr>
          <w:bottom w:val="single" w:color="1B3A6B" w:sz="8" w:space="8"/>
        </w:pBdr>
        <w:spacing w:after="320" w:before="0"/>
      </w:pPr>
      <w:r>
        <w:rPr>
          <w:rFonts w:ascii="Calibri" w:cs="Calibri" w:eastAsia="Calibri" w:hAnsi="Calibri"/>
          <w:i/>
          <w:iCs/>
          <w:color w:val="666666"/>
          <w:sz w:val="24"/>
          <w:szCs w:val="24"/>
        </w:rPr>
        <w:t xml:space="preserve">September 2026</w:t>
      </w:r>
    </w:p>
    <w:p>
      <w:pPr>
        <w:pStyle w:val="SectionHeader"/>
      </w:pPr>
      <w:r>
        <w:rPr>
          <w:rFonts w:ascii="Calibri" w:cs="Calibri" w:eastAsia="Calibri" w:hAnsi="Calibri"/>
          <w:b/>
          <w:bCs/>
          <w:color w:val="2E5FA3"/>
          <w:sz w:val="28"/>
          <w:szCs w:val="28"/>
        </w:rPr>
        <w:t xml:space="preserve">1  </w:t>
      </w:r>
      <w:r>
        <w:rPr>
          <w:rFonts w:ascii="Calibri" w:cs="Calibri" w:eastAsia="Calibri" w:hAnsi="Calibri"/>
          <w:b/>
          <w:bCs/>
          <w:color w:val="1B3A6B"/>
          <w:sz w:val="28"/>
          <w:szCs w:val="28"/>
        </w:rPr>
        <w:t xml:space="preserve">Foundational Finding</w:t>
      </w:r>
    </w:p>
    <w:p>
      <w:pPr>
        <w:spacing w:after="80"/>
      </w:pPr>
      <w:r>
        <w:t xml:space="preserve"/>
      </w:r>
    </w:p>
    <w:tbl>
      <w:tblPr>
        <w:tblW w:type="dxa" w:w="9360"/>
        <w:tblBorders>
          <w:top w:val="single" w:color="B45309" w:sz="8"/>
          <w:left w:val="single" w:color="B45309" w:sz="12"/>
          <w:bottom w:val="single" w:color="B45309" w:sz="8"/>
          <w:right w:val="single" w:color="B45309" w:sz="8"/>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Pr>
          <w:p>
            <w:pPr>
              <w:spacing w:after="100" w:before="120"/>
            </w:pPr>
            <w:r>
              <w:rPr>
                <w:rFonts w:ascii="Calibri" w:cs="Calibri" w:eastAsia="Calibri" w:hAnsi="Calibri"/>
                <w:sz w:val="24"/>
                <w:szCs w:val="24"/>
              </w:rPr>
              <w:t xml:space="preserve">⚠️  </w:t>
            </w:r>
            <w:r>
              <w:rPr>
                <w:rFonts w:ascii="Calibri" w:cs="Calibri" w:eastAsia="Calibri" w:hAnsi="Calibri"/>
                <w:b/>
                <w:bCs/>
                <w:color w:val="FFFFFF"/>
                <w:sz w:val="24"/>
                <w:szCs w:val="24"/>
              </w:rPr>
              <w:t xml:space="preserve">Critical Finding: The Internal Dataset Is Not Representative of the Indian Food Delivery Market</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Before evaluating individual insights, the most important finding is that the food_delivery_dataset.csv shows overwhelming statistical evidence of being</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synthetically generated — not collected from real-world food delivery operations. This fundamentally limits what can be concluded from it.</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Evidence of synthetic generation:</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Near-uniform distributions across all categorical variables (chi-square p-values: 0.09–0.82)</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Impossible values: "Snowy" weather in Chennai, Mumbai, and Hyderabad (~33% of all orders) — cities where snow essentially never occurs</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Unrealistic combinations: 38.2% of "Walk" deliveries cover 10–15 km distances</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No Indian cuisine category: Preferred cuisines are Mexican, Italian, Asian, American, and Mediterranean only</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Equal city weighting: All 10 cities have ~2,000 orders each (ratio 1.06:1), whereas real markets are heavily concentrated in top metros</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One order per customer: 20,000 unique customers for exactly 20,000 orders — no repeat purchase behaviour</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Suspiciously round bounds: Delivery delay ranges exactly from −10.00 to +20.00; order values from 5.00 to 49.99</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Near-zero correlations: Customer satisfaction shows essentially no correlation with delivery delay (−0.007), food freshness (−0.013), packaging quality (0.011), or any other metric</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No time-of-day data: Only dates, no timestamps — preventing peak-hour analysis</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  Uniformly distributed delays: KS test p=0.094, consistent with random number generation</w:t>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
            </w:r>
          </w:p>
        </w:tc>
      </w:tr>
      <w:tr>
        <w:tc>
          <w:tcPr>
            <w:tcBorders>
              <w:top w:val="none" w:color="FFFFFF" w:sz="0"/>
              <w:left w:val="none" w:color="FFFFFF" w:sz="0"/>
              <w:bottom w:val="none" w:color="FFFFFF" w:sz="0"/>
              <w:right w:val="none" w:color="FFFFFF" w:sz="0"/>
            </w:tcBorders>
            <w:shd w:fill="FFFBEB" w:val="clear"/>
          </w:tcPr>
          <w:p>
            <w:pPr>
              <w:spacing w:after="60" w:before="60" w:line="276"/>
            </w:pPr>
            <w:r>
              <w:rPr>
                <w:rFonts w:ascii="Calibri" w:cs="Calibri" w:eastAsia="Calibri" w:hAnsi="Calibri"/>
                <w:color w:val="1C1C1C"/>
                <w:sz w:val="22"/>
                <w:szCs w:val="22"/>
              </w:rPr>
              <w:t xml:space="preserve">Consequence: Every insight labelled [Dataset] in this evaluation carries Low confidence and should be treated as illustrative, not as operational evidence.</w:t>
            </w:r>
          </w:p>
        </w:tc>
      </w:tr>
    </w:tbl>
    <w:p>
      <w:pPr>
        <w:spacing w:after="80"/>
      </w:pPr>
      <w:r>
        <w:t xml:space="preserve"/>
      </w:r>
    </w:p>
    <w:p>
      <w:pPr>
        <w:pStyle w:val="SectionHeader"/>
      </w:pPr>
      <w:r>
        <w:rPr>
          <w:rFonts w:ascii="Calibri" w:cs="Calibri" w:eastAsia="Calibri" w:hAnsi="Calibri"/>
          <w:b/>
          <w:bCs/>
          <w:color w:val="2E5FA3"/>
          <w:sz w:val="28"/>
          <w:szCs w:val="28"/>
        </w:rPr>
        <w:t xml:space="preserve">2  </w:t>
      </w:r>
      <w:r>
        <w:rPr>
          <w:rFonts w:ascii="Calibri" w:cs="Calibri" w:eastAsia="Calibri" w:hAnsi="Calibri"/>
          <w:b/>
          <w:bCs/>
          <w:color w:val="1B3A6B"/>
          <w:sz w:val="28"/>
          <w:szCs w:val="28"/>
        </w:rPr>
        <w:t xml:space="preserve">Insight-by-Insight Reliability Assessment</w:t>
      </w:r>
    </w:p>
    <w:p>
      <w:pPr>
        <w:pStyle w:val="BodyNormal"/>
        <w:spacing w:after="160"/>
      </w:pPr>
      <w:r>
        <w:t xml:space="preserve">The table below evaluates each major insight from the Market Analysis across seven dimensions. Dataset-sourced findings are highlighted in amber; Quick Research findings in blue.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480"/>
        <w:gridCol w:w="880"/>
        <w:gridCol w:w="1400"/>
        <w:gridCol w:w="1700"/>
        <w:gridCol w:w="760"/>
        <w:gridCol w:w="1820"/>
      </w:tblGrid>
      <w:tr>
        <w:trPr>
          <w:tblHeader/>
        </w:trPr>
        <w:tc>
          <w:tcPr>
            <w:tcW w:type="dxa" w:w="4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w:t>
            </w:r>
          </w:p>
        </w:tc>
        <w:tc>
          <w:tcPr>
            <w:tcW w:type="dxa" w:w="14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Insight</w:t>
            </w:r>
          </w:p>
        </w:tc>
        <w:tc>
          <w:tcPr>
            <w:tcW w:type="dxa" w:w="148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Evidence Supporting It</w:t>
            </w:r>
          </w:p>
        </w:tc>
        <w:tc>
          <w:tcPr>
            <w:tcW w:type="dxa" w:w="88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Evidence Source</w:t>
            </w:r>
          </w:p>
        </w:tc>
        <w:tc>
          <w:tcPr>
            <w:tcW w:type="dxa" w:w="14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Key Assumptions</w:t>
            </w:r>
          </w:p>
        </w:tc>
        <w:tc>
          <w:tcPr>
            <w:tcW w:type="dxa" w:w="17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Missing Information / Data Gaps</w:t>
            </w:r>
          </w:p>
        </w:tc>
        <w:tc>
          <w:tcPr>
            <w:tcW w:type="dxa" w:w="76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Confidence</w:t>
            </w:r>
          </w:p>
        </w:tc>
        <w:tc>
          <w:tcPr>
            <w:tcW w:type="dxa" w:w="182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What Cannot Be Concluded</w:t>
            </w:r>
          </w:p>
        </w:tc>
      </w:tr>
      <w:tr>
        <w:tc>
          <w:tcPr>
            <w:tcW w:type="dxa" w:w="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1B3A6B"/>
                <w:sz w:val="19"/>
                <w:szCs w:val="19"/>
              </w:rPr>
              <w:t xml:space="preserve">1</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Market valued at $9.1B (2024), projected ~$27B by 2030 at ~19% CAGR</w:t>
            </w:r>
          </w:p>
        </w:tc>
        <w:tc>
          <w:tcPr>
            <w:tcW w:type="dxa" w:w="148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BusinessWorld, Statista, industry reports; year-by-year projections ($9.1B → $10.8B → $12.9B → $15.3B → $18.2B → $21.7B → $27.0B)</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Sustained 19% CAGR through 2030; no macro shock or regulatory disruption; tier-2/3 digital adoption continues; no demand compression from fee escalation</w:t>
            </w:r>
          </w:p>
        </w:tc>
        <w:tc>
          <w:tcPr>
            <w:tcW w:type="dxa" w:w="1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No downside scenario modeled; base $9.1B not independently cross-validated; no sensitivity analysis for regulatory cost impact; no metro vs tier-2/3 breakdown</w:t>
            </w:r>
          </w:p>
        </w:tc>
        <w:tc>
          <w:tcPr>
            <w:tcW w:type="dxa" w:w="760"/>
            <w:tcBorders>
              <w:top w:val="single" w:color="BBCDE0" w:sz="4"/>
              <w:left w:val="single" w:color="BBCDE0" w:sz="4"/>
              <w:bottom w:val="single" w:color="BBCDE0" w:sz="4"/>
              <w:right w:val="single" w:color="BBCDE0" w:sz="4"/>
            </w:tcBorders>
            <w:shd w:fill="FFF3CD" w:val="clear"/>
            <w:vAlign w:val="center"/>
          </w:tcPr>
          <w:p>
            <w:pPr>
              <w:spacing w:after="60" w:before="60"/>
              <w:jc w:val="center"/>
            </w:pPr>
            <w:r>
              <w:rPr>
                <w:rFonts w:ascii="Calibri" w:cs="Calibri" w:eastAsia="Calibri" w:hAnsi="Calibri"/>
                <w:b/>
                <w:bCs/>
                <w:color w:val="856404"/>
                <w:sz w:val="19"/>
                <w:szCs w:val="19"/>
              </w:rPr>
              <w:t xml:space="preserve">Medium</w:t>
            </w:r>
          </w:p>
        </w:tc>
        <w:tc>
          <w:tcPr>
            <w:tcW w:type="dxa" w:w="182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Cannot conclude the market will reach $27B — this is a projection without confidence intervals; cannot determine adverse-scenario outcomes</w:t>
            </w:r>
          </w:p>
        </w:tc>
      </w:tr>
      <w:tr>
        <w:tc>
          <w:tcPr>
            <w:tcW w:type="dxa" w:w="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1B3A6B"/>
                <w:sz w:val="19"/>
                <w:szCs w:val="19"/>
              </w:rPr>
              <w:t xml:space="preserve">2</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Zomato–Swiggy duopoly (58%/42%) with Zomato achieving first profitability</w:t>
            </w:r>
          </w:p>
        </w:tc>
        <w:tc>
          <w:tcPr>
            <w:tcW w:type="dxa" w:w="148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Company filings: Zomato FY25 revenue ₹20,243 Cr, net income ₹527 Cr; Swiggy FY25 revenue ₹16,333 Cr, net loss ₹-3,107 Cr; Q1 FY27: Zomato ₹92 Cr profit (+268% YoY), Swiggy ₹-791 Cr loss; ~27M MTUs each</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Market share metric is consistent across sources (GOV vs order count vs revenue); profitability is consolidated including Blinkit</w:t>
            </w:r>
          </w:p>
        </w:tc>
        <w:tc>
          <w:tcPr>
            <w:tcW w:type="dxa" w:w="1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Whether Zomato standalone food delivery is profitable (Blinkit contribution unclear); share metric measurement basis may differ; share may have shifted since Q1 FY26</w:t>
            </w:r>
          </w:p>
        </w:tc>
        <w:tc>
          <w:tcPr>
            <w:tcW w:type="dxa" w:w="760"/>
            <w:tcBorders>
              <w:top w:val="single" w:color="BBCDE0" w:sz="4"/>
              <w:left w:val="single" w:color="BBCDE0" w:sz="4"/>
              <w:bottom w:val="single" w:color="BBCDE0" w:sz="4"/>
              <w:right w:val="single" w:color="BBCDE0" w:sz="4"/>
            </w:tcBorders>
            <w:shd w:fill="D4EDDA" w:val="clear"/>
            <w:vAlign w:val="center"/>
          </w:tcPr>
          <w:p>
            <w:pPr>
              <w:spacing w:after="60" w:before="60"/>
              <w:jc w:val="center"/>
            </w:pPr>
            <w:r>
              <w:rPr>
                <w:rFonts w:ascii="Calibri" w:cs="Calibri" w:eastAsia="Calibri" w:hAnsi="Calibri"/>
                <w:b/>
                <w:bCs/>
                <w:color w:val="155724"/>
                <w:sz w:val="19"/>
                <w:szCs w:val="19"/>
              </w:rPr>
              <w:t xml:space="preserve">High</w:t>
            </w:r>
          </w:p>
        </w:tc>
        <w:tc>
          <w:tcPr>
            <w:tcW w:type="dxa" w:w="182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Cannot conclude either platform has achieved standalone food delivery profitability; cannot determine exact split if measured differently</w:t>
            </w:r>
          </w:p>
        </w:tc>
      </w:tr>
      <w:tr>
        <w:tc>
          <w:tcPr>
            <w:tcW w:type="dxa" w:w="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1B3A6B"/>
                <w:sz w:val="19"/>
                <w:szCs w:val="19"/>
              </w:rPr>
              <w:t xml:space="preserve">3</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Five+ funded challengers contesting the duopoly (Rapido, Zepto, Magicpin, Flipkart, ONDC)</w:t>
            </w:r>
          </w:p>
        </w:tc>
        <w:tc>
          <w:tcPr>
            <w:tcW w:type="dxa" w:w="148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Rapido Ownly live in Bengaluru (Mar 2026), zero-commission; Zepto Cafe expanding nationally; Magicpin in 20 cities, 21,000+ restaurants; Flipkart Bengaluru pilot planned; ONDC ~4.3M monthly orders (Apr 2025)</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Launches are confirmed; at least some will achieve meaningful scale; zero-commission model is economically sustainable</w:t>
            </w:r>
          </w:p>
        </w:tc>
        <w:tc>
          <w:tcPr>
            <w:tcW w:type="dxa" w:w="1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Scale viability for all challengers unproven; ONDC orders declined 34%; Rapido unit economics not disclosed; Flipkart pilot not yet launched</w:t>
            </w:r>
          </w:p>
        </w:tc>
        <w:tc>
          <w:tcPr>
            <w:tcW w:type="dxa" w:w="760"/>
            <w:tcBorders>
              <w:top w:val="single" w:color="BBCDE0" w:sz="4"/>
              <w:left w:val="single" w:color="BBCDE0" w:sz="4"/>
              <w:bottom w:val="single" w:color="BBCDE0" w:sz="4"/>
              <w:right w:val="single" w:color="BBCDE0" w:sz="4"/>
            </w:tcBorders>
            <w:shd w:fill="FFF3CD" w:val="clear"/>
            <w:vAlign w:val="center"/>
          </w:tcPr>
          <w:p>
            <w:pPr>
              <w:spacing w:after="60" w:before="60"/>
              <w:jc w:val="center"/>
            </w:pPr>
            <w:r>
              <w:rPr>
                <w:rFonts w:ascii="Calibri" w:cs="Calibri" w:eastAsia="Calibri" w:hAnsi="Calibri"/>
                <w:b/>
                <w:bCs/>
                <w:color w:val="856404"/>
                <w:sz w:val="19"/>
                <w:szCs w:val="19"/>
              </w:rPr>
              <w:t xml:space="preserve">Medium</w:t>
            </w:r>
          </w:p>
        </w:tc>
        <w:tc>
          <w:tcPr>
            <w:tcW w:type="dxa" w:w="182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Cannot conclude any challenger will achieve national scale; cannot determine if zero-commission is sustainable; cannot assess actual impact on duopoly share</w:t>
            </w:r>
          </w:p>
        </w:tc>
      </w:tr>
      <w:tr>
        <w:tc>
          <w:tcPr>
            <w:tcW w:type="dxa" w:w="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1B3A6B"/>
                <w:sz w:val="19"/>
                <w:szCs w:val="19"/>
              </w:rPr>
              <w:t xml:space="preserve">4</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Platform fees escalated 7–9x (₹2 → ₹15–18/order) against AOV of only $5.20–5.40</w:t>
            </w:r>
          </w:p>
        </w:tc>
        <w:tc>
          <w:tcPr>
            <w:tcW w:type="dxa" w:w="148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Zomato fee ₹14.90, Swiggy ₹17.58 by late 2025; Swiggy implemented 4 hikes in 7 months; AOV $5.20–5.40 from platform-reported data</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Fee levels accurately reported; AOV figures are representative across all cities and order types</w:t>
            </w:r>
          </w:p>
        </w:tc>
        <w:tc>
          <w:tcPr>
            <w:tcW w:type="dxa" w:w="1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Consumer price elasticity data not available; no data on order abandonment rates; no breakdown of fee impact by city tier or order value segment</w:t>
            </w:r>
          </w:p>
        </w:tc>
        <w:tc>
          <w:tcPr>
            <w:tcW w:type="dxa" w:w="760"/>
            <w:tcBorders>
              <w:top w:val="single" w:color="BBCDE0" w:sz="4"/>
              <w:left w:val="single" w:color="BBCDE0" w:sz="4"/>
              <w:bottom w:val="single" w:color="BBCDE0" w:sz="4"/>
              <w:right w:val="single" w:color="BBCDE0" w:sz="4"/>
            </w:tcBorders>
            <w:shd w:fill="D1ECF1" w:val="clear"/>
            <w:vAlign w:val="center"/>
          </w:tcPr>
          <w:p>
            <w:pPr>
              <w:spacing w:after="60" w:before="60"/>
              <w:jc w:val="center"/>
            </w:pPr>
            <w:r>
              <w:rPr>
                <w:rFonts w:ascii="Calibri" w:cs="Calibri" w:eastAsia="Calibri" w:hAnsi="Calibri"/>
                <w:b/>
                <w:bCs/>
                <w:color w:val="0C5460"/>
                <w:sz w:val="19"/>
                <w:szCs w:val="19"/>
              </w:rPr>
              <w:t xml:space="preserve">Medium-High</w:t>
            </w:r>
          </w:p>
        </w:tc>
        <w:tc>
          <w:tcPr>
            <w:tcW w:type="dxa" w:w="182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Cannot conclude what the fee ceiling is before demand destruction; cannot quantify revenue vs volume trade-off of fee increases</w:t>
            </w:r>
          </w:p>
        </w:tc>
      </w:tr>
      <w:tr>
        <w:tc>
          <w:tcPr>
            <w:tcW w:type="dxa" w:w="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1B3A6B"/>
                <w:sz w:val="19"/>
                <w:szCs w:val="19"/>
              </w:rPr>
              <w:t xml:space="preserve">5</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Tier-2/3 cities are the primary growth runway (20–25% of market, 70%+ of new smartphone sales)</w:t>
            </w:r>
          </w:p>
        </w:tc>
        <w:tc>
          <w:tcPr>
            <w:tcW w:type="dxa" w:w="148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660M smartphone users; 16–17B monthly UPI transactions; rural smartphone adoption surged 40% (2020–2024); organised food growing from 47–52% to 60–65% by FY30</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Digital infrastructure adoption translates to food delivery; restaurant supply density in tier-2/3 is sufficient; delivery economics can work at lower AOVs</w:t>
            </w:r>
          </w:p>
        </w:tc>
        <w:tc>
          <w:tcPr>
            <w:tcW w:type="dxa" w:w="1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Unit economics in tier-2/3 explicitly unproven; no data on restaurant density, delivery cost structures, or consumer willingness-to-pay in these markets</w:t>
            </w:r>
          </w:p>
        </w:tc>
        <w:tc>
          <w:tcPr>
            <w:tcW w:type="dxa" w:w="760"/>
            <w:tcBorders>
              <w:top w:val="single" w:color="BBCDE0" w:sz="4"/>
              <w:left w:val="single" w:color="BBCDE0" w:sz="4"/>
              <w:bottom w:val="single" w:color="BBCDE0" w:sz="4"/>
              <w:right w:val="single" w:color="BBCDE0" w:sz="4"/>
            </w:tcBorders>
            <w:shd w:fill="FFF3CD" w:val="clear"/>
            <w:vAlign w:val="center"/>
          </w:tcPr>
          <w:p>
            <w:pPr>
              <w:spacing w:after="60" w:before="60"/>
              <w:jc w:val="center"/>
            </w:pPr>
            <w:r>
              <w:rPr>
                <w:rFonts w:ascii="Calibri" w:cs="Calibri" w:eastAsia="Calibri" w:hAnsi="Calibri"/>
                <w:b/>
                <w:bCs/>
                <w:color w:val="856404"/>
                <w:sz w:val="19"/>
                <w:szCs w:val="19"/>
              </w:rPr>
              <w:t xml:space="preserve">Medium</w:t>
            </w:r>
          </w:p>
        </w:tc>
        <w:tc>
          <w:tcPr>
            <w:tcW w:type="dxa" w:w="182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Cannot conclude tier-2/3 expansion will be profitable; cannot determine which specific cities are viable; dataset tier-2 cities provide no usable evidence (synthetic)</w:t>
            </w:r>
          </w:p>
        </w:tc>
      </w:tr>
      <w:tr>
        <w:tc>
          <w:tcPr>
            <w:tcW w:type="dxa" w:w="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1B3A6B"/>
                <w:sz w:val="19"/>
                <w:szCs w:val="19"/>
              </w:rPr>
              <w:t xml:space="preserve">6</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Regulatory pressure is structural, not cyclical (CCI, Social Security Code, FSSAI)</w:t>
            </w:r>
          </w:p>
        </w:tc>
        <w:tc>
          <w:tcPr>
            <w:tcW w:type="dxa" w:w="148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CCI found Zomato/Swiggy breached competition laws (platform fees separately cleared Jul 2026); Social Security Code effective Nov 2025; FSSAI expanding to cloud kitchens and dark stores</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Regulatory actions will be enforced as enacted; no significant rollback or dilution; cumulative cost impact is material</w:t>
            </w:r>
          </w:p>
        </w:tc>
        <w:tc>
          <w:tcPr>
            <w:tcW w:type="dxa" w:w="1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Financial cost impact not quantified for any of the three regulatory vectors; no modeling of cost pass-through; CCI sent mixed signals (breach finding but fee clearance)</w:t>
            </w:r>
          </w:p>
        </w:tc>
        <w:tc>
          <w:tcPr>
            <w:tcW w:type="dxa" w:w="760"/>
            <w:tcBorders>
              <w:top w:val="single" w:color="BBCDE0" w:sz="4"/>
              <w:left w:val="single" w:color="BBCDE0" w:sz="4"/>
              <w:bottom w:val="single" w:color="BBCDE0" w:sz="4"/>
              <w:right w:val="single" w:color="BBCDE0" w:sz="4"/>
            </w:tcBorders>
            <w:shd w:fill="D1ECF1" w:val="clear"/>
            <w:vAlign w:val="center"/>
          </w:tcPr>
          <w:p>
            <w:pPr>
              <w:spacing w:after="60" w:before="60"/>
              <w:jc w:val="center"/>
            </w:pPr>
            <w:r>
              <w:rPr>
                <w:rFonts w:ascii="Calibri" w:cs="Calibri" w:eastAsia="Calibri" w:hAnsi="Calibri"/>
                <w:b/>
                <w:bCs/>
                <w:color w:val="0C5460"/>
                <w:sz w:val="19"/>
                <w:szCs w:val="19"/>
              </w:rPr>
              <w:t xml:space="preserve">Medium-High</w:t>
            </w:r>
          </w:p>
        </w:tc>
        <w:tc>
          <w:tcPr>
            <w:tcW w:type="dxa" w:w="182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Cannot quantify P&amp;L impact of any specific regulation; cannot determine whether platforms absorb or pass through costs; cannot assess whether regulatory pressure will accelerate or plateau</w:t>
            </w:r>
          </w:p>
        </w:tc>
      </w:tr>
      <w:tr>
        <w:tc>
          <w:tcPr>
            <w:tcW w:type="dxa" w:w="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1B3A6B"/>
                <w:sz w:val="19"/>
                <w:szCs w:val="19"/>
              </w:rPr>
              <w:t xml:space="preserve">7</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South India is the strategic bellwether (Bengaluru ~20% of national orders, 35% of cloud kitchen revenue)</w:t>
            </w:r>
          </w:p>
        </w:tc>
        <w:tc>
          <w:tcPr>
            <w:tcW w:type="dxa" w:w="148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Multiple independent sources confirm Bengaluru's outsized share; South India commands 35% of $1.24B cloud kitchen market; all major challengers testing in southern cities first; Zomato narrowing gap with Swiggy in South</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South India's leading-indicator role will persist; competitive dynamics in Bengaluru are predictive of national trends 12–18 months ahead</w:t>
            </w:r>
          </w:p>
        </w:tc>
        <w:tc>
          <w:tcPr>
            <w:tcW w:type="dxa" w:w="1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No granular city-level order data from platforms; cloud kitchen projection from single source; no historical evidence that South India has predicted national outcomes</w:t>
            </w:r>
          </w:p>
        </w:tc>
        <w:tc>
          <w:tcPr>
            <w:tcW w:type="dxa" w:w="760"/>
            <w:tcBorders>
              <w:top w:val="single" w:color="BBCDE0" w:sz="4"/>
              <w:left w:val="single" w:color="BBCDE0" w:sz="4"/>
              <w:bottom w:val="single" w:color="BBCDE0" w:sz="4"/>
              <w:right w:val="single" w:color="BBCDE0" w:sz="4"/>
            </w:tcBorders>
            <w:shd w:fill="D4EDDA" w:val="clear"/>
            <w:vAlign w:val="center"/>
          </w:tcPr>
          <w:p>
            <w:pPr>
              <w:spacing w:after="60" w:before="60"/>
              <w:jc w:val="center"/>
            </w:pPr>
            <w:r>
              <w:rPr>
                <w:rFonts w:ascii="Calibri" w:cs="Calibri" w:eastAsia="Calibri" w:hAnsi="Calibri"/>
                <w:b/>
                <w:bCs/>
                <w:color w:val="155724"/>
                <w:sz w:val="19"/>
                <w:szCs w:val="19"/>
              </w:rPr>
              <w:t xml:space="preserve">High</w:t>
            </w:r>
          </w:p>
        </w:tc>
        <w:tc>
          <w:tcPr>
            <w:tcW w:type="dxa" w:w="182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Cannot conclude South India trends will always predict national outcomes; dataset Bangalore/Chennai/Hyderabad data provides zero corroboration (synthetic)</w:t>
            </w:r>
          </w:p>
        </w:tc>
      </w:tr>
      <w:tr>
        <w:tc>
          <w:tcPr>
            <w:tcW w:type="dxa" w:w="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1B3A6B"/>
                <w:sz w:val="19"/>
                <w:szCs w:val="19"/>
              </w:rPr>
              <w:t xml:space="preserve">8</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Biryani dominates nationally (93M orders in 2025, ~194/minute)</w:t>
            </w:r>
          </w:p>
        </w:tc>
        <w:tc>
          <w:tcPr>
            <w:tcW w:type="dxa" w:w="148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Swiggy 2025 annual report: 93M biryani orders; chicken biryani leading at 57.7M; heavily driven by Hyderabad and South Indian cities</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Swiggy self-reported data is accurate; Zomato patterns are similar</w:t>
            </w:r>
          </w:p>
        </w:tc>
        <w:tc>
          <w:tcPr>
            <w:tcW w:type="dxa" w:w="1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Zomato cuisine data not available for comparison; no breakdown by city beyond "South Indian cities"; no data on cuisine trends over time (growing vs plateauing)</w:t>
            </w:r>
          </w:p>
        </w:tc>
        <w:tc>
          <w:tcPr>
            <w:tcW w:type="dxa" w:w="760"/>
            <w:tcBorders>
              <w:top w:val="single" w:color="BBCDE0" w:sz="4"/>
              <w:left w:val="single" w:color="BBCDE0" w:sz="4"/>
              <w:bottom w:val="single" w:color="BBCDE0" w:sz="4"/>
              <w:right w:val="single" w:color="BBCDE0" w:sz="4"/>
            </w:tcBorders>
            <w:shd w:fill="D1ECF1" w:val="clear"/>
            <w:vAlign w:val="center"/>
          </w:tcPr>
          <w:p>
            <w:pPr>
              <w:spacing w:after="60" w:before="60"/>
              <w:jc w:val="center"/>
            </w:pPr>
            <w:r>
              <w:rPr>
                <w:rFonts w:ascii="Calibri" w:cs="Calibri" w:eastAsia="Calibri" w:hAnsi="Calibri"/>
                <w:b/>
                <w:bCs/>
                <w:color w:val="0C5460"/>
                <w:sz w:val="19"/>
                <w:szCs w:val="19"/>
              </w:rPr>
              <w:t xml:space="preserve">Medium-High</w:t>
            </w:r>
          </w:p>
        </w:tc>
        <w:tc>
          <w:tcPr>
            <w:tcW w:type="dxa" w:w="182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Cannot conclude biryani dominance applies equally across all regions; cannot determine if trend is growing or stable; dataset contains no biryani category at all</w:t>
            </w:r>
          </w:p>
        </w:tc>
      </w:tr>
      <w:tr>
        <w:tc>
          <w:tcPr>
            <w:tcW w:type="dxa" w:w="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1B3A6B"/>
                <w:sz w:val="19"/>
                <w:szCs w:val="19"/>
              </w:rPr>
              <w:t xml:space="preserve">9</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Loyalty programs are central to retention (Zomato Gold 7.4M, Swiggy One 5.7M subscribers)</w:t>
            </w:r>
          </w:p>
        </w:tc>
        <w:tc>
          <w:tcPr>
            <w:tcW w:type="dxa" w:w="148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Publicly reported subscriber counts; described as "stickiest" customer segments by platforms</w:t>
            </w:r>
          </w:p>
        </w:tc>
        <w:tc>
          <w:tcPr>
            <w:tcW w:type="dxa" w:w="880"/>
            <w:tcBorders>
              <w:top w:val="single" w:color="BBCDE0" w:sz="4"/>
              <w:left w:val="single" w:color="BBCDE0" w:sz="4"/>
              <w:bottom w:val="single" w:color="BBCDE0" w:sz="4"/>
              <w:right w:val="single" w:color="BBCDE0" w:sz="4"/>
            </w:tcBorders>
            <w:shd w:fill="EEF4FF" w:val="clear"/>
          </w:tcPr>
          <w:p>
            <w:pPr>
              <w:spacing w:after="60" w:before="60"/>
            </w:pPr>
            <w:r>
              <w:rPr>
                <w:rFonts w:ascii="Calibri" w:cs="Calibri" w:eastAsia="Calibri" w:hAnsi="Calibri"/>
                <w:b/>
                <w:bCs/>
                <w:color w:val="1B3A6B"/>
                <w:sz w:val="18"/>
                <w:szCs w:val="18"/>
              </w:rPr>
              <w:t xml:space="preserve">Quick Research</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Subscriber counts are accurate; loyalty members have meaningfully higher retention and order frequency</w:t>
            </w:r>
          </w:p>
        </w:tc>
        <w:tc>
          <w:tcPr>
            <w:tcW w:type="dxa" w:w="1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No data on loyalty member vs non-member order frequency, AOV, or retention rates; no churn data; no data on program economics</w:t>
            </w:r>
          </w:p>
        </w:tc>
        <w:tc>
          <w:tcPr>
            <w:tcW w:type="dxa" w:w="760"/>
            <w:tcBorders>
              <w:top w:val="single" w:color="BBCDE0" w:sz="4"/>
              <w:left w:val="single" w:color="BBCDE0" w:sz="4"/>
              <w:bottom w:val="single" w:color="BBCDE0" w:sz="4"/>
              <w:right w:val="single" w:color="BBCDE0" w:sz="4"/>
            </w:tcBorders>
            <w:shd w:fill="FFF3CD" w:val="clear"/>
            <w:vAlign w:val="center"/>
          </w:tcPr>
          <w:p>
            <w:pPr>
              <w:spacing w:after="60" w:before="60"/>
              <w:jc w:val="center"/>
            </w:pPr>
            <w:r>
              <w:rPr>
                <w:rFonts w:ascii="Calibri" w:cs="Calibri" w:eastAsia="Calibri" w:hAnsi="Calibri"/>
                <w:b/>
                <w:bCs/>
                <w:color w:val="856404"/>
                <w:sz w:val="19"/>
                <w:szCs w:val="19"/>
              </w:rPr>
              <w:t xml:space="preserve">Medium</w:t>
            </w:r>
          </w:p>
        </w:tc>
        <w:tc>
          <w:tcPr>
            <w:tcW w:type="dxa" w:w="182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Cannot conclude loyalty programs are profitable or that they drive incremental orders vs simply rewarding existing behavior; dataset shows zero difference between loyalty/non-loyalty (synthetic, not usable as evidence)</w:t>
            </w:r>
          </w:p>
        </w:tc>
      </w:tr>
      <w:tr>
        <w:tc>
          <w:tcPr>
            <w:tcW w:type="dxa" w:w="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1B3A6B"/>
                <w:sz w:val="19"/>
                <w:szCs w:val="19"/>
              </w:rPr>
              <w:t xml:space="preserve">10</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Dataset shows 66.6% late deliveries, avg delay 4.95 min, uniform city performance across 10 cities</w:t>
            </w:r>
          </w:p>
        </w:tc>
        <w:tc>
          <w:tcPr>
            <w:tcW w:type="dxa" w:w="148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13,328 of 20,000 orders with positive delay; all 10 cities at ~10% share; avg order value ₹27.34; avg satisfaction 2.98/5</w:t>
            </w:r>
          </w:p>
        </w:tc>
        <w:tc>
          <w:tcPr>
            <w:tcW w:type="dxa" w:w="880"/>
            <w:tcBorders>
              <w:top w:val="single" w:color="BBCDE0" w:sz="4"/>
              <w:left w:val="single" w:color="BBCDE0" w:sz="4"/>
              <w:bottom w:val="single" w:color="BBCDE0" w:sz="4"/>
              <w:right w:val="single" w:color="BBCDE0" w:sz="4"/>
            </w:tcBorders>
            <w:shd w:fill="FFF0E6" w:val="clear"/>
          </w:tcPr>
          <w:p>
            <w:pPr>
              <w:spacing w:after="60" w:before="60"/>
            </w:pPr>
            <w:r>
              <w:rPr>
                <w:rFonts w:ascii="Calibri" w:cs="Calibri" w:eastAsia="Calibri" w:hAnsi="Calibri"/>
                <w:b/>
                <w:bCs/>
                <w:color w:val="A0330A"/>
                <w:sz w:val="18"/>
                <w:szCs w:val="18"/>
              </w:rPr>
              <w:t xml:space="preserve">Internal Dataset</w:t>
            </w:r>
          </w:p>
        </w:tc>
        <w:tc>
          <w:tcPr>
            <w:tcW w:type="dxa" w:w="14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Assumes the dataset reflects real operational patterns — this assumption is false</w:t>
            </w:r>
          </w:p>
        </w:tc>
        <w:tc>
          <w:tcPr>
            <w:tcW w:type="dxa" w:w="1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Dataset is confirmed synthetic; delay values uniformly distributed (KS test p=0.094); satisfaction shows near-zero correlation with every quality metric (all |r| &lt; 0.02)</w:t>
            </w:r>
          </w:p>
        </w:tc>
        <w:tc>
          <w:tcPr>
            <w:tcW w:type="dxa" w:w="760"/>
            <w:tcBorders>
              <w:top w:val="single" w:color="BBCDE0" w:sz="4"/>
              <w:left w:val="single" w:color="BBCDE0" w:sz="4"/>
              <w:bottom w:val="single" w:color="BBCDE0" w:sz="4"/>
              <w:right w:val="single" w:color="BBCDE0" w:sz="4"/>
            </w:tcBorders>
            <w:shd w:fill="F8D7DA" w:val="clear"/>
            <w:vAlign w:val="center"/>
          </w:tcPr>
          <w:p>
            <w:pPr>
              <w:spacing w:after="60" w:before="60"/>
              <w:jc w:val="center"/>
            </w:pPr>
            <w:r>
              <w:rPr>
                <w:rFonts w:ascii="Calibri" w:cs="Calibri" w:eastAsia="Calibri" w:hAnsi="Calibri"/>
                <w:b/>
                <w:bCs/>
                <w:color w:val="721C24"/>
                <w:sz w:val="19"/>
                <w:szCs w:val="19"/>
              </w:rPr>
              <w:t xml:space="preserve">Low</w:t>
            </w:r>
          </w:p>
        </w:tc>
        <w:tc>
          <w:tcPr>
            <w:tcW w:type="dxa" w:w="182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Cannot conclude anything about real delivery performance, satisfaction drivers, city-level differences, or food quality patterns from this dataset; it is a simulation, not evidence</w:t>
            </w:r>
          </w:p>
        </w:tc>
      </w:tr>
      <w:tr>
        <w:tc>
          <w:tcPr>
            <w:tcW w:type="dxa" w:w="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1B3A6B"/>
                <w:sz w:val="19"/>
                <w:szCs w:val="19"/>
              </w:rPr>
              <w:t xml:space="preserve">11</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The internal dataset is synthetically generated (10 statistical indicators confirmed)</w:t>
            </w:r>
          </w:p>
        </w:tc>
        <w:tc>
          <w:tcPr>
            <w:tcW w:type="dxa" w:w="148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Chi-square tests: uniform distributions (p=0.09–0.82); snow in Chennai/Mumbai/Hyderabad (33.6% of orders); 38.2% of walk deliveries cover 10–15 km; no Indian cuisine; 20,000 unique customers for 20,000 orders; delay bounds exactly −10.00 to +20.00; near-zero correlations across all quality metrics</w:t>
            </w:r>
          </w:p>
        </w:tc>
        <w:tc>
          <w:tcPr>
            <w:tcW w:type="dxa" w:w="880"/>
            <w:tcBorders>
              <w:top w:val="single" w:color="BBCDE0" w:sz="4"/>
              <w:left w:val="single" w:color="BBCDE0" w:sz="4"/>
              <w:bottom w:val="single" w:color="BBCDE0" w:sz="4"/>
              <w:right w:val="single" w:color="BBCDE0" w:sz="4"/>
            </w:tcBorders>
            <w:shd w:fill="FFF0E6" w:val="clear"/>
          </w:tcPr>
          <w:p>
            <w:pPr>
              <w:spacing w:after="60" w:before="60"/>
            </w:pPr>
            <w:r>
              <w:rPr>
                <w:rFonts w:ascii="Calibri" w:cs="Calibri" w:eastAsia="Calibri" w:hAnsi="Calibri"/>
                <w:b/>
                <w:bCs/>
                <w:color w:val="A0330A"/>
                <w:sz w:val="18"/>
                <w:szCs w:val="18"/>
              </w:rPr>
              <w:t xml:space="preserve">Dataset (statistical audit)</w:t>
            </w:r>
          </w:p>
        </w:tc>
        <w:tc>
          <w:tcPr>
            <w:tcW w:type="dxa" w:w="14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Statistical tests correctly applied and interpreted; thresholds for synthetic classification are appropriate</w:t>
            </w:r>
          </w:p>
        </w:tc>
        <w:tc>
          <w:tcPr>
            <w:tcW w:type="dxa" w:w="1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No metadata about dataset origin, collection methodology, or intended purpose; no confirmation from dataset creator</w:t>
            </w:r>
          </w:p>
        </w:tc>
        <w:tc>
          <w:tcPr>
            <w:tcW w:type="dxa" w:w="760"/>
            <w:tcBorders>
              <w:top w:val="single" w:color="BBCDE0" w:sz="4"/>
              <w:left w:val="single" w:color="BBCDE0" w:sz="4"/>
              <w:bottom w:val="single" w:color="BBCDE0" w:sz="4"/>
              <w:right w:val="single" w:color="BBCDE0" w:sz="4"/>
            </w:tcBorders>
            <w:shd w:fill="D4EDDA" w:val="clear"/>
            <w:vAlign w:val="center"/>
          </w:tcPr>
          <w:p>
            <w:pPr>
              <w:spacing w:after="60" w:before="60"/>
              <w:jc w:val="center"/>
            </w:pPr>
            <w:r>
              <w:rPr>
                <w:rFonts w:ascii="Calibri" w:cs="Calibri" w:eastAsia="Calibri" w:hAnsi="Calibri"/>
                <w:b/>
                <w:bCs/>
                <w:color w:val="155724"/>
                <w:sz w:val="19"/>
                <w:szCs w:val="19"/>
              </w:rPr>
              <w:t xml:space="preserve">High</w:t>
            </w:r>
          </w:p>
        </w:tc>
        <w:tc>
          <w:tcPr>
            <w:tcW w:type="dxa" w:w="182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Cannot determine the dataset's intended purpose (training tool, placeholder, test data); cannot use any dataset finding as evidence of real market conditions</w:t>
            </w:r>
          </w:p>
        </w:tc>
      </w:tr>
    </w:tbl>
    <w:p>
      <w:pPr>
        <w:spacing w:after="80"/>
      </w:pPr>
      <w:r>
        <w:t xml:space="preserve"/>
      </w:r>
    </w:p>
    <w:p>
      <w:pPr>
        <w:pStyle w:val="SectionHeader"/>
      </w:pPr>
      <w:r>
        <w:rPr>
          <w:rFonts w:ascii="Calibri" w:cs="Calibri" w:eastAsia="Calibri" w:hAnsi="Calibri"/>
          <w:b/>
          <w:bCs/>
          <w:color w:val="2E5FA3"/>
          <w:sz w:val="28"/>
          <w:szCs w:val="28"/>
        </w:rPr>
        <w:t xml:space="preserve">3  </w:t>
      </w:r>
      <w:r>
        <w:rPr>
          <w:rFonts w:ascii="Calibri" w:cs="Calibri" w:eastAsia="Calibri" w:hAnsi="Calibri"/>
          <w:b/>
          <w:bCs/>
          <w:color w:val="1B3A6B"/>
          <w:sz w:val="28"/>
          <w:szCs w:val="28"/>
        </w:rPr>
        <w:t xml:space="preserve">Dataset Representativeness Assessment</w:t>
      </w:r>
    </w:p>
    <w:p>
      <w:pPr>
        <w:pStyle w:val="BodyNormal"/>
        <w:spacing w:after="160"/>
      </w:pPr>
      <w:r>
        <w:t xml:space="preserve">Definitive answer: the dataset fails representativeness on every measurable dimension. The following table compares what the dataset shows against verified real-market evidence.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1900"/>
      </w:tblGrid>
      <w:tr>
        <w:trPr>
          <w:tblHeader/>
        </w:trPr>
        <w:tc>
          <w:tcPr>
            <w:tcW w:type="dxa" w:w="18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Dimension</w:t>
            </w:r>
          </w:p>
        </w:tc>
        <w:tc>
          <w:tcPr>
            <w:tcW w:type="dxa" w:w="22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What the Dataset Shows</w:t>
            </w:r>
          </w:p>
        </w:tc>
        <w:tc>
          <w:tcPr>
            <w:tcW w:type="dxa" w:w="27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What Real Market Evidence Shows</w:t>
            </w:r>
          </w:p>
        </w:tc>
        <w:tc>
          <w:tcPr>
            <w:tcW w:type="dxa" w:w="19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Representativeness Verdict</w:t>
            </w:r>
          </w:p>
        </w:tc>
      </w:tr>
      <w:tr>
        <w:tc>
          <w:tcPr>
            <w:tcW w:type="dxa" w:w="18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City distribution</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All 10 cities at ~10% each (chi-square p=0.74)</w:t>
            </w:r>
          </w:p>
        </w:tc>
        <w:tc>
          <w:tcPr>
            <w:tcW w:type="dxa" w:w="2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Bengaluru alone accounts for ~20% of national orders; heavy metro concentration</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w:t>
            </w:r>
          </w:p>
        </w:tc>
      </w:tr>
      <w:tr>
        <w:tc>
          <w:tcPr>
            <w:tcW w:type="dxa" w:w="18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Cuisine preferences</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5 Western cuisines at ~20% each; no Indian cuisine category whatsoever</w:t>
            </w:r>
          </w:p>
        </w:tc>
        <w:tc>
          <w:tcPr>
            <w:tcW w:type="dxa" w:w="2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Biryani dominates (93M orders/year); Indian cuisine is overwhelmingly dominant nationally</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w:t>
            </w:r>
          </w:p>
        </w:tc>
      </w:tr>
      <w:tr>
        <w:tc>
          <w:tcPr>
            <w:tcW w:type="dxa" w:w="18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Order values</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Uniform distribution ₹5.00–₹49.99, mean ₹27.34</w:t>
            </w:r>
          </w:p>
        </w:tc>
        <w:tc>
          <w:tcPr>
            <w:tcW w:type="dxa" w:w="2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AOV $5.20–5.40 (~₹430–450) per external research</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 (dataset values ~15x lower than real AOV)</w:t>
            </w:r>
          </w:p>
        </w:tc>
      </w:tr>
      <w:tr>
        <w:tc>
          <w:tcPr>
            <w:tcW w:type="dxa" w:w="18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Customer behaviour</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20,000 unique customers, zero repeat purchases; 50/50 weekly/monthly split</w:t>
            </w:r>
          </w:p>
        </w:tc>
        <w:tc>
          <w:tcPr>
            <w:tcW w:type="dxa" w:w="2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Platforms have ~27M MTUs with repeat ordering; loyalty subscribers in millions</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w:t>
            </w:r>
          </w:p>
        </w:tc>
      </w:tr>
      <w:tr>
        <w:tc>
          <w:tcPr>
            <w:tcW w:type="dxa" w:w="18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Weather conditions</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33.6% "Snowy" across all cities including tropical/coastal cities</w:t>
            </w:r>
          </w:p>
        </w:tc>
        <w:tc>
          <w:tcPr>
            <w:tcW w:type="dxa" w:w="2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Snow essentially never occurs in Chennai, Mumbai, Hyderabad, or Bangalore</w:t>
            </w:r>
          </w:p>
        </w:tc>
        <w:tc>
          <w:tcPr>
            <w:tcW w:type="dxa" w:w="1900"/>
            <w:tcBorders>
              <w:top w:val="single" w:color="BBCDE0" w:sz="4"/>
              <w:left w:val="single" w:color="BBCDE0" w:sz="4"/>
              <w:bottom w:val="single" w:color="BBCDE0" w:sz="4"/>
              <w:right w:val="single" w:color="BBCDE0" w:sz="4"/>
            </w:tcBorders>
            <w:shd w:fill="FCE4EC" w:val="clear"/>
            <w:vAlign w:val="center"/>
          </w:tcPr>
          <w:p>
            <w:pPr>
              <w:spacing w:after="60" w:before="60"/>
            </w:pPr>
            <w:r>
              <w:rPr>
                <w:rFonts w:ascii="Calibri" w:cs="Calibri" w:eastAsia="Calibri" w:hAnsi="Calibri"/>
                <w:b/>
                <w:bCs/>
                <w:color w:val="880E4F"/>
                <w:sz w:val="18"/>
                <w:szCs w:val="18"/>
              </w:rPr>
              <w:t xml:space="preserve">Physically impossible</w:t>
            </w:r>
          </w:p>
        </w:tc>
      </w:tr>
      <w:tr>
        <w:tc>
          <w:tcPr>
            <w:tcW w:type="dxa" w:w="18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Delivery methods</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Walk 34.2%, Bike 33.0%, Car 32.9% — near-equal split; walk deliveries avg 8.49 km</w:t>
            </w:r>
          </w:p>
        </w:tc>
        <w:tc>
          <w:tcPr>
            <w:tcW w:type="dxa" w:w="2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Bike/scooter dominates Indian food delivery; walking 8+ km is operationally implausible</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w:t>
            </w:r>
          </w:p>
        </w:tc>
      </w:tr>
      <w:tr>
        <w:tc>
          <w:tcPr>
            <w:tcW w:type="dxa" w:w="18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Satisfaction drivers</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Zero correlation between satisfaction and any quality metric (all |r| &lt; 0.02)</w:t>
            </w:r>
          </w:p>
        </w:tc>
        <w:tc>
          <w:tcPr>
            <w:tcW w:type="dxa" w:w="27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Real satisfaction is driven by delivery speed, food quality, and packaging in industry research</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 (random assignment)</w:t>
            </w:r>
          </w:p>
        </w:tc>
      </w:tr>
      <w:tr>
        <w:tc>
          <w:tcPr>
            <w:tcW w:type="dxa" w:w="18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Scale</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20,000 orders from 100 restaurants across 10 cities</w:t>
            </w:r>
          </w:p>
        </w:tc>
        <w:tc>
          <w:tcPr>
            <w:tcW w:type="dxa" w:w="27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Market processes hundreds of millions of orders annually across hundreds of thousands of restaurants</w:t>
            </w:r>
          </w:p>
        </w:tc>
        <w:tc>
          <w:tcPr>
            <w:tcW w:type="dxa" w:w="1900"/>
            <w:tcBorders>
              <w:top w:val="single" w:color="BBCDE0" w:sz="4"/>
              <w:left w:val="single" w:color="BBCDE0" w:sz="4"/>
              <w:bottom w:val="single" w:color="BBCDE0" w:sz="4"/>
              <w:right w:val="single" w:color="BBCDE0" w:sz="4"/>
            </w:tcBorders>
            <w:shd w:fill="FDECEA" w:val="clear"/>
            <w:vAlign w:val="center"/>
          </w:tcPr>
          <w:p>
            <w:pPr>
              <w:spacing w:after="60" w:before="60"/>
            </w:pPr>
            <w:r>
              <w:rPr>
                <w:rFonts w:ascii="Calibri" w:cs="Calibri" w:eastAsia="Calibri" w:hAnsi="Calibri"/>
                <w:b/>
                <w:bCs/>
                <w:color w:val="7B1919"/>
                <w:sz w:val="18"/>
                <w:szCs w:val="18"/>
              </w:rPr>
              <w:t xml:space="preserve">Not representative of scale</w:t>
            </w:r>
          </w:p>
        </w:tc>
      </w:tr>
    </w:tbl>
    <w:p>
      <w:pPr>
        <w:spacing w:after="80"/>
      </w:pPr>
      <w:r>
        <w:t xml:space="preserve"/>
      </w:r>
    </w:p>
    <w:p>
      <w:pPr>
        <w:pStyle w:val="SectionHeader"/>
      </w:pPr>
      <w:r>
        <w:rPr>
          <w:rFonts w:ascii="Calibri" w:cs="Calibri" w:eastAsia="Calibri" w:hAnsi="Calibri"/>
          <w:b/>
          <w:bCs/>
          <w:color w:val="2E5FA3"/>
          <w:sz w:val="28"/>
          <w:szCs w:val="28"/>
        </w:rPr>
        <w:t xml:space="preserve">4  </w:t>
      </w:r>
      <w:r>
        <w:rPr>
          <w:rFonts w:ascii="Calibri" w:cs="Calibri" w:eastAsia="Calibri" w:hAnsi="Calibri"/>
          <w:b/>
          <w:bCs/>
          <w:color w:val="1B3A6B"/>
          <w:sz w:val="28"/>
          <w:szCs w:val="28"/>
        </w:rPr>
        <w:t xml:space="preserve">Cross-Source Validation Matrix</w:t>
      </w:r>
    </w:p>
    <w:p>
      <w:pPr>
        <w:pStyle w:val="BodyNormal"/>
        <w:spacing w:after="160"/>
      </w:pPr>
      <w:r>
        <w:t xml:space="preserve">Where the dataset and external research address the same topic, the table below documents whether they converge, contradict, or cannot be compared.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900"/>
        <w:gridCol w:w="1500"/>
      </w:tblGrid>
      <w:tr>
        <w:trPr>
          <w:tblHeader/>
        </w:trPr>
        <w:tc>
          <w:tcPr>
            <w:tcW w:type="dxa" w:w="19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Insight Area</w:t>
            </w:r>
          </w:p>
        </w:tc>
        <w:tc>
          <w:tcPr>
            <w:tcW w:type="dxa" w:w="20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Dataset Finding</w:t>
            </w:r>
          </w:p>
        </w:tc>
        <w:tc>
          <w:tcPr>
            <w:tcW w:type="dxa" w:w="22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External Research Finding</w:t>
            </w:r>
          </w:p>
        </w:tc>
        <w:tc>
          <w:tcPr>
            <w:tcW w:type="dxa" w:w="9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Convergence?</w:t>
            </w:r>
          </w:p>
        </w:tc>
        <w:tc>
          <w:tcPr>
            <w:tcW w:type="dxa" w:w="1500"/>
            <w:tcBorders>
              <w:top w:val="single" w:color="BBCDE0" w:sz="4"/>
              <w:left w:val="single" w:color="BBCDE0" w:sz="4"/>
              <w:bottom w:val="single" w:color="BBCDE0" w:sz="4"/>
              <w:right w:val="single" w:color="BBCDE0" w:sz="4"/>
            </w:tcBorders>
            <w:shd w:fill="1B3A6B" w:val="clear"/>
            <w:vAlign w:val="center"/>
          </w:tcPr>
          <w:p>
            <w:pPr>
              <w:spacing w:after="80" w:before="80"/>
              <w:jc w:val="center"/>
            </w:pPr>
            <w:r>
              <w:rPr>
                <w:rFonts w:ascii="Calibri" w:cs="Calibri" w:eastAsia="Calibri" w:hAnsi="Calibri"/>
                <w:b/>
                <w:bCs/>
                <w:color w:val="FFFFFF"/>
                <w:sz w:val="20"/>
                <w:szCs w:val="20"/>
              </w:rPr>
              <w:t xml:space="preserve">Assessment</w:t>
            </w:r>
          </w:p>
        </w:tc>
      </w:tr>
      <w:tr>
        <w:tc>
          <w:tcPr>
            <w:tcW w:type="dxa" w:w="19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City-level market concentration</w:t>
            </w:r>
          </w:p>
        </w:tc>
        <w:tc>
          <w:tcPr>
            <w:tcW w:type="dxa" w:w="20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All cities equal (~10% each)</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Bengaluru alone ~20%; heavy metro concentration</w:t>
            </w:r>
          </w:p>
        </w:tc>
        <w:tc>
          <w:tcPr>
            <w:tcW w:type="dxa" w:w="900"/>
            <w:tcBorders>
              <w:top w:val="single" w:color="BBCDE0" w:sz="4"/>
              <w:left w:val="single" w:color="BBCDE0" w:sz="4"/>
              <w:bottom w:val="single" w:color="BBCDE0" w:sz="4"/>
              <w:right w:val="single" w:color="BBCDE0" w:sz="4"/>
            </w:tcBorders>
            <w:shd w:fill="FDECEA" w:val="clear"/>
            <w:vAlign w:val="center"/>
          </w:tcPr>
          <w:p>
            <w:pPr>
              <w:spacing w:after="60" w:before="60"/>
              <w:jc w:val="center"/>
            </w:pPr>
            <w:r>
              <w:rPr>
                <w:rFonts w:ascii="Calibri" w:cs="Calibri" w:eastAsia="Calibri" w:hAnsi="Calibri"/>
                <w:b/>
                <w:bCs/>
                <w:color w:val="7B1919"/>
                <w:sz w:val="18"/>
                <w:szCs w:val="18"/>
              </w:rPr>
              <w:t xml:space="preserve">Directly contradicted</w:t>
            </w:r>
          </w:p>
        </w:tc>
        <w:tc>
          <w:tcPr>
            <w:tcW w:type="dxa" w:w="15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Dataset is wrong; external research is credible</w:t>
            </w:r>
          </w:p>
        </w:tc>
      </w:tr>
      <w:tr>
        <w:tc>
          <w:tcPr>
            <w:tcW w:type="dxa" w:w="19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Cuisine preferences</w:t>
            </w:r>
          </w:p>
        </w:tc>
        <w:tc>
          <w:tcPr>
            <w:tcW w:type="dxa" w:w="20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Western cuisines only; no Indian food</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Biryani dominates (93M orders); Indian cuisine overwhelmingly dominant</w:t>
            </w:r>
          </w:p>
        </w:tc>
        <w:tc>
          <w:tcPr>
            <w:tcW w:type="dxa" w:w="900"/>
            <w:tcBorders>
              <w:top w:val="single" w:color="BBCDE0" w:sz="4"/>
              <w:left w:val="single" w:color="BBCDE0" w:sz="4"/>
              <w:bottom w:val="single" w:color="BBCDE0" w:sz="4"/>
              <w:right w:val="single" w:color="BBCDE0" w:sz="4"/>
            </w:tcBorders>
            <w:shd w:fill="FDECEA" w:val="clear"/>
            <w:vAlign w:val="center"/>
          </w:tcPr>
          <w:p>
            <w:pPr>
              <w:spacing w:after="60" w:before="60"/>
              <w:jc w:val="center"/>
            </w:pPr>
            <w:r>
              <w:rPr>
                <w:rFonts w:ascii="Calibri" w:cs="Calibri" w:eastAsia="Calibri" w:hAnsi="Calibri"/>
                <w:b/>
                <w:bCs/>
                <w:color w:val="7B1919"/>
                <w:sz w:val="18"/>
                <w:szCs w:val="18"/>
              </w:rPr>
              <w:t xml:space="preserve">Directly contradicted</w:t>
            </w:r>
          </w:p>
        </w:tc>
        <w:tc>
          <w:tcPr>
            <w:tcW w:type="dxa" w:w="15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Dataset is wrong; external research is credible</w:t>
            </w:r>
          </w:p>
        </w:tc>
      </w:tr>
      <w:tr>
        <w:tc>
          <w:tcPr>
            <w:tcW w:type="dxa" w:w="19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Customer satisfaction drivers</w:t>
            </w:r>
          </w:p>
        </w:tc>
        <w:tc>
          <w:tcPr>
            <w:tcW w:type="dxa" w:w="20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No variable correlates with satisfaction (all |r| &lt; 0.02)</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Industry consensus: speed, food quality, packaging drive satisfaction</w:t>
            </w:r>
          </w:p>
        </w:tc>
        <w:tc>
          <w:tcPr>
            <w:tcW w:type="dxa" w:w="900"/>
            <w:tcBorders>
              <w:top w:val="single" w:color="BBCDE0" w:sz="4"/>
              <w:left w:val="single" w:color="BBCDE0" w:sz="4"/>
              <w:bottom w:val="single" w:color="BBCDE0" w:sz="4"/>
              <w:right w:val="single" w:color="BBCDE0" w:sz="4"/>
            </w:tcBorders>
            <w:shd w:fill="FDECEA" w:val="clear"/>
            <w:vAlign w:val="center"/>
          </w:tcPr>
          <w:p>
            <w:pPr>
              <w:spacing w:after="60" w:before="60"/>
              <w:jc w:val="center"/>
            </w:pPr>
            <w:r>
              <w:rPr>
                <w:rFonts w:ascii="Calibri" w:cs="Calibri" w:eastAsia="Calibri" w:hAnsi="Calibri"/>
                <w:b/>
                <w:bCs/>
                <w:color w:val="7B1919"/>
                <w:sz w:val="18"/>
                <w:szCs w:val="18"/>
              </w:rPr>
              <w:t xml:space="preserve">Directly contradicted</w:t>
            </w:r>
          </w:p>
        </w:tc>
        <w:tc>
          <w:tcPr>
            <w:tcW w:type="dxa" w:w="15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Dataset shows random assignment; external research reflects real behaviour</w:t>
            </w:r>
          </w:p>
        </w:tc>
      </w:tr>
      <w:tr>
        <w:tc>
          <w:tcPr>
            <w:tcW w:type="dxa" w:w="19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Loyalty programme impact</w:t>
            </w:r>
          </w:p>
        </w:tc>
        <w:tc>
          <w:tcPr>
            <w:tcW w:type="dxa" w:w="20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Zero difference between loyalty/non-loyalty members (₹27.40 vs ₹27.27 AOV)</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Loyalty subscribers described as "stickiest" segments; 7.4M + 5.7M subscribers</w:t>
            </w:r>
          </w:p>
        </w:tc>
        <w:tc>
          <w:tcPr>
            <w:tcW w:type="dxa" w:w="900"/>
            <w:tcBorders>
              <w:top w:val="single" w:color="BBCDE0" w:sz="4"/>
              <w:left w:val="single" w:color="BBCDE0" w:sz="4"/>
              <w:bottom w:val="single" w:color="BBCDE0" w:sz="4"/>
              <w:right w:val="single" w:color="BBCDE0" w:sz="4"/>
            </w:tcBorders>
            <w:shd w:fill="FDECEA" w:val="clear"/>
            <w:vAlign w:val="center"/>
          </w:tcPr>
          <w:p>
            <w:pPr>
              <w:spacing w:after="60" w:before="60"/>
              <w:jc w:val="center"/>
            </w:pPr>
            <w:r>
              <w:rPr>
                <w:rFonts w:ascii="Calibri" w:cs="Calibri" w:eastAsia="Calibri" w:hAnsi="Calibri"/>
                <w:b/>
                <w:bCs/>
                <w:color w:val="7B1919"/>
                <w:sz w:val="18"/>
                <w:szCs w:val="18"/>
              </w:rPr>
              <w:t xml:space="preserve">Directly contradicted</w:t>
            </w:r>
          </w:p>
        </w:tc>
        <w:tc>
          <w:tcPr>
            <w:tcW w:type="dxa" w:w="15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Dataset shows no loyalty effect due to synthetic generation</w:t>
            </w:r>
          </w:p>
        </w:tc>
      </w:tr>
      <w:tr>
        <w:tc>
          <w:tcPr>
            <w:tcW w:type="dxa" w:w="19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bCs/>
                <w:color w:val="222222"/>
                <w:sz w:val="19"/>
                <w:szCs w:val="19"/>
              </w:rPr>
              <w:t xml:space="preserve">South India significance</w:t>
            </w:r>
          </w:p>
        </w:tc>
        <w:tc>
          <w:tcPr>
            <w:tcW w:type="dxa" w:w="20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South India = 29.7% of orders (proportional to city count, not market reality)</w:t>
            </w:r>
          </w:p>
        </w:tc>
        <w:tc>
          <w:tcPr>
            <w:tcW w:type="dxa" w:w="22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South India disproportionately important (~20% from Bengaluru alone; 35% of cloud kitchen revenue)</w:t>
            </w:r>
          </w:p>
        </w:tc>
        <w:tc>
          <w:tcPr>
            <w:tcW w:type="dxa" w:w="900"/>
            <w:tcBorders>
              <w:top w:val="single" w:color="BBCDE0" w:sz="4"/>
              <w:left w:val="single" w:color="BBCDE0" w:sz="4"/>
              <w:bottom w:val="single" w:color="BBCDE0" w:sz="4"/>
              <w:right w:val="single" w:color="BBCDE0" w:sz="4"/>
            </w:tcBorders>
            <w:shd w:fill="FFF3CD" w:val="clear"/>
            <w:vAlign w:val="center"/>
          </w:tcPr>
          <w:p>
            <w:pPr>
              <w:spacing w:after="60" w:before="60"/>
              <w:jc w:val="center"/>
            </w:pPr>
            <w:r>
              <w:rPr>
                <w:rFonts w:ascii="Calibri" w:cs="Calibri" w:eastAsia="Calibri" w:hAnsi="Calibri"/>
                <w:b/>
                <w:bCs/>
                <w:color w:val="856404"/>
                <w:sz w:val="18"/>
                <w:szCs w:val="18"/>
              </w:rPr>
              <w:t xml:space="preserve">Contradicted in magnitude</w:t>
            </w:r>
          </w:p>
        </w:tc>
        <w:tc>
          <w:tcPr>
            <w:tcW w:type="dxa" w:w="1500"/>
            <w:tcBorders>
              <w:top w:val="single" w:color="BBCDE0" w:sz="4"/>
              <w:left w:val="single" w:color="BBCDE0" w:sz="4"/>
              <w:bottom w:val="single" w:color="BBCDE0" w:sz="4"/>
              <w:right w:val="single" w:color="BBCDE0" w:sz="4"/>
            </w:tcBorders>
            <w:shd w:fill="FFFFFF" w:val="clear"/>
          </w:tcPr>
          <w:p>
            <w:pPr>
              <w:spacing w:after="60" w:before="60" w:line="264"/>
            </w:pPr>
            <w:r>
              <w:rPr>
                <w:rFonts w:ascii="Calibri" w:cs="Calibri" w:eastAsia="Calibri" w:hAnsi="Calibri"/>
                <w:b w:val="false"/>
                <w:bCs w:val="false"/>
                <w:color w:val="222222"/>
                <w:sz w:val="19"/>
                <w:szCs w:val="19"/>
              </w:rPr>
              <w:t xml:space="preserve">Dataset's equal weighting masks South India's outsized real importance</w:t>
            </w:r>
          </w:p>
        </w:tc>
      </w:tr>
      <w:tr>
        <w:tc>
          <w:tcPr>
            <w:tcW w:type="dxa" w:w="19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bCs/>
                <w:color w:val="222222"/>
                <w:sz w:val="19"/>
                <w:szCs w:val="19"/>
              </w:rPr>
              <w:t xml:space="preserve">Delivery performance</w:t>
            </w:r>
          </w:p>
        </w:tc>
        <w:tc>
          <w:tcPr>
            <w:tcW w:type="dxa" w:w="20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66.6% late; uniform delay distribution</w:t>
            </w:r>
          </w:p>
        </w:tc>
        <w:tc>
          <w:tcPr>
            <w:tcW w:type="dxa" w:w="22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No comparable external benchmark available</w:t>
            </w:r>
          </w:p>
        </w:tc>
        <w:tc>
          <w:tcPr>
            <w:tcW w:type="dxa" w:w="900"/>
            <w:tcBorders>
              <w:top w:val="single" w:color="BBCDE0" w:sz="4"/>
              <w:left w:val="single" w:color="BBCDE0" w:sz="4"/>
              <w:bottom w:val="single" w:color="BBCDE0" w:sz="4"/>
              <w:right w:val="single" w:color="BBCDE0" w:sz="4"/>
            </w:tcBorders>
            <w:shd w:fill="EEF4FF" w:val="clear"/>
            <w:vAlign w:val="center"/>
          </w:tcPr>
          <w:p>
            <w:pPr>
              <w:spacing w:after="60" w:before="60"/>
              <w:jc w:val="center"/>
            </w:pPr>
            <w:r>
              <w:rPr>
                <w:rFonts w:ascii="Calibri" w:cs="Calibri" w:eastAsia="Calibri" w:hAnsi="Calibri"/>
                <w:b/>
                <w:bCs/>
                <w:color w:val="1B3A6B"/>
                <w:sz w:val="18"/>
                <w:szCs w:val="18"/>
              </w:rPr>
              <w:t xml:space="preserve">Cannot validate</w:t>
            </w:r>
          </w:p>
        </w:tc>
        <w:tc>
          <w:tcPr>
            <w:tcW w:type="dxa" w:w="1500"/>
            <w:tcBorders>
              <w:top w:val="single" w:color="BBCDE0" w:sz="4"/>
              <w:left w:val="single" w:color="BBCDE0" w:sz="4"/>
              <w:bottom w:val="single" w:color="BBCDE0" w:sz="4"/>
              <w:right w:val="single" w:color="BBCDE0" w:sz="4"/>
            </w:tcBorders>
            <w:shd w:fill="F4F7FB" w:val="clear"/>
          </w:tcPr>
          <w:p>
            <w:pPr>
              <w:spacing w:after="60" w:before="60" w:line="264"/>
            </w:pPr>
            <w:r>
              <w:rPr>
                <w:rFonts w:ascii="Calibri" w:cs="Calibri" w:eastAsia="Calibri" w:hAnsi="Calibri"/>
                <w:b w:val="false"/>
                <w:bCs w:val="false"/>
                <w:color w:val="222222"/>
                <w:sz w:val="19"/>
                <w:szCs w:val="19"/>
              </w:rPr>
              <w:t xml:space="preserve">No external data to compare; dataset finding is unreliable</w:t>
            </w:r>
          </w:p>
        </w:tc>
      </w:tr>
    </w:tbl>
    <w:p>
      <w:pPr>
        <w:spacing w:after="80"/>
      </w:pPr>
      <w:r>
        <w:t xml:space="preserve"/>
      </w:r>
    </w:p>
    <w:p>
      <w:pPr>
        <w:pStyle w:val="SectionHeader"/>
      </w:pPr>
      <w:r>
        <w:rPr>
          <w:rFonts w:ascii="Calibri" w:cs="Calibri" w:eastAsia="Calibri" w:hAnsi="Calibri"/>
          <w:b/>
          <w:bCs/>
          <w:color w:val="2E5FA3"/>
          <w:sz w:val="28"/>
          <w:szCs w:val="28"/>
        </w:rPr>
        <w:t xml:space="preserve">5  </w:t>
      </w:r>
      <w:r>
        <w:rPr>
          <w:rFonts w:ascii="Calibri" w:cs="Calibri" w:eastAsia="Calibri" w:hAnsi="Calibri"/>
          <w:b/>
          <w:bCs/>
          <w:color w:val="1B3A6B"/>
          <w:sz w:val="28"/>
          <w:szCs w:val="28"/>
        </w:rPr>
        <w:t xml:space="preserve">External Research Limitations</w:t>
      </w:r>
    </w:p>
    <w:p>
      <w:pPr>
        <w:pStyle w:val="BodyNormal"/>
        <w:spacing w:after="140"/>
      </w:pPr>
      <w:r>
        <w:t xml:space="preserve">The Quick Research findings, while carrying higher confidence than the dataset, have their own limitations:</w:t>
      </w:r>
    </w:p>
    <w:p>
      <w:pPr>
        <w:pStyle w:val="ListParagraph"/>
        <w:numPr>
          <w:ilvl w:val="0"/>
          <w:numId w:val="2"/>
        </w:numPr>
      </w:pPr>
      <w:r>
        <w:rPr>
          <w:rFonts w:ascii="Calibri" w:cs="Calibri" w:eastAsia="Calibri" w:hAnsi="Calibri"/>
          <w:color w:val="222222"/>
          <w:sz w:val="22"/>
          <w:szCs w:val="22"/>
        </w:rPr>
        <w:t xml:space="preserve">Market size base figure ($9.1B) is not independently cross-validated — multiple sources cite it, but they may share a common origin.</w:t>
      </w:r>
    </w:p>
    <w:p>
      <w:pPr>
        <w:pStyle w:val="ListParagraph"/>
        <w:numPr>
          <w:ilvl w:val="0"/>
          <w:numId w:val="2"/>
        </w:numPr>
      </w:pPr>
      <w:r>
        <w:rPr>
          <w:rFonts w:ascii="Calibri" w:cs="Calibri" w:eastAsia="Calibri" w:hAnsi="Calibri"/>
          <w:color w:val="222222"/>
          <w:sz w:val="22"/>
          <w:szCs w:val="22"/>
        </w:rPr>
        <w:t xml:space="preserve">Growth projections (19% CAGR to 2030) contain no downside scenario for macro deterioration, regulatory shock, or competitive disruption.</w:t>
      </w:r>
    </w:p>
    <w:p>
      <w:pPr>
        <w:pStyle w:val="ListParagraph"/>
        <w:numPr>
          <w:ilvl w:val="0"/>
          <w:numId w:val="2"/>
        </w:numPr>
      </w:pPr>
      <w:r>
        <w:rPr>
          <w:rFonts w:ascii="Calibri" w:cs="Calibri" w:eastAsia="Calibri" w:hAnsi="Calibri"/>
          <w:color w:val="222222"/>
          <w:sz w:val="22"/>
          <w:szCs w:val="22"/>
        </w:rPr>
        <w:t xml:space="preserve">Market share figures (58%/42%) may reflect different measurement bases (GOV vs. order count vs. revenue) across sources.</w:t>
      </w:r>
    </w:p>
    <w:p>
      <w:pPr>
        <w:pStyle w:val="ListParagraph"/>
        <w:numPr>
          <w:ilvl w:val="0"/>
          <w:numId w:val="2"/>
        </w:numPr>
      </w:pPr>
      <w:r>
        <w:rPr>
          <w:rFonts w:ascii="Calibri" w:cs="Calibri" w:eastAsia="Calibri" w:hAnsi="Calibri"/>
          <w:color w:val="222222"/>
          <w:sz w:val="22"/>
          <w:szCs w:val="22"/>
        </w:rPr>
        <w:t xml:space="preserve">Challenger data (Rapido, Zepto, Magicpin) is from early-stage pilots — national-scale economics are unvalidated.</w:t>
      </w:r>
    </w:p>
    <w:p>
      <w:pPr>
        <w:pStyle w:val="ListParagraph"/>
        <w:numPr>
          <w:ilvl w:val="0"/>
          <w:numId w:val="2"/>
        </w:numPr>
      </w:pPr>
      <w:r>
        <w:rPr>
          <w:rFonts w:ascii="Calibri" w:cs="Calibri" w:eastAsia="Calibri" w:hAnsi="Calibri"/>
          <w:color w:val="222222"/>
          <w:sz w:val="22"/>
          <w:szCs w:val="22"/>
        </w:rPr>
        <w:t xml:space="preserve">Cloud kitchen projections ($1.24B → $3.69B by 2034) come from a single external source without independent cross-validation.</w:t>
      </w:r>
    </w:p>
    <w:p>
      <w:pPr>
        <w:pStyle w:val="ListParagraph"/>
        <w:numPr>
          <w:ilvl w:val="0"/>
          <w:numId w:val="2"/>
        </w:numPr>
      </w:pPr>
      <w:r>
        <w:rPr>
          <w:rFonts w:ascii="Calibri" w:cs="Calibri" w:eastAsia="Calibri" w:hAnsi="Calibri"/>
          <w:color w:val="222222"/>
          <w:sz w:val="22"/>
          <w:szCs w:val="22"/>
        </w:rPr>
        <w:t xml:space="preserve">Consumer behaviour insights are derived entirely from third-party aggregated data — no primary consumer research is available.</w:t>
      </w:r>
    </w:p>
    <w:p>
      <w:pPr>
        <w:pStyle w:val="ListParagraph"/>
        <w:numPr>
          <w:ilvl w:val="0"/>
          <w:numId w:val="2"/>
        </w:numPr>
      </w:pPr>
      <w:r>
        <w:rPr>
          <w:rFonts w:ascii="Calibri" w:cs="Calibri" w:eastAsia="Calibri" w:hAnsi="Calibri"/>
          <w:color w:val="222222"/>
          <w:sz w:val="22"/>
          <w:szCs w:val="22"/>
        </w:rPr>
        <w:t xml:space="preserve">Zomato's profitability is consolidated (includes Blinkit/quick commerce) — standalone food delivery profitability is not confirmed.</w:t>
      </w:r>
    </w:p>
    <w:p>
      <w:pPr>
        <w:spacing w:after="80"/>
      </w:pPr>
      <w:r>
        <w:t xml:space="preserve"/>
      </w:r>
    </w:p>
    <w:p>
      <w:pPr>
        <w:pStyle w:val="SectionHeader"/>
      </w:pPr>
      <w:r>
        <w:rPr>
          <w:rFonts w:ascii="Calibri" w:cs="Calibri" w:eastAsia="Calibri" w:hAnsi="Calibri"/>
          <w:b/>
          <w:bCs/>
          <w:color w:val="2E5FA3"/>
          <w:sz w:val="28"/>
          <w:szCs w:val="28"/>
        </w:rPr>
        <w:t xml:space="preserve">6  </w:t>
      </w:r>
      <w:r>
        <w:rPr>
          <w:rFonts w:ascii="Calibri" w:cs="Calibri" w:eastAsia="Calibri" w:hAnsi="Calibri"/>
          <w:b/>
          <w:bCs/>
          <w:color w:val="1B3A6B"/>
          <w:sz w:val="28"/>
          <w:szCs w:val="28"/>
        </w:rPr>
        <w:t xml:space="preserve">Overall Reliability Verdict</w:t>
      </w:r>
    </w:p>
    <w:p>
      <w:pPr>
        <w:pStyle w:val="BodyNormal"/>
        <w:spacing w:after="200"/>
      </w:pPr>
      <w:r>
        <w:t xml:space="preserve">The Market Analysis rests on two fundamentally different evidence tiers, each with a distinct reliability profile:</w:t>
      </w:r>
    </w:p>
    <w:tbl>
      <w:tblPr>
        <w:tblW w:type="dxa" w:w="8800"/>
        <w:tblBorders>
          <w:top w:val="single" w:color="1B6B3A" w:sz="8"/>
          <w:left w:val="single" w:color="1B6B3A" w:sz="12"/>
          <w:bottom w:val="single" w:color="1B6B3A" w:sz="8"/>
          <w:right w:val="single" w:color="1B6B3A" w:sz="8"/>
          <w:insideH w:val="single" w:color="auto" w:sz="4"/>
          <w:insideV w:val="single" w:color="auto" w:sz="4"/>
        </w:tblBorders>
      </w:tblPr>
      <w:tblGrid>
        <w:gridCol w:w="8800"/>
      </w:tblGrid>
      <w:tr>
        <w:tc>
          <w:tcPr>
            <w:tcBorders>
              <w:top w:val="none" w:color="FFFFFF" w:sz="0"/>
              <w:left w:val="none" w:color="FFFFFF" w:sz="0"/>
              <w:bottom w:val="none" w:color="FFFFFF" w:sz="0"/>
              <w:right w:val="none" w:color="FFFFFF" w:sz="0"/>
            </w:tcBorders>
            <w:shd w:fill="1B6B3A" w:val="clear"/>
          </w:tcPr>
          <w:p>
            <w:pPr>
              <w:spacing w:after="80" w:before="100"/>
            </w:pPr>
            <w:r>
              <w:rPr>
                <w:rFonts w:ascii="Calibri" w:cs="Calibri" w:eastAsia="Calibri" w:hAnsi="Calibri"/>
                <w:b/>
                <w:bCs/>
                <w:color w:val="FFFFFF"/>
                <w:sz w:val="24"/>
                <w:szCs w:val="24"/>
              </w:rPr>
              <w:t xml:space="preserve">External Research (Quick Research)  </w:t>
            </w:r>
            <w:r>
              <w:rPr>
                <w:rFonts w:ascii="Calibri" w:cs="Calibri" w:eastAsia="Calibri" w:hAnsi="Calibri"/>
                <w:i/>
                <w:iCs/>
                <w:color w:val="FFFFFF"/>
                <w:sz w:val="22"/>
                <w:szCs w:val="22"/>
              </w:rPr>
              <w:t xml:space="preserve">(Medium to High Confidence)</w:t>
            </w:r>
          </w:p>
        </w:tc>
      </w:tr>
      <w:tr>
        <w:tc>
          <w:tcPr>
            <w:tcBorders>
              <w:top w:val="none" w:color="FFFFFF" w:sz="0"/>
              <w:left w:val="none" w:color="FFFFFF" w:sz="0"/>
              <w:bottom w:val="none" w:color="FFFFFF" w:sz="0"/>
              <w:right w:val="none" w:color="FFFFFF" w:sz="0"/>
            </w:tcBorders>
            <w:shd w:fill="EDF7F0" w:val="clear"/>
          </w:tcPr>
          <w:p>
            <w:pPr>
              <w:spacing w:after="60" w:before="60" w:line="276"/>
            </w:pPr>
            <w:r>
              <w:rPr>
                <w:rFonts w:ascii="Calibri" w:cs="Calibri" w:eastAsia="Calibri" w:hAnsi="Calibri"/>
                <w:color w:val="1C1C1C"/>
                <w:sz w:val="22"/>
                <w:szCs w:val="22"/>
              </w:rPr>
              <w:t xml:space="preserve">Sourced from company filings, industry databases, and credible media. The primary risks are forward-projection optimism, single-source</w:t>
            </w:r>
          </w:p>
        </w:tc>
      </w:tr>
      <w:tr>
        <w:tc>
          <w:tcPr>
            <w:tcBorders>
              <w:top w:val="none" w:color="FFFFFF" w:sz="0"/>
              <w:left w:val="none" w:color="FFFFFF" w:sz="0"/>
              <w:bottom w:val="none" w:color="FFFFFF" w:sz="0"/>
              <w:right w:val="none" w:color="FFFFFF" w:sz="0"/>
            </w:tcBorders>
            <w:shd w:fill="EDF7F0" w:val="clear"/>
          </w:tcPr>
          <w:p>
            <w:pPr>
              <w:spacing w:after="60" w:before="60" w:line="276"/>
            </w:pPr>
            <w:r>
              <w:rPr>
                <w:rFonts w:ascii="Calibri" w:cs="Calibri" w:eastAsia="Calibri" w:hAnsi="Calibri"/>
                <w:color w:val="1C1C1C"/>
                <w:sz w:val="22"/>
                <w:szCs w:val="22"/>
              </w:rPr>
              <w:t xml:space="preserve">dependencies for some figures, and the absence of downside scenario modelling. These are standard limitations for market intelligence,</w:t>
            </w:r>
          </w:p>
        </w:tc>
      </w:tr>
      <w:tr>
        <w:tc>
          <w:tcPr>
            <w:tcBorders>
              <w:top w:val="none" w:color="FFFFFF" w:sz="0"/>
              <w:left w:val="none" w:color="FFFFFF" w:sz="0"/>
              <w:bottom w:val="none" w:color="FFFFFF" w:sz="0"/>
              <w:right w:val="none" w:color="FFFFFF" w:sz="0"/>
            </w:tcBorders>
            <w:shd w:fill="EDF7F0" w:val="clear"/>
          </w:tcPr>
          <w:p>
            <w:pPr>
              <w:spacing w:after="60" w:before="60" w:line="276"/>
            </w:pPr>
            <w:r>
              <w:rPr>
                <w:rFonts w:ascii="Calibri" w:cs="Calibri" w:eastAsia="Calibri" w:hAnsi="Calibri"/>
                <w:color w:val="1C1C1C"/>
                <w:sz w:val="22"/>
                <w:szCs w:val="22"/>
              </w:rPr>
              <w:t xml:space="preserve">not disqualifying flaws. Insights in this tier are suitable for informing strategic decisions with appropriate caveats.</w:t>
            </w:r>
          </w:p>
        </w:tc>
      </w:tr>
      <w:tr>
        <w:tc>
          <w:tcPr>
            <w:tcBorders>
              <w:top w:val="none" w:color="FFFFFF" w:sz="0"/>
              <w:left w:val="none" w:color="FFFFFF" w:sz="0"/>
              <w:bottom w:val="none" w:color="FFFFFF" w:sz="0"/>
              <w:right w:val="none" w:color="FFFFFF" w:sz="0"/>
            </w:tcBorders>
            <w:shd w:fill="EDF7F0" w:val="clear"/>
          </w:tcPr>
          <w:p>
            <w:pPr>
              <w:spacing w:after="60" w:before="60" w:line="276"/>
            </w:pPr>
            <w:r>
              <w:rPr>
                <w:rFonts w:ascii="Calibri" w:cs="Calibri" w:eastAsia="Calibri" w:hAnsi="Calibri"/>
                <w:color w:val="1C1C1C"/>
                <w:sz w:val="22"/>
                <w:szCs w:val="22"/>
              </w:rPr>
              <w:t xml:space="preserve"/>
            </w:r>
          </w:p>
        </w:tc>
      </w:tr>
      <w:tr>
        <w:tc>
          <w:tcPr>
            <w:tcBorders>
              <w:top w:val="none" w:color="FFFFFF" w:sz="0"/>
              <w:left w:val="none" w:color="FFFFFF" w:sz="0"/>
              <w:bottom w:val="none" w:color="FFFFFF" w:sz="0"/>
              <w:right w:val="none" w:color="FFFFFF" w:sz="0"/>
            </w:tcBorders>
            <w:shd w:fill="EDF7F0" w:val="clear"/>
          </w:tcPr>
          <w:p>
            <w:pPr>
              <w:spacing w:after="60" w:before="60" w:line="276"/>
            </w:pPr>
            <w:r>
              <w:rPr>
                <w:rFonts w:ascii="Calibri" w:cs="Calibri" w:eastAsia="Calibri" w:hAnsi="Calibri"/>
                <w:color w:val="1C1C1C"/>
                <w:sz w:val="22"/>
                <w:szCs w:val="22"/>
              </w:rPr>
              <w:t xml:space="preserve">Key qualifying caveat: Zomato's profitability is consolidated and includes Blinkit; standalone food delivery profitability is not confirmed.</w:t>
            </w:r>
          </w:p>
        </w:tc>
      </w:tr>
    </w:tbl>
    <w:p>
      <w:pPr>
        <w:spacing w:after="80"/>
      </w:pPr>
      <w:r>
        <w:t xml:space="preserve"/>
      </w:r>
    </w:p>
    <w:tbl>
      <w:tblPr>
        <w:tblW w:type="dxa" w:w="8800"/>
        <w:tblBorders>
          <w:top w:val="single" w:color="9B1C1C" w:sz="8"/>
          <w:left w:val="single" w:color="9B1C1C" w:sz="12"/>
          <w:bottom w:val="single" w:color="9B1C1C" w:sz="8"/>
          <w:right w:val="single" w:color="9B1C1C" w:sz="8"/>
          <w:insideH w:val="single" w:color="auto" w:sz="4"/>
          <w:insideV w:val="single" w:color="auto" w:sz="4"/>
        </w:tblBorders>
      </w:tblPr>
      <w:tblGrid>
        <w:gridCol w:w="8800"/>
      </w:tblGrid>
      <w:tr>
        <w:tc>
          <w:tcPr>
            <w:tcBorders>
              <w:top w:val="none" w:color="FFFFFF" w:sz="0"/>
              <w:left w:val="none" w:color="FFFFFF" w:sz="0"/>
              <w:bottom w:val="none" w:color="FFFFFF" w:sz="0"/>
              <w:right w:val="none" w:color="FFFFFF" w:sz="0"/>
            </w:tcBorders>
            <w:shd w:fill="9B1C1C" w:val="clear"/>
          </w:tcPr>
          <w:p>
            <w:pPr>
              <w:spacing w:after="80" w:before="100"/>
            </w:pPr>
            <w:r>
              <w:rPr>
                <w:rFonts w:ascii="Calibri" w:cs="Calibri" w:eastAsia="Calibri" w:hAnsi="Calibri"/>
                <w:b/>
                <w:bCs/>
                <w:color w:val="FFFFFF"/>
                <w:sz w:val="24"/>
                <w:szCs w:val="24"/>
              </w:rPr>
              <w:t xml:space="preserve">Internal Dataset  </w:t>
            </w:r>
            <w:r>
              <w:rPr>
                <w:rFonts w:ascii="Calibri" w:cs="Calibri" w:eastAsia="Calibri" w:hAnsi="Calibri"/>
                <w:i/>
                <w:iCs/>
                <w:color w:val="FFFFFF"/>
                <w:sz w:val="22"/>
                <w:szCs w:val="22"/>
              </w:rPr>
              <w:t xml:space="preserve">(Low Confidence Across All Dimensions)</w:t>
            </w:r>
          </w:p>
        </w:tc>
      </w:tr>
      <w:tr>
        <w:tc>
          <w:tcPr>
            <w:tcBorders>
              <w:top w:val="none" w:color="FFFFFF" w:sz="0"/>
              <w:left w:val="none" w:color="FFFFFF" w:sz="0"/>
              <w:bottom w:val="none" w:color="FFFFFF" w:sz="0"/>
              <w:right w:val="none" w:color="FFFFFF" w:sz="0"/>
            </w:tcBorders>
            <w:shd w:fill="FEF2F2" w:val="clear"/>
          </w:tcPr>
          <w:p>
            <w:pPr>
              <w:spacing w:after="60" w:before="60" w:line="276"/>
            </w:pPr>
            <w:r>
              <w:rPr>
                <w:rFonts w:ascii="Calibri" w:cs="Calibri" w:eastAsia="Calibri" w:hAnsi="Calibri"/>
                <w:color w:val="1C1C1C"/>
                <w:sz w:val="22"/>
                <w:szCs w:val="22"/>
              </w:rPr>
              <w:t xml:space="preserve">The dataset is confirmed synthetic through 10 independent statistical indicators. It directly contradicts external research on city distribution,</w:t>
            </w:r>
          </w:p>
        </w:tc>
      </w:tr>
      <w:tr>
        <w:tc>
          <w:tcPr>
            <w:tcBorders>
              <w:top w:val="none" w:color="FFFFFF" w:sz="0"/>
              <w:left w:val="none" w:color="FFFFFF" w:sz="0"/>
              <w:bottom w:val="none" w:color="FFFFFF" w:sz="0"/>
              <w:right w:val="none" w:color="FFFFFF" w:sz="0"/>
            </w:tcBorders>
            <w:shd w:fill="FEF2F2" w:val="clear"/>
          </w:tcPr>
          <w:p>
            <w:pPr>
              <w:spacing w:after="60" w:before="60" w:line="276"/>
            </w:pPr>
            <w:r>
              <w:rPr>
                <w:rFonts w:ascii="Calibri" w:cs="Calibri" w:eastAsia="Calibri" w:hAnsi="Calibri"/>
                <w:color w:val="1C1C1C"/>
                <w:sz w:val="22"/>
                <w:szCs w:val="22"/>
              </w:rPr>
              <w:t xml:space="preserve">cuisine preferences, customer behaviour, and satisfaction drivers. No operational or strategic conclusion should be drawn from this dataset.</w:t>
            </w:r>
          </w:p>
        </w:tc>
      </w:tr>
      <w:tr>
        <w:tc>
          <w:tcPr>
            <w:tcBorders>
              <w:top w:val="none" w:color="FFFFFF" w:sz="0"/>
              <w:left w:val="none" w:color="FFFFFF" w:sz="0"/>
              <w:bottom w:val="none" w:color="FFFFFF" w:sz="0"/>
              <w:right w:val="none" w:color="FFFFFF" w:sz="0"/>
            </w:tcBorders>
            <w:shd w:fill="FEF2F2" w:val="clear"/>
          </w:tcPr>
          <w:p>
            <w:pPr>
              <w:spacing w:after="60" w:before="60" w:line="276"/>
            </w:pPr>
            <w:r>
              <w:rPr>
                <w:rFonts w:ascii="Calibri" w:cs="Calibri" w:eastAsia="Calibri" w:hAnsi="Calibri"/>
                <w:color w:val="1C1C1C"/>
                <w:sz w:val="22"/>
                <w:szCs w:val="22"/>
              </w:rPr>
              <w:t xml:space="preserve">It should be treated as a simulation or training tool, not as evidence of actual Indian food delivery market dynamics.</w:t>
            </w:r>
          </w:p>
        </w:tc>
      </w:tr>
      <w:tr>
        <w:tc>
          <w:tcPr>
            <w:tcBorders>
              <w:top w:val="none" w:color="FFFFFF" w:sz="0"/>
              <w:left w:val="none" w:color="FFFFFF" w:sz="0"/>
              <w:bottom w:val="none" w:color="FFFFFF" w:sz="0"/>
              <w:right w:val="none" w:color="FFFFFF" w:sz="0"/>
            </w:tcBorders>
            <w:shd w:fill="FEF2F2" w:val="clear"/>
          </w:tcPr>
          <w:p>
            <w:pPr>
              <w:spacing w:after="60" w:before="60" w:line="276"/>
            </w:pPr>
            <w:r>
              <w:rPr>
                <w:rFonts w:ascii="Calibri" w:cs="Calibri" w:eastAsia="Calibri" w:hAnsi="Calibri"/>
                <w:color w:val="1C1C1C"/>
                <w:sz w:val="22"/>
                <w:szCs w:val="22"/>
              </w:rPr>
              <w:t xml:space="preserve"/>
            </w:r>
          </w:p>
        </w:tc>
      </w:tr>
      <w:tr>
        <w:tc>
          <w:tcPr>
            <w:tcBorders>
              <w:top w:val="none" w:color="FFFFFF" w:sz="0"/>
              <w:left w:val="none" w:color="FFFFFF" w:sz="0"/>
              <w:bottom w:val="none" w:color="FFFFFF" w:sz="0"/>
              <w:right w:val="none" w:color="FFFFFF" w:sz="0"/>
            </w:tcBorders>
            <w:shd w:fill="FEF2F2" w:val="clear"/>
          </w:tcPr>
          <w:p>
            <w:pPr>
              <w:spacing w:after="60" w:before="60" w:line="276"/>
            </w:pPr>
            <w:r>
              <w:rPr>
                <w:rFonts w:ascii="Calibri" w:cs="Calibri" w:eastAsia="Calibri" w:hAnsi="Calibri"/>
                <w:color w:val="1C1C1C"/>
                <w:sz w:val="22"/>
                <w:szCs w:val="22"/>
              </w:rPr>
              <w:t xml:space="preserve">The dataset cannot serve as corroborating evidence for any claim, even where the dataset and external research address the same topic area.</w:t>
            </w:r>
          </w:p>
        </w:tc>
      </w:tr>
      <w:tr>
        <w:tc>
          <w:tcPr>
            <w:tcBorders>
              <w:top w:val="none" w:color="FFFFFF" w:sz="0"/>
              <w:left w:val="none" w:color="FFFFFF" w:sz="0"/>
              <w:bottom w:val="none" w:color="FFFFFF" w:sz="0"/>
              <w:right w:val="none" w:color="FFFFFF" w:sz="0"/>
            </w:tcBorders>
            <w:shd w:fill="FEF2F2" w:val="clear"/>
          </w:tcPr>
          <w:p>
            <w:pPr>
              <w:spacing w:after="60" w:before="60" w:line="276"/>
            </w:pPr>
            <w:r>
              <w:rPr>
                <w:rFonts w:ascii="Calibri" w:cs="Calibri" w:eastAsia="Calibri" w:hAnsi="Calibri"/>
                <w:color w:val="1C1C1C"/>
                <w:sz w:val="22"/>
                <w:szCs w:val="22"/>
              </w:rPr>
              <w:t xml:space="preserve">Convergence in topic area does not mean the synthetic dataset validates the external findings.</w:t>
            </w:r>
          </w:p>
        </w:tc>
      </w:tr>
    </w:tbl>
    <w:p>
      <w:pPr>
        <w:spacing w:after="80"/>
      </w:pPr>
      <w:r>
        <w:t xml:space="preserve"/>
      </w:r>
    </w:p>
    <w:p>
      <w:pPr>
        <w:pStyle w:val="BodyNormal"/>
        <w:spacing w:after="120" w:before="200"/>
      </w:pPr>
      <w:r>
        <w:rPr>
          <w:rFonts w:ascii="Calibri" w:cs="Calibri" w:eastAsia="Calibri" w:hAnsi="Calibri"/>
          <w:b/>
          <w:bCs/>
          <w:color w:val="1B3A6B"/>
          <w:sz w:val="22"/>
          <w:szCs w:val="22"/>
        </w:rPr>
        <w:t xml:space="preserve">Recommendation:  </w:t>
      </w:r>
      <w:r>
        <w:rPr>
          <w:rFonts w:ascii="Calibri" w:cs="Calibri" w:eastAsia="Calibri" w:hAnsi="Calibri"/>
          <w:color w:val="222222"/>
          <w:sz w:val="22"/>
          <w:szCs w:val="22"/>
        </w:rPr>
        <w:t xml:space="preserve">Any decision-making should rely primarily on the external research findings. The internal dataset may be useful for testing analytical frameworks or building prototype models, but its findings should not be cited as evidence of actual Indian food delivery market dynamics. Until real operational data is acquired, all insights are one-sided — informed by public market intelligence but ungrounded in proprietary operational evidence.</w:t>
      </w:r>
    </w:p>
    <w:p>
      <w:pPr>
        <w:pBdr>
          <w:top w:val="single" w:color="BBCDE0" w:sz="4" w:space="6"/>
        </w:pBdr>
        <w:spacing w:after="0" w:before="360"/>
      </w:pPr>
      <w:r>
        <w:rPr>
          <w:rFonts w:ascii="Calibri" w:cs="Calibri" w:eastAsia="Calibri" w:hAnsi="Calibri"/>
          <w:i/>
          <w:iCs/>
          <w:color w:val="888888"/>
          <w:sz w:val="18"/>
          <w:szCs w:val="18"/>
        </w:rPr>
        <w:t xml:space="preserve">Reliability Evaluation — Indian Food Delivery Market Analysis — September 2026  |  Prepared for internal review purposes only. Dataset assessed as synthetic; see Section 1 for full indicators.</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DE0" w:sz="4" w:space="4"/>
      </w:pBdr>
      <w:jc w:val="right"/>
    </w:pPr>
    <w:r>
      <w:rPr>
        <w:rFonts w:ascii="Calibri" w:cs="Calibri" w:eastAsia="Calibri" w:hAnsi="Calibri"/>
        <w:color w:val="888888"/>
        <w:sz w:val="18"/>
        <w:szCs w:val="18"/>
      </w:rPr>
      <w:t xml:space="preserve">Reliability Evaluation  —  </w:t>
    </w:r>
    <w:r>
      <w:rPr>
        <w:rFonts w:ascii="Calibri" w:cs="Calibri" w:eastAsia="Calibri" w:hAnsi="Calibri"/>
        <w:b/>
        <w:bCs/>
        <w:color w:val="1B3A6B"/>
        <w:sz w:val="18"/>
        <w:szCs w:val="18"/>
      </w:rPr>
      <w:t xml:space="preserve">Indian Food Delivery Market Analysis</w:t>
    </w:r>
    <w:r>
      <w:rPr>
        <w:rFonts w:ascii="Calibri" w:cs="Calibri" w:eastAsia="Calibri" w:hAnsi="Calibri"/>
        <w:color w:val="888888"/>
        <w:sz w:val="18"/>
        <w:szCs w:val="18"/>
      </w:rPr>
      <w:t xml:space="preserve">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60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spacing w:after="80"/>
        <w:ind w:left="600" w:hanging="30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40" w:before="0"/>
      <w:jc w:val="left"/>
    </w:pPr>
    <w:rPr>
      <w:rFonts w:ascii="Calibri" w:cs="Calibri" w:eastAsia="Calibri" w:hAnsi="Calibri"/>
      <w:b/>
      <w:bCs/>
      <w:color w:val="1B3A6B"/>
      <w:sz w:val="40"/>
      <w:szCs w:val="40"/>
    </w:rPr>
  </w:style>
  <w:style w:type="paragraph" w:styleId="DocSubtitle">
    <w:name w:val="DocSubtitle"/>
    <w:basedOn w:val="Normal"/>
    <w:qFormat/>
    <w:pPr>
      <w:spacing w:after="400" w:before="0"/>
    </w:pPr>
    <w:rPr>
      <w:rFonts w:ascii="Calibri" w:cs="Calibri" w:eastAsia="Calibri" w:hAnsi="Calibri"/>
      <w:i/>
      <w:iCs/>
      <w:color w:val="555555"/>
      <w:sz w:val="24"/>
      <w:szCs w:val="24"/>
    </w:rPr>
  </w:style>
  <w:style w:type="paragraph" w:styleId="SectionHeader">
    <w:name w:val="SectionHeader"/>
    <w:basedOn w:val="Normal"/>
    <w:qFormat/>
    <w:pPr>
      <w:pBdr>
        <w:bottom w:val="single" w:color="1B3A6B" w:sz="6" w:space="4"/>
      </w:pBdr>
      <w:spacing w:after="160" w:before="360"/>
    </w:pPr>
    <w:rPr>
      <w:rFonts w:ascii="Calibri" w:cs="Calibri" w:eastAsia="Calibri" w:hAnsi="Calibri"/>
      <w:b/>
      <w:bCs/>
      <w:color w:val="1B3A6B"/>
      <w:sz w:val="28"/>
      <w:szCs w:val="28"/>
    </w:rPr>
  </w:style>
  <w:style w:type="paragraph" w:styleId="SubHeader">
    <w:name w:val="SubHeader"/>
    <w:basedOn w:val="Normal"/>
    <w:qFormat/>
    <w:pPr>
      <w:spacing w:after="100" w:before="240"/>
    </w:pPr>
    <w:rPr>
      <w:rFonts w:ascii="Calibri" w:cs="Calibri" w:eastAsia="Calibri" w:hAnsi="Calibri"/>
      <w:b/>
      <w:bCs/>
      <w:color w:val="2E5FA3"/>
      <w:sz w:val="24"/>
      <w:szCs w:val="24"/>
    </w:rPr>
  </w:style>
  <w:style w:type="paragraph" w:styleId="BodyNormal">
    <w:name w:val="BodyNormal"/>
    <w:basedOn w:val="Normal"/>
    <w:pPr>
      <w:spacing w:after="140" w:line="276"/>
    </w:pPr>
    <w:rPr>
      <w:rFonts w:ascii="Calibri" w:cs="Calibri" w:eastAsia="Calibri" w:hAnsi="Calibri"/>
      <w:color w:val="222222"/>
      <w:sz w:val="22"/>
      <w:szCs w:val="22"/>
    </w:rPr>
  </w:style>
  <w:style w:type="paragraph" w:styleId="VerdictText">
    <w:name w:val="VerdictText"/>
    <w:basedOn w:val="Normal"/>
    <w:pPr>
      <w:spacing w:after="120" w:line="276"/>
      <w:ind w:left="360"/>
    </w:pPr>
    <w:rPr>
      <w:rFonts w:ascii="Calibri" w:cs="Calibri" w:eastAsia="Calibri" w:hAnsi="Calibri"/>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B1D573-FCC1-4180-9CE6-037E48B33734}">
  <we:reference id="WA200010615" version="1.0.10036.0" store="en-us" storeType="OMEX"/>
  <we:alternateReferences/>
  <we:properties>
    <we:property name="Office.AutoShowTaskpaneWithDocument" value="true"/>
    <we:property name="conversationId" value="&quot;0f881090-c623-42a8-a545-bd63afee21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2026-09-13T11:12:12.892Z</dcterms:created>
  <dcterms:modified xsi:type="dcterms:W3CDTF">2026-09-13T11:12:12.892Z</dcterms:modified>
</cp:coreProperties>
</file>

<file path=docProps/custom.xml><?xml version="1.0" encoding="utf-8"?>
<Properties xmlns="http://schemas.openxmlformats.org/officeDocument/2006/custom-properties" xmlns:vt="http://schemas.openxmlformats.org/officeDocument/2006/docPropsVTypes"/>
</file>