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aps/>
          <w:color w:val="2D5FA6"/>
          <w:sz w:val="24"/>
          <w:szCs w:val="24"/>
        </w:rPr>
        <w:t xml:space="preserve">MARKET INTELLIGENCE BRIEF</w:t>
      </w:r>
    </w:p>
    <w:p>
      <w:pPr>
        <w:pStyle w:val="DocTitle"/>
      </w:pPr>
      <w:r>
        <w:t xml:space="preserve">Indian Food Delivery Market</w:t>
      </w:r>
    </w:p>
    <w:p>
      <w:pPr>
        <w:pStyle w:val="DocSubtitle"/>
      </w:pPr>
      <w:r>
        <w:t xml:space="preserve">September 2026  •  Prepared for C-Suite Leadership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320"/>
        </w:tblCellMar>
      </w:tblPr>
      <w:tblGrid>
        <w:gridCol w:w="3120"/>
        <w:gridCol w:w="3120"/>
        <w:gridCol w:w="3120"/>
      </w:tblGrid>
      <w:tr>
        <w:tc>
          <w:tcPr>
            <w:tcBorders>
              <w:top w:val="none" w:color="FFFFFF" w:sz="0"/>
              <w:left w:val="none" w:color="FFFFFF" w:sz="0"/>
              <w:bottom w:val="none" w:color="FFFFFF" w:sz="0"/>
              <w:right w:val="none" w:color="FFFFFF" w:sz="0"/>
            </w:tcBorders>
            <w:shd w:fill="EBF4FF" w:val="clear"/>
          </w:tcPr>
          <w:p>
            <w:pPr>
              <w:spacing w:after="80" w:before="80"/>
            </w:pPr>
            <w:r>
              <w:rPr>
                <w:rFonts w:ascii="Calibri" w:cs="Calibri" w:eastAsia="Calibri" w:hAnsi="Calibri"/>
                <w:b/>
                <w:bCs/>
                <w:color w:val="1B3A6B"/>
                <w:sz w:val="18"/>
                <w:szCs w:val="18"/>
              </w:rPr>
              <w:t xml:space="preserve">Evidence Sources</w:t>
            </w:r>
            <w:r>
              <w:rPr>
                <w:rFonts w:ascii="Calibri" w:cs="Calibri" w:eastAsia="Calibri" w:hAnsi="Calibri"/>
                <w:color w:val="4A5568"/>
                <w:sz w:val="18"/>
                <w:szCs w:val="18"/>
              </w:rPr>
              <w:t xml:space="preserve">
External: Quick Research Report</w:t>
            </w:r>
            <w:r>
              <w:rPr>
                <w:rFonts w:ascii="Calibri" w:cs="Calibri" w:eastAsia="Calibri" w:hAnsi="Calibri"/>
                <w:color w:val="4A5568"/>
                <w:sz w:val="18"/>
                <w:szCs w:val="18"/>
              </w:rPr>
              <w:t xml:space="preserve">
Internal: Food Delivery Dataset (Synthetic)</w:t>
            </w:r>
          </w:p>
        </w:tc>
        <w:tc>
          <w:tcPr>
            <w:tcBorders>
              <w:top w:val="none" w:color="FFFFFF" w:sz="0"/>
              <w:left w:val="none" w:color="FFFFFF" w:sz="0"/>
              <w:bottom w:val="none" w:color="FFFFFF" w:sz="0"/>
              <w:right w:val="none" w:color="FFFFFF" w:sz="0"/>
            </w:tcBorders>
            <w:shd w:fill="EBF4FF" w:val="clear"/>
          </w:tcPr>
          <w:p>
            <w:pPr>
              <w:spacing w:after="80" w:before="80"/>
            </w:pPr>
            <w:r>
              <w:rPr>
                <w:rFonts w:ascii="Calibri" w:cs="Calibri" w:eastAsia="Calibri" w:hAnsi="Calibri"/>
                <w:b/>
                <w:bCs/>
                <w:color w:val="1B3A6B"/>
                <w:sz w:val="18"/>
                <w:szCs w:val="18"/>
              </w:rPr>
              <w:t xml:space="preserve">Market Reference</w:t>
            </w:r>
            <w:r>
              <w:rPr>
                <w:rFonts w:ascii="Calibri" w:cs="Calibri" w:eastAsia="Calibri" w:hAnsi="Calibri"/>
                <w:color w:val="4A5568"/>
                <w:sz w:val="18"/>
                <w:szCs w:val="18"/>
              </w:rPr>
              <w:t xml:space="preserve">
2024–2030 (Current: 2026)</w:t>
            </w:r>
            <w:r>
              <w:rPr>
                <w:rFonts w:ascii="Calibri" w:cs="Calibri" w:eastAsia="Calibri" w:hAnsi="Calibri"/>
                <w:color w:val="4A5568"/>
                <w:sz w:val="18"/>
                <w:szCs w:val="18"/>
              </w:rPr>
              <w:t xml:space="preserve">
10 Indian cities, 20,000 orders</w:t>
            </w:r>
          </w:p>
        </w:tc>
        <w:tc>
          <w:tcPr>
            <w:tcBorders>
              <w:top w:val="none" w:color="FFFFFF" w:sz="0"/>
              <w:left w:val="none" w:color="FFFFFF" w:sz="0"/>
              <w:bottom w:val="none" w:color="FFFFFF" w:sz="0"/>
              <w:right w:val="none" w:color="FFFFFF" w:sz="0"/>
            </w:tcBorders>
            <w:shd w:fill="FFF7ED" w:val="clear"/>
          </w:tcPr>
          <w:p>
            <w:pPr>
              <w:spacing w:after="80" w:before="80"/>
            </w:pPr>
            <w:r>
              <w:rPr>
                <w:rFonts w:ascii="Calibri" w:cs="Calibri" w:eastAsia="Calibri" w:hAnsi="Calibri"/>
                <w:b/>
                <w:bCs/>
                <w:color w:val="C0392B"/>
                <w:sz w:val="18"/>
                <w:szCs w:val="18"/>
              </w:rPr>
              <w:t xml:space="preserve">⚠️ Data Quality Alert</w:t>
            </w:r>
            <w:r>
              <w:rPr>
                <w:rFonts w:ascii="Calibri" w:cs="Calibri" w:eastAsia="Calibri" w:hAnsi="Calibri"/>
                <w:color w:val="C0392B"/>
                <w:sz w:val="18"/>
                <w:szCs w:val="18"/>
              </w:rPr>
              <w:t xml:space="preserve">
Internal dataset confirmed synthetic.</w:t>
            </w:r>
            <w:r>
              <w:rPr>
                <w:rFonts w:ascii="Calibri" w:cs="Calibri" w:eastAsia="Calibri" w:hAnsi="Calibri"/>
                <w:color w:val="C0392B"/>
                <w:sz w:val="18"/>
                <w:szCs w:val="18"/>
              </w:rPr>
              <w:t xml:space="preserve">
All dataset findings: Low confidence.</w:t>
            </w:r>
          </w:p>
        </w:tc>
      </w:tr>
    </w:tbl>
    <w:p>
      <w:pPr>
        <w:pBdr>
          <w:bottom w:val="single" w:color="2D5FA6" w:sz="2"/>
        </w:pBdr>
        <w:spacing w:after="40" w:before="40"/>
      </w:pPr>
    </w:p>
    <w:p>
      <w:pPr>
        <w:pStyle w:val="SectionHead"/>
      </w:pPr>
      <w:r>
        <w:t xml:space="preserve">1. Executive Summary</w:t>
      </w:r>
    </w:p>
    <w:p>
      <w:pPr>
        <w:pStyle w:val="BodyText"/>
      </w:pPr>
      <w:r>
        <w:t xml:space="preserve">India's online food delivery market is a </w:t>
      </w:r>
      <w:r>
        <w:rPr>
          <w:b/>
          <w:bCs/>
          <w:color w:val="1B3A6B"/>
        </w:rPr>
        <w:t xml:space="preserve">~$12.9 billion opportunity in 2026</w:t>
      </w:r>
      <w:r>
        <w:t xml:space="preserve">, projected to reach </w:t>
      </w:r>
      <w:r>
        <w:rPr>
          <w:b/>
          <w:bCs/>
          <w:color w:val="1B3A6B"/>
        </w:rPr>
        <w:t xml:space="preserve">~$27 billion by 2030</w:t>
      </w:r>
      <w:r>
        <w:t xml:space="preserve"> at a ~19% CAGR — yet the fundamental paradox of the market persists: neither of the two dominant platforms has achieved sustained, standalone food delivery profitability after more than a decade of operations. Zomato holds ~58% market share and logged a consolidated </w:t>
      </w:r>
      <w:r>
        <w:rPr>
          <w:b/>
          <w:bCs/>
        </w:rPr>
        <w:t xml:space="preserve">₹527 Cr net profit in FY25</w:t>
      </w:r>
      <w:r>
        <w:t xml:space="preserve"> (largely driven by Blinkit), while Swiggy carries a </w:t>
      </w:r>
      <w:r>
        <w:rPr>
          <w:b/>
          <w:bCs/>
        </w:rPr>
        <w:t xml:space="preserve">₹-3,107 Cr net loss</w:t>
      </w:r>
      <w:r>
        <w:t xml:space="preserve">. The duopoly is under simultaneous pressure from five or more well-funded challengers, structural regulatory tightening, and consumer friction from a 7–9x platform fee escalation — all against an average order value of just $5.20–$5.40.</w:t>
      </w:r>
    </w:p>
    <w:p>
      <w:pPr>
        <w:pStyle w:val="BodyText"/>
      </w:pPr>
      <w:r>
        <w:t xml:space="preserve">Three strategic imperatives emerge from this analysis: </w:t>
      </w:r>
      <w:r>
        <w:rPr>
          <w:b/>
          <w:bCs/>
        </w:rPr>
        <w:t xml:space="preserve">(1) margin optimization through operational excellence</w:t>
      </w:r>
      <w:r>
        <w:t xml:space="preserve">, </w:t>
      </w:r>
      <w:r>
        <w:rPr>
          <w:b/>
          <w:bCs/>
        </w:rPr>
        <w:t xml:space="preserve">(2) disciplined, economics-gated tier-2/3 expansion</w:t>
      </w:r>
      <w:r>
        <w:t xml:space="preserve">, and </w:t>
      </w:r>
      <w:r>
        <w:rPr>
          <w:b/>
          <w:bCs/>
        </w:rPr>
        <w:t xml:space="preserve">(3) South India as the strategic laboratory</w:t>
      </w:r>
      <w:r>
        <w:t xml:space="preserve"> and early-warning system for national competitive dynamics.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0392B" w:sz="4"/>
              <w:left w:val="single" w:color="C0392B" w:sz="12"/>
              <w:bottom w:val="single" w:color="C0392B" w:sz="1"/>
              <w:right w:val="single" w:color="C0392B" w:sz="1"/>
            </w:tcBorders>
            <w:shd w:fill="FFF0F0" w:val="clear"/>
          </w:tcPr>
          <w:p>
            <w:pPr>
              <w:spacing w:after="80" w:before="60"/>
            </w:pPr>
            <w:r>
              <w:rPr>
                <w:rFonts w:ascii="Calibri" w:cs="Calibri" w:eastAsia="Calibri" w:hAnsi="Calibri"/>
                <w:b/>
                <w:bCs/>
                <w:color w:val="C0392B"/>
                <w:sz w:val="22"/>
                <w:szCs w:val="22"/>
              </w:rPr>
              <w:t xml:space="preserve">⚠️  Critical Data Quality Notice</w:t>
            </w:r>
          </w:p>
          <w:p>
            <w:pPr>
              <w:spacing w:after="40" w:before="40"/>
            </w:pPr>
            <w:r>
              <w:rPr>
                <w:rFonts w:ascii="Calibri" w:cs="Calibri" w:eastAsia="Calibri" w:hAnsi="Calibri"/>
                <w:color w:val="1A202C"/>
                <w:sz w:val="20"/>
                <w:szCs w:val="20"/>
              </w:rPr>
              <w:t xml:space="preserve">The internal Food Delivery dataset (20,000 orders, 10 cities) has been confirmed synthetic through statistical audit. Ten independent indicators — including impossible weather values, uniform categorical distributions, and near-zero satisfaction correlations — confirm this dataset does not reflect real Indian food delivery operations.</w:t>
            </w:r>
          </w:p>
          <w:p>
            <w:pPr>
              <w:spacing w:after="40" w:before="40"/>
            </w:pPr>
            <w:r>
              <w:rPr>
                <w:rFonts w:ascii="Calibri" w:cs="Calibri" w:eastAsia="Calibri" w:hAnsi="Calibri"/>
                <w:color w:val="1A202C"/>
                <w:sz w:val="20"/>
                <w:szCs w:val="20"/>
              </w:rPr>
              <w:t xml:space="preserve">All insights labeled [Dataset] carry Low confidence and are flagged accordingly. Strategic decisions must rely on externally validated market intelligence. Acquiring real operational data is the single highest-priority recommended action.</w:t>
            </w:r>
          </w:p>
        </w:tc>
      </w:tr>
    </w:tbl>
    <w:p>
      <w:pPr>
        <w:pBdr>
          <w:bottom w:val="single" w:color="2D5FA6" w:sz="2"/>
        </w:pBdr>
        <w:spacing w:after="40" w:before="40"/>
      </w:pPr>
    </w:p>
    <w:p>
      <w:pPr>
        <w:pStyle w:val="SectionHead"/>
      </w:pPr>
      <w:r>
        <w:t xml:space="preserve">2. Objective and Scope</w:t>
      </w:r>
    </w:p>
    <w:p>
      <w:pPr>
        <w:pStyle w:val="SubHead"/>
      </w:pPr>
      <w:r>
        <w:t xml:space="preserve">Purpose</w:t>
      </w:r>
    </w:p>
    <w:p>
      <w:pPr>
        <w:pStyle w:val="BodyText"/>
      </w:pPr>
      <w:r>
        <w:t xml:space="preserve">To provide leadership with a concise, evidence-based assessment of the Indian food delivery market's competitive dynamics, growth trajectory, and strategic positioning options — with honest acknowledgment of data quality constraints and confidence levels.</w:t>
      </w:r>
    </w:p>
    <w:p>
      <w:pPr>
        <w:pStyle w:val="SubHead"/>
      </w:pPr>
      <w:r>
        <w:t xml:space="preserve">Coverage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340"/>
        <w:gridCol w:w="7020"/>
      </w:tblGrid>
      <w:tr>
        <w:trPr>
          <w:tblHeader/>
        </w:trPr>
        <w:tc>
          <w:tcPr>
            <w:tcW w:type="dxa" w:w="234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Dimension</w:t>
            </w:r>
          </w:p>
        </w:tc>
        <w:tc>
          <w:tcPr>
            <w:tcW w:type="dxa" w:w="702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In Scope</w:t>
            </w:r>
          </w:p>
        </w:tc>
      </w:tr>
      <w:tr>
        <w:trPr>
          <w:tblHeader w:val="false"/>
        </w:trPr>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Market Sizing</w:t>
            </w:r>
          </w:p>
        </w:tc>
        <w:tc>
          <w:tcPr>
            <w:tcW w:type="dxa" w:w="7020"/>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Market value 2024–2030; CAGR projections; segment share (online vs organised)</w:t>
            </w:r>
          </w:p>
        </w:tc>
      </w:tr>
      <w:tr>
        <w:trPr>
          <w:tblHeader w:val="false"/>
        </w:trPr>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Competitive Landscape</w:t>
            </w:r>
          </w:p>
        </w:tc>
        <w:tc>
          <w:tcPr>
            <w:tcW w:type="dxa" w:w="70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Zomato, Swiggy (financials, MTUs, loyalty); 5 emerging challengers</w:t>
            </w:r>
          </w:p>
        </w:tc>
      </w:tr>
      <w:tr>
        <w:trPr>
          <w:tblHeader w:val="false"/>
        </w:trPr>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Consumer Trends</w:t>
            </w:r>
          </w:p>
        </w:tc>
        <w:tc>
          <w:tcPr>
            <w:tcW w:type="dxa" w:w="7020"/>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Order values, cuisine preferences, loyalty programs, order frequency</w:t>
            </w:r>
          </w:p>
        </w:tc>
      </w:tr>
      <w:tr>
        <w:trPr>
          <w:tblHeader w:val="false"/>
        </w:trPr>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Regulatory Environment</w:t>
            </w:r>
          </w:p>
        </w:tc>
        <w:tc>
          <w:tcPr>
            <w:tcW w:type="dxa" w:w="70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CCI antitrust, Social Security Code, FSSAI compliance expansion</w:t>
            </w:r>
          </w:p>
        </w:tc>
      </w:tr>
      <w:tr>
        <w:trPr>
          <w:tblHeader w:val="false"/>
        </w:trPr>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Regional Dynamics</w:t>
            </w:r>
          </w:p>
        </w:tc>
        <w:tc>
          <w:tcPr>
            <w:tcW w:type="dxa" w:w="7020"/>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South India bellwether analysis; tier-2/3 city opportunity assessment</w:t>
            </w:r>
          </w:p>
        </w:tc>
      </w:tr>
      <w:tr>
        <w:trPr>
          <w:tblHeader w:val="false"/>
        </w:trPr>
        <w:tc>
          <w:tcPr>
            <w:tcW w:type="dxa" w:w="234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20"/>
                <w:szCs w:val="20"/>
              </w:rPr>
              <w:t xml:space="preserve">Exclusions</w:t>
            </w:r>
          </w:p>
        </w:tc>
        <w:tc>
          <w:tcPr>
            <w:tcW w:type="dxa" w:w="702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1A202C"/>
                <w:sz w:val="20"/>
                <w:szCs w:val="20"/>
              </w:rPr>
              <w:t xml:space="preserve">Restaurant-level financials; grocery/quick commerce (except where overlapping with food delivery)</w:t>
            </w:r>
          </w:p>
        </w:tc>
      </w:tr>
    </w:tbl>
    <w:p>
      <w:pPr>
        <w:pStyle w:val="SubHead"/>
      </w:pPr>
      <w:r>
        <w:t xml:space="preserve">Data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340"/>
        <w:gridCol w:w="3510"/>
        <w:gridCol w:w="1755"/>
        <w:gridCol w:w="1755"/>
      </w:tblGrid>
      <w:tr>
        <w:trPr>
          <w:tblHeader/>
        </w:trPr>
        <w:tc>
          <w:tcPr>
            <w:tcW w:type="dxa" w:w="234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Source</w:t>
            </w:r>
          </w:p>
        </w:tc>
        <w:tc>
          <w:tcPr>
            <w:tcW w:type="dxa" w:w="351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Description</w:t>
            </w:r>
          </w:p>
        </w:tc>
        <w:tc>
          <w:tcPr>
            <w:tcW w:type="dxa" w:w="1755"/>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Reliability</w:t>
            </w:r>
          </w:p>
        </w:tc>
        <w:tc>
          <w:tcPr>
            <w:tcW w:type="dxa" w:w="1755"/>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Scope</w:t>
            </w:r>
          </w:p>
        </w:tc>
      </w:tr>
      <w:tr>
        <w:trPr>
          <w:tblHeader w:val="false"/>
        </w:trPr>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Quick Research Report</w:t>
            </w:r>
          </w:p>
        </w:tc>
        <w:tc>
          <w:tcPr>
            <w:tcW w:type="dxa" w:w="3510"/>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External: company filings, industry databases, credible media (ET, Inc42, LiveMint, Statista)</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bCs/>
                <w:color w:val="1A5C4E"/>
                <w:sz w:val="20"/>
                <w:szCs w:val="20"/>
              </w:rPr>
              <w:t xml:space="preserve">Medium–High</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Primary evidence base</w:t>
            </w:r>
          </w:p>
        </w:tc>
      </w:tr>
      <w:tr>
        <w:trPr>
          <w:tblHeader w:val="false"/>
        </w:trPr>
        <w:tc>
          <w:tcPr>
            <w:tcW w:type="dxa" w:w="234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20"/>
                <w:szCs w:val="20"/>
              </w:rPr>
              <w:t xml:space="preserve">Food Delivery Dataset</w:t>
            </w:r>
          </w:p>
        </w:tc>
        <w:tc>
          <w:tcPr>
            <w:tcW w:type="dxa" w:w="351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1A202C"/>
                <w:sz w:val="20"/>
                <w:szCs w:val="20"/>
              </w:rPr>
              <w:t xml:space="preserve">Internal: 20,000 orders, 100 restaurants, 10 cities (Jan–Dec 2024) — confirmed synthetic</w:t>
            </w:r>
          </w:p>
        </w:tc>
        <w:tc>
          <w:tcPr>
            <w:tcW w:type="dxa" w:w="1755"/>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20"/>
                <w:szCs w:val="20"/>
              </w:rPr>
              <w:t xml:space="preserve">Low (Synthetic)</w:t>
            </w:r>
          </w:p>
        </w:tc>
        <w:tc>
          <w:tcPr>
            <w:tcW w:type="dxa" w:w="1755"/>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1A202C"/>
                <w:sz w:val="20"/>
                <w:szCs w:val="20"/>
              </w:rPr>
              <w:t xml:space="preserve">Illustrative only</w:t>
            </w:r>
          </w:p>
        </w:tc>
      </w:tr>
    </w:tbl>
    <w:p>
      <w:pPr>
        <w:pBdr>
          <w:bottom w:val="single" w:color="2D5FA6" w:sz="2"/>
        </w:pBdr>
        <w:spacing w:after="40" w:before="40"/>
      </w:pPr>
    </w:p>
    <w:p>
      <w:pPr>
        <w:pStyle w:val="SectionHead"/>
      </w:pPr>
      <w:r>
        <w:t xml:space="preserve">3. Key Market Insights</w:t>
      </w:r>
    </w:p>
    <w:p>
      <w:pPr>
        <w:pStyle w:val="BodyText"/>
      </w:pPr>
      <w:r>
        <w:t xml:space="preserve">Five actionable insights emerge from the synthesis of external market research and internal dataset review. Each insight is labeled by evidence source and confidence level.</w:t>
      </w:r>
    </w:p>
    <w:p>
      <w:pPr>
        <w:pStyle w:val="SubHead"/>
      </w:pPr>
      <w:r>
        <w:t xml:space="preserve">Insight 1: A $27B Market with a Profitability Paradox   </w:t>
      </w:r>
      <w:r>
        <w:rPr>
          <w:rFonts w:ascii="Calibri" w:cs="Calibri" w:eastAsia="Calibri" w:hAnsi="Calibri"/>
          <w:b/>
          <w:bCs/>
          <w:color w:val="1B3A6B"/>
          <w:sz w:val="18"/>
          <w:szCs w:val="18"/>
        </w:rPr>
        <w:t xml:space="preserve"> [Quick Research] </w:t>
      </w:r>
      <w:r>
        <w:rPr>
          <w:rFonts w:ascii="Calibri" w:cs="Calibri" w:eastAsia="Calibri" w:hAnsi="Calibri"/>
          <w:b/>
          <w:bCs/>
          <w:color w:val="B45309"/>
          <w:sz w:val="18"/>
          <w:szCs w:val="18"/>
        </w:rPr>
        <w:t xml:space="preserve"> ● Medium Confidence </w:t>
      </w:r>
    </w:p>
    <w:p>
      <w:pPr>
        <w:pStyle w:val="BodyText"/>
      </w:pPr>
      <w:r>
        <w:t xml:space="preserve">India's online food delivery market was valued at </w:t>
      </w:r>
      <w:r>
        <w:rPr>
          <w:b/>
          <w:bCs/>
        </w:rPr>
        <w:t xml:space="preserve">$9.1 billion in 2024</w:t>
      </w:r>
      <w:r>
        <w:t xml:space="preserve"> and is forecast to reach </w:t>
      </w:r>
      <w:r>
        <w:rPr>
          <w:b/>
          <w:bCs/>
        </w:rPr>
        <w:t xml:space="preserve">~$27 billion by 2030</w:t>
      </w:r>
      <w:r>
        <w:t xml:space="preserve"> at a ~19% CAGR. The current 2026 estimate stands at approximately </w:t>
      </w:r>
      <w:r>
        <w:rPr>
          <w:b/>
          <w:bCs/>
        </w:rPr>
        <w:t xml:space="preserve">$12.9 billion</w:t>
      </w:r>
      <w:r>
        <w:t xml:space="preserve">. Online delivery's share of total food services is expected to expand from </w:t>
      </w:r>
      <w:r>
        <w:rPr>
          <w:b/>
          <w:bCs/>
        </w:rPr>
        <w:t xml:space="preserve">11% in FY26 to 18% by FY31</w:t>
      </w:r>
      <w:r>
        <w:t xml:space="preserve">. The organised food segment is growing from 47–52% (FY25) to a projected 60–65% by FY30.</w:t>
      </w:r>
    </w:p>
    <w:p>
      <w:pPr>
        <w:pStyle w:val="BodyText"/>
      </w:pPr>
      <w:r>
        <w:t xml:space="preserve">Despite combined FY25 revenues exceeding </w:t>
      </w:r>
      <w:r>
        <w:rPr>
          <w:b/>
          <w:bCs/>
        </w:rPr>
        <w:t xml:space="preserve">₹36,000 Cr</w:t>
      </w:r>
      <w:r>
        <w:t xml:space="preserve"> (Zomato ₹20,243 Cr + Swiggy ₹16,333 Cr), standalone food delivery profitability has not been achieved by either platform after a decade of operations. Platform fees escalated from </w:t>
      </w:r>
      <w:r>
        <w:rPr>
          <w:b/>
          <w:bCs/>
        </w:rPr>
        <w:t xml:space="preserve">₹2/order (August 2023) to ₹14.90–17.58/order by late 2025</w:t>
      </w:r>
      <w:r>
        <w:t xml:space="preserve"> — a 7–9x increase in just over two years — against average order values of only </w:t>
      </w:r>
      <w:r>
        <w:rPr>
          <w:b/>
          <w:bCs/>
        </w:rPr>
        <w:t xml:space="preserve">$5.20–$5.40 (~₹430–450)</w:t>
      </w:r>
      <w:r>
        <w:t xml:space="preserve">.</w:t>
      </w:r>
    </w:p>
    <w:p>
      <w:pPr>
        <w:pStyle w:val="SubHead"/>
      </w:pPr>
      <w:r>
        <w:t xml:space="preserve">Insight 2: The Duopoly Is Contestable   </w:t>
      </w:r>
      <w:r>
        <w:rPr>
          <w:rFonts w:ascii="Calibri" w:cs="Calibri" w:eastAsia="Calibri" w:hAnsi="Calibri"/>
          <w:b/>
          <w:bCs/>
          <w:color w:val="1B3A6B"/>
          <w:sz w:val="18"/>
          <w:szCs w:val="18"/>
        </w:rPr>
        <w:t xml:space="preserve"> [Quick Research] </w:t>
      </w:r>
      <w:r>
        <w:rPr>
          <w:rFonts w:ascii="Calibri" w:cs="Calibri" w:eastAsia="Calibri" w:hAnsi="Calibri"/>
          <w:b/>
          <w:bCs/>
          <w:color w:val="1A5C4E"/>
          <w:sz w:val="18"/>
          <w:szCs w:val="18"/>
        </w:rPr>
        <w:t xml:space="preserve"> ● High Confidence </w:t>
      </w:r>
    </w:p>
    <w:p>
      <w:pPr>
        <w:pStyle w:val="BodyText"/>
      </w:pPr>
      <w:r>
        <w:t xml:space="preserve">Zomato and Swiggy command </w:t>
      </w:r>
      <w:r>
        <w:rPr>
          <w:b/>
          <w:bCs/>
        </w:rPr>
        <w:t xml:space="preserve">~58% and ~42%</w:t>
      </w:r>
      <w:r>
        <w:t xml:space="preserve"> of the market respectively. Q1 FY27 data shows Zomato at </w:t>
      </w:r>
      <w:r>
        <w:rPr>
          <w:b/>
          <w:bCs/>
        </w:rPr>
        <w:t xml:space="preserve">₹92 Cr profit (+268% YoY)</w:t>
      </w:r>
      <w:r>
        <w:t xml:space="preserve"> versus Swiggy at </w:t>
      </w:r>
      <w:r>
        <w:rPr>
          <w:b/>
          <w:bCs/>
        </w:rPr>
        <w:t xml:space="preserve">₹-791 Cr loss (improving -34% YoY)</w:t>
      </w:r>
      <w:r>
        <w:t xml:space="preserve">. Monthly transacting users (MTUs) are at near-parity: </w:t>
      </w:r>
      <w:r>
        <w:rPr>
          <w:b/>
          <w:bCs/>
        </w:rPr>
        <w:t xml:space="preserve">~27.0M (Zomato) vs ~27.5M (Swiggy)</w:t>
      </w:r>
      <w:r>
        <w:t xml:space="preserve"> — meaning Swiggy's users transact at higher frequency relative to its smaller market share. Loyalty subscribers stand at </w:t>
      </w:r>
      <w:r>
        <w:rPr>
          <w:b/>
          <w:bCs/>
        </w:rPr>
        <w:t xml:space="preserve">7.4M (Zomato Gold)</w:t>
      </w:r>
      <w:r>
        <w:t xml:space="preserve"> and </w:t>
      </w:r>
      <w:r>
        <w:rPr>
          <w:b/>
          <w:bCs/>
        </w:rPr>
        <w:t xml:space="preserve">5.7M (Swiggy One)</w:t>
      </w:r>
      <w:r>
        <w:t xml:space="preserve">.</w:t>
      </w:r>
    </w:p>
    <w:p>
      <w:pPr>
        <w:pStyle w:val="BodyText"/>
      </w:pPr>
      <w:r>
        <w:t xml:space="preserve">Five well-funded challengers are contesting the duopoly: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755"/>
        <w:gridCol w:w="1755"/>
        <w:gridCol w:w="1755"/>
        <w:gridCol w:w="2340"/>
        <w:gridCol w:w="1755"/>
      </w:tblGrid>
      <w:tr>
        <w:trPr>
          <w:tblHeader/>
        </w:trPr>
        <w:tc>
          <w:tcPr>
            <w:tcW w:type="dxa" w:w="1755"/>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Challenger</w:t>
            </w:r>
          </w:p>
        </w:tc>
        <w:tc>
          <w:tcPr>
            <w:tcW w:type="dxa" w:w="1755"/>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Model</w:t>
            </w:r>
          </w:p>
        </w:tc>
        <w:tc>
          <w:tcPr>
            <w:tcW w:type="dxa" w:w="1755"/>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Status (2026)</w:t>
            </w:r>
          </w:p>
        </w:tc>
        <w:tc>
          <w:tcPr>
            <w:tcW w:type="dxa" w:w="234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Key Differentiator</w:t>
            </w:r>
          </w:p>
        </w:tc>
        <w:tc>
          <w:tcPr>
            <w:tcW w:type="dxa" w:w="1755"/>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Threat Level</w:t>
            </w:r>
          </w:p>
        </w:tc>
      </w:tr>
      <w:tr>
        <w:trPr>
          <w:tblHeader w:val="false"/>
        </w:trPr>
        <w:tc>
          <w:tcPr>
            <w:tcW w:type="dxa" w:w="1755"/>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Rapido (Ownly)</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Zero-commission delivery</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Live, Bengaluru (Mar 2026)</w:t>
            </w:r>
          </w:p>
        </w:tc>
        <w:tc>
          <w:tcPr>
            <w:tcW w:type="dxa" w:w="2340"/>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Existing rider fleet; offline-equivalent pricing</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bCs/>
                <w:color w:val="C0392B"/>
                <w:sz w:val="20"/>
                <w:szCs w:val="20"/>
              </w:rPr>
              <w:t xml:space="preserve">High</w:t>
            </w:r>
          </w:p>
        </w:tc>
      </w:tr>
      <w:tr>
        <w:trPr>
          <w:tblHeader w:val="false"/>
        </w:trPr>
        <w:tc>
          <w:tcPr>
            <w:tcW w:type="dxa" w:w="1755"/>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Zepto Cafe</w:t>
            </w:r>
          </w:p>
        </w:tc>
        <w:tc>
          <w:tcPr>
            <w:tcW w:type="dxa" w:w="1755"/>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Dark-store prepared food</w:t>
            </w:r>
          </w:p>
        </w:tc>
        <w:tc>
          <w:tcPr>
            <w:tcW w:type="dxa" w:w="1755"/>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Expanding nationally</w:t>
            </w:r>
          </w:p>
        </w:tc>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10-minute delivery from dark stores</w:t>
            </w:r>
          </w:p>
        </w:tc>
        <w:tc>
          <w:tcPr>
            <w:tcW w:type="dxa" w:w="1755"/>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C0392B"/>
                <w:sz w:val="20"/>
                <w:szCs w:val="20"/>
              </w:rPr>
              <w:t xml:space="preserve">High</w:t>
            </w:r>
          </w:p>
        </w:tc>
      </w:tr>
      <w:tr>
        <w:trPr>
          <w:tblHeader w:val="false"/>
        </w:trPr>
        <w:tc>
          <w:tcPr>
            <w:tcW w:type="dxa" w:w="1755"/>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Magicpin (MagicNow)</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15-min restaurant delivery</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20 cities, 21,000+ restaurants</w:t>
            </w:r>
          </w:p>
        </w:tc>
        <w:tc>
          <w:tcPr>
            <w:tcW w:type="dxa" w:w="2340"/>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Hyperlocal speed; targets 20% order share by FY26</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bCs/>
                <w:color w:val="B45309"/>
                <w:sz w:val="20"/>
                <w:szCs w:val="20"/>
              </w:rPr>
              <w:t xml:space="preserve">Medium</w:t>
            </w:r>
          </w:p>
        </w:tc>
      </w:tr>
      <w:tr>
        <w:trPr>
          <w:tblHeader w:val="false"/>
        </w:trPr>
        <w:tc>
          <w:tcPr>
            <w:tcW w:type="dxa" w:w="1755"/>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Flipkart</w:t>
            </w:r>
          </w:p>
        </w:tc>
        <w:tc>
          <w:tcPr>
            <w:tcW w:type="dxa" w:w="1755"/>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Traditional aggregator</w:t>
            </w:r>
          </w:p>
        </w:tc>
        <w:tc>
          <w:tcPr>
            <w:tcW w:type="dxa" w:w="1755"/>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Bengaluru pilot (mid-2026)</w:t>
            </w:r>
          </w:p>
        </w:tc>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Walmart-backed; massive existing user base</w:t>
            </w:r>
          </w:p>
        </w:tc>
        <w:tc>
          <w:tcPr>
            <w:tcW w:type="dxa" w:w="1755"/>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B45309"/>
                <w:sz w:val="20"/>
                <w:szCs w:val="20"/>
              </w:rPr>
              <w:t xml:space="preserve">Medium</w:t>
            </w:r>
          </w:p>
        </w:tc>
      </w:tr>
      <w:tr>
        <w:trPr>
          <w:tblHeader w:val="false"/>
        </w:trPr>
        <w:tc>
          <w:tcPr>
            <w:tcW w:type="dxa" w:w="1755"/>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ONDC</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Open network protocol</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~4.3M monthly orders (Apr 2025)</w:t>
            </w:r>
          </w:p>
        </w:tc>
        <w:tc>
          <w:tcPr>
            <w:tcW w:type="dxa" w:w="2340"/>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val="false"/>
                <w:bCs w:val="false"/>
                <w:color w:val="1A202C"/>
                <w:sz w:val="20"/>
                <w:szCs w:val="20"/>
              </w:rPr>
              <w:t xml:space="preserve">Government-backed; decentralised model; bypasses commission</w:t>
            </w:r>
          </w:p>
        </w:tc>
        <w:tc>
          <w:tcPr>
            <w:tcW w:type="dxa" w:w="1755"/>
            <w:tcBorders>
              <w:top w:val="single" w:color="CBD5E0" w:sz="1"/>
              <w:left w:val="single" w:color="CBD5E0" w:sz="1"/>
              <w:bottom w:val="single" w:color="CBD5E0" w:sz="1"/>
              <w:right w:val="single" w:color="CBD5E0" w:sz="1"/>
            </w:tcBorders>
            <w:shd w:fill="FFFFFF" w:val="clear"/>
          </w:tcPr>
          <w:p>
            <w:pPr>
              <w:spacing w:after="60" w:before="60"/>
            </w:pPr>
            <w:r>
              <w:rPr>
                <w:rFonts w:ascii="Calibri" w:cs="Calibri" w:eastAsia="Calibri" w:hAnsi="Calibri"/>
                <w:b/>
                <w:bCs/>
                <w:color w:val="B45309"/>
                <w:sz w:val="20"/>
                <w:szCs w:val="20"/>
              </w:rPr>
              <w:t xml:space="preserve">Long-term</w:t>
            </w:r>
          </w:p>
        </w:tc>
      </w:tr>
    </w:tbl>
    <w:p>
      <w:pPr>
        <w:pStyle w:val="SubHead"/>
      </w:pPr>
      <w:r>
        <w:t xml:space="preserve">Insight 3: Tier-2/3 Cities Are the Primary Growth Runway   </w:t>
      </w:r>
      <w:r>
        <w:rPr>
          <w:rFonts w:ascii="Calibri" w:cs="Calibri" w:eastAsia="Calibri" w:hAnsi="Calibri"/>
          <w:b/>
          <w:bCs/>
          <w:color w:val="1B3A6B"/>
          <w:sz w:val="18"/>
          <w:szCs w:val="18"/>
        </w:rPr>
        <w:t xml:space="preserve"> [Quick Research] </w:t>
      </w:r>
      <w:r>
        <w:rPr>
          <w:rFonts w:ascii="Calibri" w:cs="Calibri" w:eastAsia="Calibri" w:hAnsi="Calibri"/>
          <w:b/>
          <w:bCs/>
          <w:color w:val="B45309"/>
          <w:sz w:val="18"/>
          <w:szCs w:val="18"/>
        </w:rPr>
        <w:t xml:space="preserve"> ● Medium Confidence </w:t>
      </w:r>
    </w:p>
    <w:p>
      <w:pPr>
        <w:pStyle w:val="BodyText"/>
      </w:pPr>
      <w:r>
        <w:t xml:space="preserve">Tier-2/3 cities currently represent </w:t>
      </w:r>
      <w:r>
        <w:rPr>
          <w:b/>
          <w:bCs/>
        </w:rPr>
        <w:t xml:space="preserve">20–25% of the market</w:t>
      </w:r>
      <w:r>
        <w:t xml:space="preserve"> and account for </w:t>
      </w:r>
      <w:r>
        <w:rPr>
          <w:b/>
          <w:bCs/>
        </w:rPr>
        <w:t xml:space="preserve">over 70% of new smartphone sales</w:t>
      </w:r>
      <w:r>
        <w:t xml:space="preserve">. India's </w:t>
      </w:r>
      <w:r>
        <w:rPr>
          <w:b/>
          <w:bCs/>
        </w:rPr>
        <w:t xml:space="preserve">660 million smartphone users</w:t>
      </w:r>
      <w:r>
        <w:t xml:space="preserve"> and </w:t>
      </w:r>
      <w:r>
        <w:rPr>
          <w:b/>
          <w:bCs/>
        </w:rPr>
        <w:t xml:space="preserve">16–17 billion monthly UPI transactions</w:t>
      </w:r>
      <w:r>
        <w:t xml:space="preserve"> provide the addressable market infrastructure. Rural smartphone adoption surged </w:t>
      </w:r>
      <w:r>
        <w:rPr>
          <w:b/>
          <w:bCs/>
        </w:rPr>
        <w:t xml:space="preserve">40% between 2020 and 2024</w:t>
      </w:r>
      <w:r>
        <w:t xml:space="preserve">. Meal delivery user penetration is projected at </w:t>
      </w:r>
      <w:r>
        <w:rPr>
          <w:b/>
          <w:bCs/>
        </w:rPr>
        <w:t xml:space="preserve">21.5% nationally in 2026</w:t>
      </w:r>
      <w:r>
        <w:t xml:space="preserve">. However, unit economics in tier-2/3 markets remain explicitly unproven — this is an opportunity with real risks, not a guaranteed growth vector.</w:t>
      </w:r>
    </w:p>
    <w:p>
      <w:pPr>
        <w:pStyle w:val="SubHead"/>
      </w:pPr>
      <w:r>
        <w:t xml:space="preserve">Insight 4: Regulatory Pressure Is Structural, Not Cyclical   </w:t>
      </w:r>
      <w:r>
        <w:rPr>
          <w:rFonts w:ascii="Calibri" w:cs="Calibri" w:eastAsia="Calibri" w:hAnsi="Calibri"/>
          <w:b/>
          <w:bCs/>
          <w:color w:val="1B3A6B"/>
          <w:sz w:val="18"/>
          <w:szCs w:val="18"/>
        </w:rPr>
        <w:t xml:space="preserve"> [Quick Research] </w:t>
      </w:r>
      <w:r>
        <w:rPr>
          <w:rFonts w:ascii="Calibri" w:cs="Calibri" w:eastAsia="Calibri" w:hAnsi="Calibri"/>
          <w:b/>
          <w:bCs/>
          <w:color w:val="B45309"/>
          <w:sz w:val="18"/>
          <w:szCs w:val="18"/>
        </w:rPr>
        <w:t xml:space="preserve"> ● Medium Confidence </w:t>
      </w:r>
    </w:p>
    <w:p>
      <w:pPr>
        <w:pStyle w:val="BodyText"/>
      </w:pPr>
      <w:r>
        <w:t xml:space="preserve">Three independent regulatory vectors operate cumulatively: </w:t>
      </w:r>
      <w:r>
        <w:rPr>
          <w:b/>
          <w:bCs/>
        </w:rPr>
        <w:t xml:space="preserve">(1) CCI antitrust</w:t>
      </w:r>
      <w:r>
        <w:t xml:space="preserve"> — investigations found Zomato and Swiggy breached competition laws (platform fees separately cleared July 2026, but broader scrutiny continues); </w:t>
      </w:r>
      <w:r>
        <w:rPr>
          <w:b/>
          <w:bCs/>
        </w:rPr>
        <w:t xml:space="preserve">(2) Social Security Code</w:t>
      </w:r>
      <w:r>
        <w:t xml:space="preserve"> — effective November 2025, adding structural gig worker protection costs; </w:t>
      </w:r>
      <w:r>
        <w:rPr>
          <w:b/>
          <w:bCs/>
        </w:rPr>
        <w:t xml:space="preserve">(3) FSSAI compliance</w:t>
      </w:r>
      <w:r>
        <w:t xml:space="preserve"> — food safety enforcement expanding to dark stores and cloud kitchens. The financial impact of these measures has not yet been quantified by any platform, but the direction of travel is clear.</w:t>
      </w:r>
    </w:p>
    <w:p>
      <w:pPr>
        <w:pStyle w:val="SubHead"/>
      </w:pPr>
      <w:r>
        <w:t xml:space="preserve">Insight 5: South India Is the Strategic Bellwether   </w:t>
      </w:r>
      <w:r>
        <w:rPr>
          <w:rFonts w:ascii="Calibri" w:cs="Calibri" w:eastAsia="Calibri" w:hAnsi="Calibri"/>
          <w:b/>
          <w:bCs/>
          <w:color w:val="1B3A6B"/>
          <w:sz w:val="18"/>
          <w:szCs w:val="18"/>
        </w:rPr>
        <w:t xml:space="preserve"> [Quick Research] </w:t>
      </w:r>
      <w:r>
        <w:rPr>
          <w:rFonts w:ascii="Calibri" w:cs="Calibri" w:eastAsia="Calibri" w:hAnsi="Calibri"/>
          <w:b/>
          <w:bCs/>
          <w:color w:val="1A5C4E"/>
          <w:sz w:val="18"/>
          <w:szCs w:val="18"/>
        </w:rPr>
        <w:t xml:space="preserve"> ● High Confidence </w:t>
      </w:r>
    </w:p>
    <w:p>
      <w:pPr>
        <w:pStyle w:val="BodyText"/>
      </w:pPr>
      <w:r>
        <w:t xml:space="preserve">Bengaluru alone accounts for </w:t>
      </w:r>
      <w:r>
        <w:rPr>
          <w:b/>
          <w:bCs/>
        </w:rPr>
        <w:t xml:space="preserve">~20% of national food delivery orders</w:t>
      </w:r>
      <w:r>
        <w:t xml:space="preserve">. South India commands </w:t>
      </w:r>
      <w:r>
        <w:rPr>
          <w:b/>
          <w:bCs/>
        </w:rPr>
        <w:t xml:space="preserve">35% of national cloud kitchen revenue</w:t>
      </w:r>
      <w:r>
        <w:t xml:space="preserve"> in a market valued at $1.24 billion in 2025, projected to reach $3.69 billion by 2034 at a 12.28% CAGR. The region serves as the primary testing ground for competitive innovation: Rapido's Ownly launched in Bengaluru in March 2026; Zepto Cafe, Zepto's rapid-delivery model, is also testing here. Notably, Zomato has been successfully narrowing its historically wide competitive gap with Swiggy in Southern cities — demonstrating that even entrenched market positions are contestable with sustained investment.</w:t>
      </w:r>
    </w:p>
    <w:p>
      <w:pPr>
        <w:pBdr>
          <w:bottom w:val="single" w:color="2D5FA6" w:sz="2"/>
        </w:pBdr>
        <w:spacing w:after="40" w:before="40"/>
      </w:pPr>
    </w:p>
    <w:p>
      <w:pPr>
        <w:pStyle w:val="SectionHead"/>
      </w:pPr>
      <w:r>
        <w:t xml:space="preserve">4. Why Each Insight Matters</w:t>
      </w:r>
    </w:p>
    <w:p>
      <w:pPr>
        <w:pStyle w:val="SubHead"/>
      </w:pPr>
      <w:r>
        <w:t xml:space="preserve">Insight 1 — The Profitability Paradox</w:t>
      </w:r>
    </w:p>
    <w:p>
      <w:pPr>
        <w:pStyle w:val="BodyText"/>
      </w:pPr>
      <w:r>
        <w:t xml:space="preserve">A market growing at 19% CAGR is not automatically investable. The persistent inability to generate standalone food delivery profits after a decade of operations, combined with a 7–9x fee escalation against a $5.20–5.40 average order value, signals that the unit economics model is not yet solved. Leadership must demand a credible path to breakeven — not just revenue growth — before committing capital to expansion. Platform fee escalation is approaching a structural ceiling, which means the path to profitability must run through cost reduction and operational efficiency, not price increases.</w:t>
      </w:r>
    </w:p>
    <w:p>
      <w:pPr>
        <w:pStyle w:val="SubHead"/>
      </w:pPr>
      <w:r>
        <w:t xml:space="preserve">Insight 2 — The Contestable Duopoly</w:t>
      </w:r>
    </w:p>
    <w:p>
      <w:pPr>
        <w:pStyle w:val="BodyText"/>
      </w:pPr>
      <w:r>
        <w:t xml:space="preserve">Rapido's zero-commission model is the single most disruptive signal in the competitive landscape. If viable at scale, it directly challenges the commission-based revenue architecture on which both Zomato and Swiggy are built. The near-parity in MTUs (~27M each) despite Zomato's 16-point market share advantage is a structural vulnerability for Swiggy but also an indicator that Zomato's lead is not as insulated as share numbers suggest. New entrant traction in Bengaluru over the next 6–12 months should be treated as a leading indicator of national disruption risk.</w:t>
      </w:r>
    </w:p>
    <w:p>
      <w:pPr>
        <w:pStyle w:val="SubHead"/>
      </w:pPr>
      <w:r>
        <w:t xml:space="preserve">Insight 3 — Tier-2/3 Expansion</w:t>
      </w:r>
    </w:p>
    <w:p>
      <w:pPr>
        <w:pStyle w:val="BodyText"/>
      </w:pPr>
      <w:r>
        <w:t xml:space="preserve">The digital infrastructure tailwinds are genuine and well-documented. However, the absence of proven unit economics in these markets means that undisciplined expansion risks compounding existing profitability challenges. The right framework is not ‘expand or miss the window’ — it is ‘instrument, measure, then scale.’ Each new tier-2/3 market should be treated as a controlled pilot with explicit economics gates before broader rollout. The dataset's tier-2/3 city data (Jaipur, Lucknow, Ahmedabad) is synthetic and provides no usable evidence about actual unit economics in these cities.</w:t>
      </w:r>
    </w:p>
    <w:p>
      <w:pPr>
        <w:pStyle w:val="SubHead"/>
      </w:pPr>
      <w:r>
        <w:t xml:space="preserve">Insight 4 — Structural Regulatory Pressure</w:t>
      </w:r>
    </w:p>
    <w:p>
      <w:pPr>
        <w:pStyle w:val="BodyText"/>
      </w:pPr>
      <w:r>
        <w:t xml:space="preserve">Regulatory actions across three independent vectors (competition law, labour protection, food safety) signal that the regulatory environment is tightening structurally, not cyclically. Unlike competitive threats that may not materialise at scale, regulatory obligations are enacted and enforced. Financial models for multi-year scenarios should assume increased cost burdens from gig worker protections and compliance requirements. The CCI’s mixed signals (breach findings alongside fee clearance) suggest regulatory outcomes may be negotiated, but the direction of travel favours higher platform operating costs.</w:t>
      </w:r>
    </w:p>
    <w:p>
      <w:pPr>
        <w:pStyle w:val="SubHead"/>
      </w:pPr>
      <w:r>
        <w:t xml:space="preserve">Insight 5 — South India as Strategic Laboratory</w:t>
      </w:r>
    </w:p>
    <w:p>
      <w:pPr>
        <w:pStyle w:val="BodyText"/>
      </w:pPr>
      <w:r>
        <w:t xml:space="preserve">South India's outsized market concentration (~20% of national orders from a single city) and its role as the first test market for every major competitive innovation make it the highest-value monitoring location in the country. Leadership should establish a South India competitive intelligence cadence: track Rapido Ownly's order growth, Zepto Cafe's unit economics, and Magicpin's restaurant partnership model in real time. If any challenger achieves meaningful scale in Bengaluru, it signals national viability within 12–18 months. Conversely, if challengers fail to scale in Bengaluru, the duopoly's position is more durable than current sentiment suggests.</w:t>
      </w:r>
    </w:p>
    <w:p>
      <w:pPr>
        <w:pBdr>
          <w:bottom w:val="single" w:color="2D5FA6" w:sz="2"/>
        </w:pBdr>
        <w:spacing w:after="40" w:before="40"/>
      </w:pPr>
    </w:p>
    <w:p>
      <w:pPr>
        <w:pStyle w:val="SectionHead"/>
      </w:pPr>
      <w:r>
        <w:t xml:space="preserve">5. Supporting Evidence</w:t>
      </w:r>
    </w:p>
    <w:p>
      <w:pPr>
        <w:pStyle w:val="BodyText"/>
      </w:pPr>
      <w:r>
        <w:t xml:space="preserve">The table below maps each insight to its evidence sources, key data points, evidence quality, and confidence rating. Blue shading indicates external research findings. Amber shading indicates internal dataset findings (Low confidence, synthetic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1980"/>
        <w:gridCol w:w="1620"/>
        <w:gridCol w:w="2520"/>
        <w:gridCol w:w="1080"/>
        <w:gridCol w:w="2160"/>
      </w:tblGrid>
      <w:tr>
        <w:trPr>
          <w:tblHeader/>
        </w:trPr>
        <w:tc>
          <w:tcPr>
            <w:tcW w:type="dxa" w:w="19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Insight</w:t>
            </w:r>
          </w:p>
        </w:tc>
        <w:tc>
          <w:tcPr>
            <w:tcW w:type="dxa" w:w="162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Source</w:t>
            </w:r>
          </w:p>
        </w:tc>
        <w:tc>
          <w:tcPr>
            <w:tcW w:type="dxa" w:w="252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Key Data Points</w:t>
            </w:r>
          </w:p>
        </w:tc>
        <w:tc>
          <w:tcPr>
            <w:tcW w:type="dxa" w:w="10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Quality</w:t>
            </w:r>
          </w:p>
        </w:tc>
        <w:tc>
          <w:tcPr>
            <w:tcW w:type="dxa" w:w="216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Confidence</w:t>
            </w:r>
          </w:p>
        </w:tc>
      </w:tr>
      <w:tr>
        <w:trPr>
          <w:tblHeader w:val="false"/>
        </w:trPr>
        <w:tc>
          <w:tcPr>
            <w:tcW w:type="dxa" w:w="19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Market Size &amp; Growth ($9.1B→$27B)</w:t>
            </w:r>
          </w:p>
        </w:tc>
        <w:tc>
          <w:tcPr>
            <w:tcW w:type="dxa" w:w="16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Quick Research (BusinessWorld, Statista, industry reports)</w:t>
            </w:r>
          </w:p>
        </w:tc>
        <w:tc>
          <w:tcPr>
            <w:tcW w:type="dxa" w:w="25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$9.1B (2024); ~$12.9B (2026); ~$27B (2030); 19% CAGR; 11%→18% share of food services</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B3A6B"/>
                <w:sz w:val="19"/>
                <w:szCs w:val="19"/>
              </w:rPr>
              <w:t xml:space="preserve">External</w:t>
            </w:r>
          </w:p>
        </w:tc>
        <w:tc>
          <w:tcPr>
            <w:tcW w:type="dxa" w:w="21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B45309"/>
                <w:sz w:val="20"/>
                <w:szCs w:val="20"/>
              </w:rPr>
              <w:t xml:space="preserve">Medium</w:t>
            </w:r>
          </w:p>
        </w:tc>
      </w:tr>
      <w:tr>
        <w:trPr>
          <w:tblHeader w:val="false"/>
        </w:trPr>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Duopoly Structure (58%/42%)</w:t>
            </w:r>
          </w:p>
        </w:tc>
        <w:tc>
          <w:tcPr>
            <w:tcW w:type="dxa" w:w="16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Company filings (ET, Storyboard18, SEBI disclosures)</w:t>
            </w:r>
          </w:p>
        </w:tc>
        <w:tc>
          <w:tcPr>
            <w:tcW w:type="dxa" w:w="25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Zomato FY25: ₹20,243 Cr rev, ₹527 Cr profit; Swiggy: ₹16,333 Cr, ₹-3,107 Cr; Q1 FY27: ₹92 Cr vs ₹-791 Cr; ~27M MTUs each</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B3A6B"/>
                <w:sz w:val="19"/>
                <w:szCs w:val="19"/>
              </w:rPr>
              <w:t xml:space="preserve">Filings</w:t>
            </w:r>
          </w:p>
        </w:tc>
        <w:tc>
          <w:tcPr>
            <w:tcW w:type="dxa" w:w="216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A5C4E"/>
                <w:sz w:val="20"/>
                <w:szCs w:val="20"/>
              </w:rPr>
              <w:t xml:space="preserve">High</w:t>
            </w:r>
          </w:p>
        </w:tc>
      </w:tr>
      <w:tr>
        <w:trPr>
          <w:tblHeader w:val="false"/>
        </w:trPr>
        <w:tc>
          <w:tcPr>
            <w:tcW w:type="dxa" w:w="19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Emerging Challengers</w:t>
            </w:r>
          </w:p>
        </w:tc>
        <w:tc>
          <w:tcPr>
            <w:tcW w:type="dxa" w:w="16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Quick Research (Inc42, MoneyControl, LiveMint)</w:t>
            </w:r>
          </w:p>
        </w:tc>
        <w:tc>
          <w:tcPr>
            <w:tcW w:type="dxa" w:w="25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Rapido Ownly live (Mar 2026); Zepto national expansion; Magicpin 20 cities, 21,000+ restaurants; Flipkart pilot mid-2026; ONDC ~4.3M orders</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B3A6B"/>
                <w:sz w:val="19"/>
                <w:szCs w:val="19"/>
              </w:rPr>
              <w:t xml:space="preserve">External</w:t>
            </w:r>
          </w:p>
        </w:tc>
        <w:tc>
          <w:tcPr>
            <w:tcW w:type="dxa" w:w="21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B45309"/>
                <w:sz w:val="20"/>
                <w:szCs w:val="20"/>
              </w:rPr>
              <w:t xml:space="preserve">Medium</w:t>
            </w:r>
          </w:p>
        </w:tc>
      </w:tr>
      <w:tr>
        <w:trPr>
          <w:tblHeader w:val="false"/>
        </w:trPr>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Platform Fee Escalation</w:t>
            </w:r>
          </w:p>
        </w:tc>
        <w:tc>
          <w:tcPr>
            <w:tcW w:type="dxa" w:w="16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Quick Research; platform disclosures</w:t>
            </w:r>
          </w:p>
        </w:tc>
        <w:tc>
          <w:tcPr>
            <w:tcW w:type="dxa" w:w="25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₹2/order (Aug 2023) → ₹14.90 (Zomato) / ₹17.58 (Swiggy) late 2025; 4 Swiggy hikes in 7 months; AOV $5.20–5.40 (~₹430–450)</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B3A6B"/>
                <w:sz w:val="19"/>
                <w:szCs w:val="19"/>
              </w:rPr>
              <w:t xml:space="preserve">Reported</w:t>
            </w:r>
          </w:p>
        </w:tc>
        <w:tc>
          <w:tcPr>
            <w:tcW w:type="dxa" w:w="216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B45309"/>
                <w:sz w:val="20"/>
                <w:szCs w:val="20"/>
              </w:rPr>
              <w:t xml:space="preserve">Med-High</w:t>
            </w:r>
          </w:p>
        </w:tc>
      </w:tr>
      <w:tr>
        <w:trPr>
          <w:tblHeader w:val="false"/>
        </w:trPr>
        <w:tc>
          <w:tcPr>
            <w:tcW w:type="dxa" w:w="19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South India Bellwether</w:t>
            </w:r>
          </w:p>
        </w:tc>
        <w:tc>
          <w:tcPr>
            <w:tcW w:type="dxa" w:w="16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Multiple independent Quick Research sources</w:t>
            </w:r>
          </w:p>
        </w:tc>
        <w:tc>
          <w:tcPr>
            <w:tcW w:type="dxa" w:w="25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Bengaluru ~20% national orders; 35% of $1.24B cloud kitchen market; primary launch city for all challengers</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B3A6B"/>
                <w:sz w:val="19"/>
                <w:szCs w:val="19"/>
              </w:rPr>
              <w:t xml:space="preserve">External</w:t>
            </w:r>
          </w:p>
        </w:tc>
        <w:tc>
          <w:tcPr>
            <w:tcW w:type="dxa" w:w="21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A5C4E"/>
                <w:sz w:val="20"/>
                <w:szCs w:val="20"/>
              </w:rPr>
              <w:t xml:space="preserve">High</w:t>
            </w:r>
          </w:p>
        </w:tc>
      </w:tr>
      <w:tr>
        <w:trPr>
          <w:tblHeader w:val="false"/>
        </w:trPr>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Tier-2/3 Growth Signal</w:t>
            </w:r>
          </w:p>
        </w:tc>
        <w:tc>
          <w:tcPr>
            <w:tcW w:type="dxa" w:w="16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Quick Research (smartphone &amp; UPI data)</w:t>
            </w:r>
          </w:p>
        </w:tc>
        <w:tc>
          <w:tcPr>
            <w:tcW w:type="dxa" w:w="25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660M smartphone users; 16–17B monthly UPI transactions; 70%+ new sales in tier-2/3; 40% rural smartphone surge (2020–2024); 21.5% national delivery penetration</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B3A6B"/>
                <w:sz w:val="19"/>
                <w:szCs w:val="19"/>
              </w:rPr>
              <w:t xml:space="preserve">External</w:t>
            </w:r>
          </w:p>
        </w:tc>
        <w:tc>
          <w:tcPr>
            <w:tcW w:type="dxa" w:w="216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B45309"/>
                <w:sz w:val="20"/>
                <w:szCs w:val="20"/>
              </w:rPr>
              <w:t xml:space="preserve">Medium</w:t>
            </w:r>
          </w:p>
        </w:tc>
      </w:tr>
      <w:tr>
        <w:trPr>
          <w:tblHeader w:val="false"/>
        </w:trPr>
        <w:tc>
          <w:tcPr>
            <w:tcW w:type="dxa" w:w="19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Regulatory Risk (CCI, SocSec, FSSAI)</w:t>
            </w:r>
          </w:p>
        </w:tc>
        <w:tc>
          <w:tcPr>
            <w:tcW w:type="dxa" w:w="16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Quick Research; regulatory filings; news</w:t>
            </w:r>
          </w:p>
        </w:tc>
        <w:tc>
          <w:tcPr>
            <w:tcW w:type="dxa" w:w="25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CCI breach findings; Social Security Code effective Nov 2025; platform fees cleared Jul 2026; FSSAI expanding to dark stores</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B3A6B"/>
                <w:sz w:val="19"/>
                <w:szCs w:val="19"/>
              </w:rPr>
              <w:t xml:space="preserve">External</w:t>
            </w:r>
          </w:p>
        </w:tc>
        <w:tc>
          <w:tcPr>
            <w:tcW w:type="dxa" w:w="21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B45309"/>
                <w:sz w:val="20"/>
                <w:szCs w:val="20"/>
              </w:rPr>
              <w:t xml:space="preserve">Med-High</w:t>
            </w:r>
          </w:p>
        </w:tc>
      </w:tr>
      <w:tr>
        <w:trPr>
          <w:tblHeader w:val="false"/>
        </w:trPr>
        <w:tc>
          <w:tcPr>
            <w:tcW w:type="dxa" w:w="19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Biryani / Cuisine Dominance</w:t>
            </w:r>
          </w:p>
        </w:tc>
        <w:tc>
          <w:tcPr>
            <w:tcW w:type="dxa" w:w="16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Swiggy 2025 annual report</w:t>
            </w:r>
          </w:p>
        </w:tc>
        <w:tc>
          <w:tcPr>
            <w:tcW w:type="dxa" w:w="25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93M biryani orders (2025); ~194/min; chicken biryani 57.7M orders; Hyderabad and South India driving volume</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B3A6B"/>
                <w:sz w:val="19"/>
                <w:szCs w:val="19"/>
              </w:rPr>
              <w:t xml:space="preserve">Reported</w:t>
            </w:r>
          </w:p>
        </w:tc>
        <w:tc>
          <w:tcPr>
            <w:tcW w:type="dxa" w:w="21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B45309"/>
                <w:sz w:val="20"/>
                <w:szCs w:val="20"/>
              </w:rPr>
              <w:t xml:space="preserve">Med-High</w:t>
            </w:r>
          </w:p>
        </w:tc>
      </w:tr>
      <w:tr>
        <w:trPr>
          <w:tblHeader w:val="false"/>
        </w:trPr>
        <w:tc>
          <w:tcPr>
            <w:tcW w:type="dxa" w:w="19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20"/>
                <w:szCs w:val="20"/>
              </w:rPr>
              <w:t xml:space="preserve">Delivery Performance (Dataset)</w:t>
            </w:r>
          </w:p>
        </w:tc>
        <w:tc>
          <w:tcPr>
            <w:tcW w:type="dxa" w:w="162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1A202C"/>
                <w:sz w:val="20"/>
                <w:szCs w:val="20"/>
              </w:rPr>
              <w:t xml:space="preserve">⚠️ Internal dataset — CONFIRMED SYNTHETIC</w:t>
            </w:r>
          </w:p>
        </w:tc>
        <w:tc>
          <w:tcPr>
            <w:tcW w:type="dxa" w:w="252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1A202C"/>
                <w:sz w:val="20"/>
                <w:szCs w:val="20"/>
              </w:rPr>
              <w:t xml:space="preserve">66.6% late deliveries; avg delay 4.95 min; route efficiency 0.003–0.99 — these are uniformly distributed and NOT representative of real operations</w:t>
            </w:r>
          </w:p>
        </w:tc>
        <w:tc>
          <w:tcPr>
            <w:tcW w:type="dxa" w:w="10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19"/>
                <w:szCs w:val="19"/>
              </w:rPr>
              <w:t xml:space="preserve">Synthetic</w:t>
            </w:r>
          </w:p>
        </w:tc>
        <w:tc>
          <w:tcPr>
            <w:tcW w:type="dxa" w:w="216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20"/>
                <w:szCs w:val="20"/>
              </w:rPr>
              <w:t xml:space="preserve">LOW</w:t>
            </w:r>
          </w:p>
        </w:tc>
      </w:tr>
      <w:tr>
        <w:trPr>
          <w:tblHeader w:val="false"/>
        </w:trPr>
        <w:tc>
          <w:tcPr>
            <w:tcW w:type="dxa" w:w="19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20"/>
                <w:szCs w:val="20"/>
              </w:rPr>
              <w:t xml:space="preserve">City / Regional Data (Dataset)</w:t>
            </w:r>
          </w:p>
        </w:tc>
        <w:tc>
          <w:tcPr>
            <w:tcW w:type="dxa" w:w="162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1A202C"/>
                <w:sz w:val="20"/>
                <w:szCs w:val="20"/>
              </w:rPr>
              <w:t xml:space="preserve">⚠️ Internal dataset — CONFIRMED SYNTHETIC</w:t>
            </w:r>
          </w:p>
        </w:tc>
        <w:tc>
          <w:tcPr>
            <w:tcW w:type="dxa" w:w="252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1A202C"/>
                <w:sz w:val="20"/>
                <w:szCs w:val="20"/>
              </w:rPr>
              <w:t xml:space="preserve">All 10 cities at ~10% share each (1.06:1 max ratio); no meaningful city-level differences; directly contradicts external evidence that Bengaluru alone = ~20%</w:t>
            </w:r>
          </w:p>
        </w:tc>
        <w:tc>
          <w:tcPr>
            <w:tcW w:type="dxa" w:w="10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19"/>
                <w:szCs w:val="19"/>
              </w:rPr>
              <w:t xml:space="preserve">Synthetic</w:t>
            </w:r>
          </w:p>
        </w:tc>
        <w:tc>
          <w:tcPr>
            <w:tcW w:type="dxa" w:w="216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20"/>
                <w:szCs w:val="20"/>
              </w:rPr>
              <w:t xml:space="preserve">LOW</w:t>
            </w:r>
          </w:p>
        </w:tc>
      </w:tr>
    </w:tbl>
    <w:p>
      <w:pPr>
        <w:pBdr>
          <w:bottom w:val="single" w:color="2D5FA6" w:sz="2"/>
        </w:pBdr>
        <w:spacing w:after="40" w:before="40"/>
      </w:pPr>
    </w:p>
    <w:p>
      <w:pPr>
        <w:pStyle w:val="SectionHead"/>
      </w:pPr>
      <w:r>
        <w:t xml:space="preserve">6. Opportunities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1980"/>
        <w:gridCol w:w="1080"/>
        <w:gridCol w:w="1800"/>
        <w:gridCol w:w="2340"/>
        <w:gridCol w:w="2160"/>
      </w:tblGrid>
      <w:tr>
        <w:trPr>
          <w:tblHeader/>
        </w:trPr>
        <w:tc>
          <w:tcPr>
            <w:tcW w:type="dxa" w:w="19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Opportunity</w:t>
            </w:r>
          </w:p>
        </w:tc>
        <w:tc>
          <w:tcPr>
            <w:tcW w:type="dxa" w:w="10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Source</w:t>
            </w:r>
          </w:p>
        </w:tc>
        <w:tc>
          <w:tcPr>
            <w:tcW w:type="dxa" w:w="180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Signal Strength</w:t>
            </w:r>
          </w:p>
        </w:tc>
        <w:tc>
          <w:tcPr>
            <w:tcW w:type="dxa" w:w="234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Key Evidence</w:t>
            </w:r>
          </w:p>
        </w:tc>
        <w:tc>
          <w:tcPr>
            <w:tcW w:type="dxa" w:w="216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Caveats</w:t>
            </w:r>
          </w:p>
        </w:tc>
      </w:tr>
      <w:tr>
        <w:trPr>
          <w:tblHeader w:val="false"/>
        </w:trPr>
        <w:tc>
          <w:tcPr>
            <w:tcW w:type="dxa" w:w="19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Tier-2/3 City Expansion</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18"/>
                <w:szCs w:val="18"/>
              </w:rPr>
              <w:t xml:space="preserve"> [Quick Research] </w:t>
            </w:r>
          </w:p>
        </w:tc>
        <w:tc>
          <w:tcPr>
            <w:tcW w:type="dxa" w:w="180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A5C4E"/>
                <w:sz w:val="20"/>
                <w:szCs w:val="20"/>
              </w:rPr>
              <w:t xml:space="preserve">↑ High</w:t>
            </w:r>
          </w:p>
        </w:tc>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20–25% of market today; 70%+ of new smartphone sales; 40% rural smartphone surge 2020–2024</w:t>
            </w:r>
          </w:p>
        </w:tc>
        <w:tc>
          <w:tcPr>
            <w:tcW w:type="dxa" w:w="21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Unit economics explicitly unproven; risk of loss-compounding without economics gates</w:t>
            </w:r>
          </w:p>
        </w:tc>
      </w:tr>
      <w:tr>
        <w:trPr>
          <w:tblHeader w:val="false"/>
        </w:trPr>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Cloud Kitchen Scaling</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18"/>
                <w:szCs w:val="18"/>
              </w:rPr>
              <w:t xml:space="preserve"> [Quick Research] </w:t>
            </w:r>
          </w:p>
        </w:tc>
        <w:tc>
          <w:tcPr>
            <w:tcW w:type="dxa" w:w="180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A5C4E"/>
                <w:sz w:val="20"/>
                <w:szCs w:val="20"/>
              </w:rPr>
              <w:t xml:space="preserve">↑ High</w:t>
            </w:r>
          </w:p>
        </w:tc>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$1.24B → $3.69B by 2034 (12.28% CAGR); South India commanding 35% of national revenue</w:t>
            </w:r>
          </w:p>
        </w:tc>
        <w:tc>
          <w:tcPr>
            <w:tcW w:type="dxa" w:w="216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FSSAI compliance adds cost floor; single-source projection for $3.69B figure</w:t>
            </w:r>
          </w:p>
        </w:tc>
      </w:tr>
      <w:tr>
        <w:trPr>
          <w:tblHeader w:val="false"/>
        </w:trPr>
        <w:tc>
          <w:tcPr>
            <w:tcW w:type="dxa" w:w="19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Hyperlocal/Rapid Delivery (&lt;30 min)</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18"/>
                <w:szCs w:val="18"/>
              </w:rPr>
              <w:t xml:space="preserve"> [Quick Research] </w:t>
            </w:r>
          </w:p>
        </w:tc>
        <w:tc>
          <w:tcPr>
            <w:tcW w:type="dxa" w:w="180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B45309"/>
                <w:sz w:val="20"/>
                <w:szCs w:val="20"/>
              </w:rPr>
              <w:t xml:space="preserve">↑ Med–High</w:t>
            </w:r>
          </w:p>
        </w:tc>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Active pilots in Bengaluru, Pune, Hyderabad; Zepto Cafe and Magicpin proving consumer demand</w:t>
            </w:r>
          </w:p>
        </w:tc>
        <w:tc>
          <w:tcPr>
            <w:tcW w:type="dxa" w:w="21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Margin pressure from speed investment unclear; no pilot unit economics disclosed</w:t>
            </w:r>
          </w:p>
        </w:tc>
      </w:tr>
      <w:tr>
        <w:trPr>
          <w:tblHeader w:val="false"/>
        </w:trPr>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Loyalty Program Deepening</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18"/>
                <w:szCs w:val="18"/>
              </w:rPr>
              <w:t xml:space="preserve"> [Quick Research] </w:t>
            </w:r>
          </w:p>
        </w:tc>
        <w:tc>
          <w:tcPr>
            <w:tcW w:type="dxa" w:w="180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B45309"/>
                <w:sz w:val="20"/>
                <w:szCs w:val="20"/>
              </w:rPr>
              <w:t xml:space="preserve">→ Medium</w:t>
            </w:r>
          </w:p>
        </w:tc>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Zomato Gold 7.4M subscribers; Swiggy One 5.7M; 35% of Swiggy users use multiple platform services</w:t>
            </w:r>
          </w:p>
        </w:tc>
        <w:tc>
          <w:tcPr>
            <w:tcW w:type="dxa" w:w="216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Limited differentiation between programs; cost-to-serve loyalty unknown</w:t>
            </w:r>
          </w:p>
        </w:tc>
      </w:tr>
      <w:tr>
        <w:trPr>
          <w:tblHeader w:val="false"/>
        </w:trPr>
        <w:tc>
          <w:tcPr>
            <w:tcW w:type="dxa" w:w="19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AI-Driven Logistics Optimisation</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A5C4E"/>
                <w:sz w:val="18"/>
                <w:szCs w:val="18"/>
              </w:rPr>
              <w:t xml:space="preserve"> [Both] </w:t>
            </w:r>
          </w:p>
        </w:tc>
        <w:tc>
          <w:tcPr>
            <w:tcW w:type="dxa" w:w="180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B45309"/>
                <w:sz w:val="20"/>
                <w:szCs w:val="20"/>
              </w:rPr>
              <w:t xml:space="preserve">↑ Med–High</w:t>
            </w:r>
          </w:p>
        </w:tc>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External: standalone delivery unprofitable — cost reduction is the highest-ROI lever. Dataset: route efficiency variance 0.003–0.99 illustrates framework potential (synthetic; requires real-world validation)</w:t>
            </w:r>
          </w:p>
        </w:tc>
        <w:tc>
          <w:tcPr>
            <w:tcW w:type="dxa" w:w="21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 Dataset-derived signal is Low confidence (synthetic). Real variance needs confirmation with actual operational data</w:t>
            </w:r>
          </w:p>
        </w:tc>
      </w:tr>
      <w:tr>
        <w:trPr>
          <w:tblHeader w:val="false"/>
        </w:trPr>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Organised Food Services Shift</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18"/>
                <w:szCs w:val="18"/>
              </w:rPr>
              <w:t xml:space="preserve"> [Quick Research] </w:t>
            </w:r>
          </w:p>
        </w:tc>
        <w:tc>
          <w:tcPr>
            <w:tcW w:type="dxa" w:w="180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A5C4E"/>
                <w:sz w:val="20"/>
                <w:szCs w:val="20"/>
              </w:rPr>
              <w:t xml:space="preserve">↑ High</w:t>
            </w:r>
          </w:p>
        </w:tc>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Organised segment growing from 47–52% (FY25) to projected 60–65% by FY30</w:t>
            </w:r>
          </w:p>
        </w:tc>
        <w:tc>
          <w:tcPr>
            <w:tcW w:type="dxa" w:w="216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Dependent on sustained digital adoption in smaller cities; assumption-heavy projection</w:t>
            </w:r>
          </w:p>
        </w:tc>
      </w:tr>
    </w:tbl>
    <w:p>
      <w:pPr>
        <w:pBdr>
          <w:bottom w:val="single" w:color="2D5FA6" w:sz="2"/>
        </w:pBdr>
        <w:spacing w:after="40" w:before="40"/>
      </w:pPr>
    </w:p>
    <w:p>
      <w:pPr>
        <w:pStyle w:val="SectionHead"/>
      </w:pPr>
      <w:r>
        <w:t xml:space="preserve">7.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1980"/>
        <w:gridCol w:w="1080"/>
        <w:gridCol w:w="1080"/>
        <w:gridCol w:w="3240"/>
        <w:gridCol w:w="1980"/>
      </w:tblGrid>
      <w:tr>
        <w:trPr>
          <w:tblHeader/>
        </w:trPr>
        <w:tc>
          <w:tcPr>
            <w:tcW w:type="dxa" w:w="19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Risk</w:t>
            </w:r>
          </w:p>
        </w:tc>
        <w:tc>
          <w:tcPr>
            <w:tcW w:type="dxa" w:w="10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Source</w:t>
            </w:r>
          </w:p>
        </w:tc>
        <w:tc>
          <w:tcPr>
            <w:tcW w:type="dxa" w:w="10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Severity</w:t>
            </w:r>
          </w:p>
        </w:tc>
        <w:tc>
          <w:tcPr>
            <w:tcW w:type="dxa" w:w="324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Evidence</w:t>
            </w:r>
          </w:p>
        </w:tc>
        <w:tc>
          <w:tcPr>
            <w:tcW w:type="dxa" w:w="19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Likelihood</w:t>
            </w:r>
          </w:p>
        </w:tc>
      </w:tr>
      <w:tr>
        <w:trPr>
          <w:tblHeader w:val="false"/>
        </w:trPr>
        <w:tc>
          <w:tcPr>
            <w:tcW w:type="dxa" w:w="19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Profitability Elusive at Scale</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1B3A6B"/>
                <w:sz w:val="18"/>
                <w:szCs w:val="18"/>
              </w:rPr>
              <w:t xml:space="preserve"> [Quick Research] </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HIGH</w:t>
            </w:r>
          </w:p>
        </w:tc>
        <w:tc>
          <w:tcPr>
            <w:tcW w:type="dxa" w:w="32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Swiggy ₹-3,107 Cr net loss FY25; Zomato profit includes Blinkit; standalone food delivery unprofitable after 10+ years; combined revenues &gt;₹36,000 Cr</w:t>
            </w:r>
          </w:p>
        </w:tc>
        <w:tc>
          <w:tcPr>
            <w:tcW w:type="dxa" w:w="19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C0392B"/>
                <w:sz w:val="19"/>
                <w:szCs w:val="19"/>
              </w:rPr>
              <w:t xml:space="preserve">Already materialised; structural</w:t>
            </w:r>
          </w:p>
        </w:tc>
      </w:tr>
      <w:tr>
        <w:trPr>
          <w:tblHeader w:val="false"/>
        </w:trPr>
        <w:tc>
          <w:tcPr>
            <w:tcW w:type="dxa" w:w="19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Competitive Fragmentation / Zero-Commission Models</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1B3A6B"/>
                <w:sz w:val="18"/>
                <w:szCs w:val="18"/>
              </w:rPr>
              <w:t xml:space="preserve"> [Quick Research] </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HIGH</w:t>
            </w:r>
          </w:p>
        </w:tc>
        <w:tc>
          <w:tcPr>
            <w:tcW w:type="dxa" w:w="32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Rapido zero-commission model live; Flipkart Walmart-backed entry; if zero-commission proves viable at scale, it challenges the entire commission-based revenue architecture</w:t>
            </w:r>
          </w:p>
        </w:tc>
        <w:tc>
          <w:tcPr>
            <w:tcW w:type="dxa" w:w="19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C0392B"/>
                <w:sz w:val="19"/>
                <w:szCs w:val="19"/>
              </w:rPr>
              <w:t xml:space="preserve">Emerging; challengers pre-scale but well-funded</w:t>
            </w:r>
          </w:p>
        </w:tc>
      </w:tr>
      <w:tr>
        <w:trPr>
          <w:tblHeader w:val="false"/>
        </w:trPr>
        <w:tc>
          <w:tcPr>
            <w:tcW w:type="dxa" w:w="19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20"/>
                <w:szCs w:val="20"/>
              </w:rPr>
              <w:t xml:space="preserve">Platform Fee Backlash</w:t>
            </w:r>
          </w:p>
        </w:tc>
        <w:tc>
          <w:tcPr>
            <w:tcW w:type="dxa" w:w="10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1B3A6B"/>
                <w:sz w:val="18"/>
                <w:szCs w:val="18"/>
              </w:rPr>
              <w:t xml:space="preserve"> [Quick Research] </w:t>
            </w:r>
          </w:p>
        </w:tc>
        <w:tc>
          <w:tcPr>
            <w:tcW w:type="dxa" w:w="10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B45309"/>
                <w:sz w:val="20"/>
                <w:szCs w:val="20"/>
              </w:rPr>
              <w:t xml:space="preserve">Med-High</w:t>
            </w:r>
          </w:p>
        </w:tc>
        <w:tc>
          <w:tcPr>
            <w:tcW w:type="dxa" w:w="324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1A202C"/>
                <w:sz w:val="20"/>
                <w:szCs w:val="20"/>
              </w:rPr>
              <w:t xml:space="preserve">Fees escalated ₹2→₹15–18/order (7–9x in 2 years); Swiggy 4 hikes in 7 months; AOV only $5.20–5.40; new entrants explicitly exploiting consumer pricing tension</w:t>
            </w:r>
          </w:p>
        </w:tc>
        <w:tc>
          <w:tcPr>
            <w:tcW w:type="dxa" w:w="19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B45309"/>
                <w:sz w:val="19"/>
                <w:szCs w:val="19"/>
              </w:rPr>
              <w:t xml:space="preserve">Materialising; consumer friction confirmed</w:t>
            </w:r>
          </w:p>
        </w:tc>
      </w:tr>
      <w:tr>
        <w:trPr>
          <w:tblHeader w:val="false"/>
        </w:trPr>
        <w:tc>
          <w:tcPr>
            <w:tcW w:type="dxa" w:w="19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C0392B"/>
                <w:sz w:val="20"/>
                <w:szCs w:val="20"/>
              </w:rPr>
              <w:t xml:space="preserve">Regulatory Cost Escalation</w:t>
            </w:r>
          </w:p>
        </w:tc>
        <w:tc>
          <w:tcPr>
            <w:tcW w:type="dxa" w:w="10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1B3A6B"/>
                <w:sz w:val="18"/>
                <w:szCs w:val="18"/>
              </w:rPr>
              <w:t xml:space="preserve"> [Quick Research] </w:t>
            </w:r>
          </w:p>
        </w:tc>
        <w:tc>
          <w:tcPr>
            <w:tcW w:type="dxa" w:w="10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B45309"/>
                <w:sz w:val="20"/>
                <w:szCs w:val="20"/>
              </w:rPr>
              <w:t xml:space="preserve">Med-High</w:t>
            </w:r>
          </w:p>
        </w:tc>
        <w:tc>
          <w:tcPr>
            <w:tcW w:type="dxa" w:w="324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1A202C"/>
                <w:sz w:val="20"/>
                <w:szCs w:val="20"/>
              </w:rPr>
              <w:t xml:space="preserve">Social Security Code (Nov 2025) adds gig worker costs; CCI antitrust findings unresolved; FSSAI expanding cloud kitchen enforcement; no P&amp;L impact quantified yet</w:t>
            </w:r>
          </w:p>
        </w:tc>
        <w:tc>
          <w:tcPr>
            <w:tcW w:type="dxa" w:w="1980"/>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val="false"/>
                <w:bCs w:val="false"/>
                <w:color w:val="B45309"/>
                <w:sz w:val="19"/>
                <w:szCs w:val="19"/>
              </w:rPr>
              <w:t xml:space="preserve">Confirmed and accelerating</w:t>
            </w:r>
          </w:p>
        </w:tc>
      </w:tr>
      <w:tr>
        <w:trPr>
          <w:tblHeader w:val="false"/>
        </w:trPr>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Quick Commerce Cannibalisation</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18"/>
                <w:szCs w:val="18"/>
              </w:rPr>
              <w:t xml:space="preserve"> [Quick Research] </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B45309"/>
                <w:sz w:val="20"/>
                <w:szCs w:val="20"/>
              </w:rPr>
              <w:t xml:space="preserve">Medium</w:t>
            </w:r>
          </w:p>
        </w:tc>
        <w:tc>
          <w:tcPr>
            <w:tcW w:type="dxa" w:w="32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Blinkit outpaced Zomato food delivery in net order value Q1 FY26; Amazon, Flipkart, Zepto expanding; structural overlap between quick commerce and food delivery growing</w:t>
            </w:r>
          </w:p>
        </w:tc>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B45309"/>
                <w:sz w:val="19"/>
                <w:szCs w:val="19"/>
              </w:rPr>
              <w:t xml:space="preserve">Growing; internal cannibalisation risk for Zomato</w:t>
            </w:r>
          </w:p>
        </w:tc>
      </w:tr>
      <w:tr>
        <w:trPr>
          <w:tblHeader w:val="false"/>
        </w:trPr>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ONDC as Structural Disruptor</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18"/>
                <w:szCs w:val="18"/>
              </w:rPr>
              <w:t xml:space="preserve"> [Quick Research] </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B45309"/>
                <w:sz w:val="20"/>
                <w:szCs w:val="20"/>
              </w:rPr>
              <w:t xml:space="preserve">Medium</w:t>
            </w:r>
          </w:p>
        </w:tc>
        <w:tc>
          <w:tcPr>
            <w:tcW w:type="dxa" w:w="32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~4.3M monthly orders (Apr 2025) but declined 34%; government backing creates long-term risk to commission-based model; decentralised architecture eliminates platform dependency</w:t>
            </w:r>
          </w:p>
        </w:tc>
        <w:tc>
          <w:tcPr>
            <w:tcW w:type="dxa" w:w="19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B45309"/>
                <w:sz w:val="19"/>
                <w:szCs w:val="19"/>
              </w:rPr>
              <w:t xml:space="preserve">Currently limited; long-term trajectory uncertain</w:t>
            </w:r>
          </w:p>
        </w:tc>
      </w:tr>
    </w:tbl>
    <w:p>
      <w:pPr>
        <w:pBdr>
          <w:bottom w:val="single" w:color="2D5FA6" w:sz="2"/>
        </w:pBdr>
        <w:spacing w:after="40" w:before="40"/>
      </w:pPr>
    </w:p>
    <w:p>
      <w:pPr>
        <w:pStyle w:val="SectionHead"/>
      </w:pPr>
      <w:r>
        <w:t xml:space="preserve">8. Confidence and Limitations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0392B" w:sz="4"/>
              <w:left w:val="single" w:color="C0392B" w:sz="12"/>
              <w:bottom w:val="single" w:color="C0392B" w:sz="1"/>
              <w:right w:val="single" w:color="C0392B" w:sz="1"/>
            </w:tcBorders>
            <w:shd w:fill="FFF0F0" w:val="clear"/>
          </w:tcPr>
          <w:p>
            <w:pPr>
              <w:spacing w:after="80" w:before="60"/>
            </w:pPr>
            <w:r>
              <w:rPr>
                <w:rFonts w:ascii="Calibri" w:cs="Calibri" w:eastAsia="Calibri" w:hAnsi="Calibri"/>
                <w:b/>
                <w:bCs/>
                <w:color w:val="C0392B"/>
                <w:sz w:val="22"/>
                <w:szCs w:val="22"/>
              </w:rPr>
              <w:t xml:space="preserve">⚠️  CRITICAL LIMITATION — Internal Dataset Is Synthetic</w:t>
            </w:r>
          </w:p>
          <w:p>
            <w:pPr>
              <w:spacing w:after="40" w:before="40"/>
            </w:pPr>
            <w:r>
              <w:rPr>
                <w:rFonts w:ascii="Calibri" w:cs="Calibri" w:eastAsia="Calibri" w:hAnsi="Calibri"/>
                <w:color w:val="1A202C"/>
                <w:sz w:val="20"/>
                <w:szCs w:val="20"/>
              </w:rPr>
              <w:t xml:space="preserve">Statistical audit of the food_delivery_dataset.csv (20,000 orders, 10 Indian cities) confirmed through 10 independent indicators that the dataset is synthetically generated. It does not reflect real Indian food delivery operations. No operational or strategic conclusion should be based solely on its findings.</w:t>
            </w:r>
          </w:p>
          <w:p>
            <w:pPr>
              <w:spacing w:after="40" w:before="40"/>
            </w:pPr>
            <w:r>
              <w:rPr>
                <w:rFonts w:ascii="Calibri" w:cs="Calibri" w:eastAsia="Calibri" w:hAnsi="Calibri"/>
                <w:color w:val="1A202C"/>
                <w:sz w:val="20"/>
                <w:szCs w:val="20"/>
              </w:rPr>
              <w:t xml:space="preserve"/>
            </w:r>
          </w:p>
          <w:p>
            <w:pPr>
              <w:spacing w:after="40" w:before="40"/>
            </w:pPr>
            <w:r>
              <w:rPr>
                <w:rFonts w:ascii="Calibri" w:cs="Calibri" w:eastAsia="Calibri" w:hAnsi="Calibri"/>
                <w:color w:val="1A202C"/>
                <w:sz w:val="20"/>
                <w:szCs w:val="20"/>
              </w:rPr>
              <w:t xml:space="preserve">The 10 confirmed synthetic data indicators are:</w:t>
            </w:r>
          </w:p>
        </w:tc>
      </w:tr>
    </w:tbl>
    <w:p>
      <w:pPr>
        <w:pStyle w:val="ListParagraph"/>
        <w:numPr>
          <w:ilvl w:val="0"/>
          <w:numId w:val="2"/>
        </w:numPr>
      </w:pPr>
      <w:r>
        <w:rPr>
          <w:rFonts w:ascii="Calibri" w:cs="Calibri" w:eastAsia="Calibri" w:hAnsi="Calibri"/>
          <w:color w:val="C0392B"/>
          <w:sz w:val="20"/>
          <w:szCs w:val="20"/>
        </w:rPr>
        <w:t xml:space="preserve">1. Near-uniform distributions across ALL categorical variables (chi-square p-values: 0.09–0.82 across city, gender, traffic, weather, delivery method, cuisine, loyalty, order frequency)</w:t>
      </w:r>
    </w:p>
    <w:p>
      <w:pPr>
        <w:pStyle w:val="ListParagraph"/>
        <w:numPr>
          <w:ilvl w:val="0"/>
          <w:numId w:val="2"/>
        </w:numPr>
      </w:pPr>
      <w:r>
        <w:rPr>
          <w:rFonts w:ascii="Calibri" w:cs="Calibri" w:eastAsia="Calibri" w:hAnsi="Calibri"/>
          <w:color w:val="C0392B"/>
          <w:sz w:val="20"/>
          <w:szCs w:val="20"/>
        </w:rPr>
        <w:t xml:space="preserve">2. Impossible values: "Snowy" weather appearing in Chennai, Mumbai, and Hyderabad — representing ~33.6% of all orders in cities where snow essentially never occurs</w:t>
      </w:r>
    </w:p>
    <w:p>
      <w:pPr>
        <w:pStyle w:val="ListParagraph"/>
        <w:numPr>
          <w:ilvl w:val="0"/>
          <w:numId w:val="2"/>
        </w:numPr>
      </w:pPr>
      <w:r>
        <w:rPr>
          <w:rFonts w:ascii="Calibri" w:cs="Calibri" w:eastAsia="Calibri" w:hAnsi="Calibri"/>
          <w:color w:val="C0392B"/>
          <w:sz w:val="20"/>
          <w:szCs w:val="20"/>
        </w:rPr>
        <w:t xml:space="preserve">3. Unrealistic delivery combinations: 38.2% of "Walk" deliveries cover 10–15 km distances (physically implausible)</w:t>
      </w:r>
    </w:p>
    <w:p>
      <w:pPr>
        <w:pStyle w:val="ListParagraph"/>
        <w:numPr>
          <w:ilvl w:val="0"/>
          <w:numId w:val="2"/>
        </w:numPr>
      </w:pPr>
      <w:r>
        <w:rPr>
          <w:rFonts w:ascii="Calibri" w:cs="Calibri" w:eastAsia="Calibri" w:hAnsi="Calibri"/>
          <w:color w:val="C0392B"/>
          <w:sz w:val="20"/>
          <w:szCs w:val="20"/>
        </w:rPr>
        <w:t xml:space="preserve">4. No Indian cuisine category: all 5 preferred cuisines are Western/international (Mexican, Italian, Asian, American, Mediterranean) in an Indian market dataset</w:t>
      </w:r>
    </w:p>
    <w:p>
      <w:pPr>
        <w:pStyle w:val="ListParagraph"/>
        <w:numPr>
          <w:ilvl w:val="0"/>
          <w:numId w:val="2"/>
        </w:numPr>
      </w:pPr>
      <w:r>
        <w:rPr>
          <w:rFonts w:ascii="Calibri" w:cs="Calibri" w:eastAsia="Calibri" w:hAnsi="Calibri"/>
          <w:color w:val="C0392B"/>
          <w:sz w:val="20"/>
          <w:szCs w:val="20"/>
        </w:rPr>
        <w:t xml:space="preserve">5. Equal city weighting: all 10 cities at ~2,000 orders each (max ratio 1.06:1) — directly contradicts Bengaluru's known ~20% national share</w:t>
      </w:r>
    </w:p>
    <w:p>
      <w:pPr>
        <w:pStyle w:val="ListParagraph"/>
        <w:numPr>
          <w:ilvl w:val="0"/>
          <w:numId w:val="2"/>
        </w:numPr>
      </w:pPr>
      <w:r>
        <w:rPr>
          <w:rFonts w:ascii="Calibri" w:cs="Calibri" w:eastAsia="Calibri" w:hAnsi="Calibri"/>
          <w:color w:val="C0392B"/>
          <w:sz w:val="20"/>
          <w:szCs w:val="20"/>
        </w:rPr>
        <w:t xml:space="preserve">6. One order per customer: exactly 20,000 unique customers for exactly 20,000 orders — zero repeat purchase behaviour</w:t>
      </w:r>
    </w:p>
    <w:p>
      <w:pPr>
        <w:pStyle w:val="ListParagraph"/>
        <w:numPr>
          <w:ilvl w:val="0"/>
          <w:numId w:val="2"/>
        </w:numPr>
      </w:pPr>
      <w:r>
        <w:rPr>
          <w:rFonts w:ascii="Calibri" w:cs="Calibri" w:eastAsia="Calibri" w:hAnsi="Calibri"/>
          <w:color w:val="C0392B"/>
          <w:sz w:val="20"/>
          <w:szCs w:val="20"/>
        </w:rPr>
        <w:t xml:space="preserve">7. Suspiciously round variable bounds: delivery delay exactly -10.00 to +20.00; order values exactly 5.00 to 49.99</w:t>
      </w:r>
    </w:p>
    <w:p>
      <w:pPr>
        <w:pStyle w:val="ListParagraph"/>
        <w:numPr>
          <w:ilvl w:val="0"/>
          <w:numId w:val="2"/>
        </w:numPr>
      </w:pPr>
      <w:r>
        <w:rPr>
          <w:rFonts w:ascii="Calibri" w:cs="Calibri" w:eastAsia="Calibri" w:hAnsi="Calibri"/>
          <w:color w:val="C0392B"/>
          <w:sz w:val="20"/>
          <w:szCs w:val="20"/>
        </w:rPr>
        <w:t xml:space="preserve">8. Near-zero correlations: customer satisfaction shows |r| &lt; 0.02 with every quality metric (delivery delay, food freshness, packaging quality, food temperature) — indicating random assignment</w:t>
      </w:r>
    </w:p>
    <w:p>
      <w:pPr>
        <w:pStyle w:val="ListParagraph"/>
        <w:numPr>
          <w:ilvl w:val="0"/>
          <w:numId w:val="2"/>
        </w:numPr>
      </w:pPr>
      <w:r>
        <w:rPr>
          <w:rFonts w:ascii="Calibri" w:cs="Calibri" w:eastAsia="Calibri" w:hAnsi="Calibri"/>
          <w:color w:val="C0392B"/>
          <w:sz w:val="20"/>
          <w:szCs w:val="20"/>
        </w:rPr>
        <w:t xml:space="preserve">9. No time-of-day data: only dates, no timestamps — preventing any peak-hour or time-series analysis</w:t>
      </w:r>
    </w:p>
    <w:p>
      <w:pPr>
        <w:pStyle w:val="ListParagraph"/>
        <w:numPr>
          <w:ilvl w:val="0"/>
          <w:numId w:val="2"/>
        </w:numPr>
      </w:pPr>
      <w:r>
        <w:rPr>
          <w:rFonts w:ascii="Calibri" w:cs="Calibri" w:eastAsia="Calibri" w:hAnsi="Calibri"/>
          <w:color w:val="C0392B"/>
          <w:sz w:val="20"/>
          <w:szCs w:val="20"/>
        </w:rPr>
        <w:t xml:space="preserve">10. Uniformly distributed delivery delays: Kolmogorov-Smirnov test p = 0.094, consistent with random number generation rather than real operational data</w:t>
      </w:r>
    </w:p>
    <w:p>
      <w:pPr>
        <w:pStyle w:val="BodyText"/>
        <w:spacing w:before="200"/>
      </w:pPr>
      <w:r>
        <w:rPr>
          <w:b/>
          <w:bCs/>
          <w:color w:val="1A202C"/>
        </w:rPr>
        <w:t xml:space="preserve">Conclusion: </w:t>
      </w:r>
      <w:r>
        <w:t xml:space="preserve">The dataset should be treated as a simulation or training tool. It cannot serve as corroborating evidence for any market claim. Where the dataset and external research address the same topics, they should be treated as independent observations — not cross-validation. In multiple instances, the dataset directly contradicts external research (city distribution, cuisine preferences, satisfaction drivers), further confirming its synthetic nature.</w:t>
      </w:r>
    </w:p>
    <w:p>
      <w:pPr>
        <w:pStyle w:val="SubHead"/>
      </w:pPr>
      <w:r>
        <w:t xml:space="preserve">Confidence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340"/>
        <w:gridCol w:w="1620"/>
        <w:gridCol w:w="1080"/>
        <w:gridCol w:w="1080"/>
        <w:gridCol w:w="3240"/>
      </w:tblGrid>
      <w:tr>
        <w:trPr>
          <w:tblHeader/>
        </w:trPr>
        <w:tc>
          <w:tcPr>
            <w:tcW w:type="dxa" w:w="234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Finding / Insight</w:t>
            </w:r>
          </w:p>
        </w:tc>
        <w:tc>
          <w:tcPr>
            <w:tcW w:type="dxa" w:w="162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Source</w:t>
            </w:r>
          </w:p>
        </w:tc>
        <w:tc>
          <w:tcPr>
            <w:tcW w:type="dxa" w:w="10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Confidence</w:t>
            </w:r>
          </w:p>
        </w:tc>
        <w:tc>
          <w:tcPr>
            <w:tcW w:type="dxa" w:w="108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Type</w:t>
            </w:r>
          </w:p>
        </w:tc>
        <w:tc>
          <w:tcPr>
            <w:tcW w:type="dxa" w:w="324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Primary Limitation</w:t>
            </w:r>
          </w:p>
        </w:tc>
      </w:tr>
      <w:tr>
        <w:trPr>
          <w:tblHeader w:val="false"/>
        </w:trPr>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Market size &amp; growth ($9.1B→$27B)</w:t>
            </w:r>
          </w:p>
        </w:tc>
        <w:tc>
          <w:tcPr>
            <w:tcW w:type="dxa" w:w="16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Quick Research</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B45309"/>
                <w:sz w:val="20"/>
                <w:szCs w:val="20"/>
              </w:rPr>
              <w:t xml:space="preserve">Medium</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External</w:t>
            </w:r>
          </w:p>
        </w:tc>
        <w:tc>
          <w:tcPr>
            <w:tcW w:type="dxa" w:w="32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Forward projections; base figure not cross-validated; no downside scenario modeled</w:t>
            </w:r>
          </w:p>
        </w:tc>
      </w:tr>
      <w:tr>
        <w:trPr>
          <w:tblHeader w:val="false"/>
        </w:trPr>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Duopoly structure (58%/42% split)</w:t>
            </w:r>
          </w:p>
        </w:tc>
        <w:tc>
          <w:tcPr>
            <w:tcW w:type="dxa" w:w="16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Company filings</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A5C4E"/>
                <w:sz w:val="20"/>
                <w:szCs w:val="20"/>
              </w:rPr>
              <w:t xml:space="preserve">High</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External</w:t>
            </w:r>
          </w:p>
        </w:tc>
        <w:tc>
          <w:tcPr>
            <w:tcW w:type="dxa" w:w="32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May have shifted since Q1 FY26 reporting; measurement basis (GOV vs orders) may differ across sources</w:t>
            </w:r>
          </w:p>
        </w:tc>
      </w:tr>
      <w:tr>
        <w:trPr>
          <w:tblHeader w:val="false"/>
        </w:trPr>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Zomato/Swiggy financials (FY25, Q1 FY27)</w:t>
            </w:r>
          </w:p>
        </w:tc>
        <w:tc>
          <w:tcPr>
            <w:tcW w:type="dxa" w:w="16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SEBI filings</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A5C4E"/>
                <w:sz w:val="20"/>
                <w:szCs w:val="20"/>
              </w:rPr>
              <w:t xml:space="preserve">High</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External</w:t>
            </w:r>
          </w:p>
        </w:tc>
        <w:tc>
          <w:tcPr>
            <w:tcW w:type="dxa" w:w="32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Zomato profit is consolidated (includes Blinkit); standalone food delivery profitability not confirmed</w:t>
            </w:r>
          </w:p>
        </w:tc>
      </w:tr>
      <w:tr>
        <w:trPr>
          <w:tblHeader w:val="false"/>
        </w:trPr>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Emerging challengers (Rapido, Zepto, Flipkart)</w:t>
            </w:r>
          </w:p>
        </w:tc>
        <w:tc>
          <w:tcPr>
            <w:tcW w:type="dxa" w:w="16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Quick Research</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B45309"/>
                <w:sz w:val="20"/>
                <w:szCs w:val="20"/>
              </w:rPr>
              <w:t xml:space="preserve">Medium</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External</w:t>
            </w:r>
          </w:p>
        </w:tc>
        <w:tc>
          <w:tcPr>
            <w:tcW w:type="dxa" w:w="32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Launches confirmed; scale viability unproven; most challengers pre-revenue at national scale</w:t>
            </w:r>
          </w:p>
        </w:tc>
      </w:tr>
      <w:tr>
        <w:trPr>
          <w:tblHeader w:val="false"/>
        </w:trPr>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Consumer trends (biryani, AOV)</w:t>
            </w:r>
          </w:p>
        </w:tc>
        <w:tc>
          <w:tcPr>
            <w:tcW w:type="dxa" w:w="16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Platform self-reported data</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B45309"/>
                <w:sz w:val="20"/>
                <w:szCs w:val="20"/>
              </w:rPr>
              <w:t xml:space="preserve">Med-High</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External</w:t>
            </w:r>
          </w:p>
        </w:tc>
        <w:tc>
          <w:tcPr>
            <w:tcW w:type="dxa" w:w="32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Swiggy self-reported; no independent cross-validation; no Zomato comparable</w:t>
            </w:r>
          </w:p>
        </w:tc>
      </w:tr>
      <w:tr>
        <w:trPr>
          <w:tblHeader w:val="false"/>
        </w:trPr>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South India as bellwether</w:t>
            </w:r>
          </w:p>
        </w:tc>
        <w:tc>
          <w:tcPr>
            <w:tcW w:type="dxa" w:w="16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Multiple Quick Research sources</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A5C4E"/>
                <w:sz w:val="20"/>
                <w:szCs w:val="20"/>
              </w:rPr>
              <w:t xml:space="preserve">High</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External</w:t>
            </w:r>
          </w:p>
        </w:tc>
        <w:tc>
          <w:tcPr>
            <w:tcW w:type="dxa" w:w="32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Corroborated by multiple independent sources; no historical evidence that South India always predicts national outcomes</w:t>
            </w:r>
          </w:p>
        </w:tc>
      </w:tr>
      <w:tr>
        <w:trPr>
          <w:tblHeader w:val="false"/>
        </w:trPr>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Tier-2/3 growth opportunity</w:t>
            </w:r>
          </w:p>
        </w:tc>
        <w:tc>
          <w:tcPr>
            <w:tcW w:type="dxa" w:w="16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Quick Research</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B45309"/>
                <w:sz w:val="20"/>
                <w:szCs w:val="20"/>
              </w:rPr>
              <w:t xml:space="preserve">Medium</w:t>
            </w:r>
          </w:p>
        </w:tc>
        <w:tc>
          <w:tcPr>
            <w:tcW w:type="dxa" w:w="108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External</w:t>
            </w:r>
          </w:p>
        </w:tc>
        <w:tc>
          <w:tcPr>
            <w:tcW w:type="dxa" w:w="32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Growth signal credible; profitability explicitly unproven; no city-specific unit economics data</w:t>
            </w:r>
          </w:p>
        </w:tc>
      </w:tr>
      <w:tr>
        <w:trPr>
          <w:tblHeader w:val="false"/>
        </w:trPr>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Regulatory risk (CCI, Social Security Code, FSSAI)</w:t>
            </w:r>
          </w:p>
        </w:tc>
        <w:tc>
          <w:tcPr>
            <w:tcW w:type="dxa" w:w="16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Regulatory filings; news</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B45309"/>
                <w:sz w:val="20"/>
                <w:szCs w:val="20"/>
              </w:rPr>
              <w:t xml:space="preserve">Med-High</w:t>
            </w:r>
          </w:p>
        </w:tc>
        <w:tc>
          <w:tcPr>
            <w:tcW w:type="dxa" w:w="108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External</w:t>
            </w:r>
          </w:p>
        </w:tc>
        <w:tc>
          <w:tcPr>
            <w:tcW w:type="dxa" w:w="32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Regulatory actions confirmed; financial P&amp;L impact on platforms not yet quantified</w:t>
            </w:r>
          </w:p>
        </w:tc>
      </w:tr>
      <w:tr>
        <w:trPr>
          <w:tblHeader w:val="false"/>
        </w:trPr>
        <w:tc>
          <w:tcPr>
            <w:tcW w:type="dxa" w:w="23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 Delivery performance patterns</w:t>
            </w:r>
          </w:p>
        </w:tc>
        <w:tc>
          <w:tcPr>
            <w:tcW w:type="dxa" w:w="162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Internal dataset (synthetic)</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LOW</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Internal</w:t>
            </w:r>
          </w:p>
        </w:tc>
        <w:tc>
          <w:tcPr>
            <w:tcW w:type="dxa" w:w="32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Uniform delay distribution (KS p=0.094); near-zero correlations with all quality metrics; randomly generated data</w:t>
            </w:r>
          </w:p>
        </w:tc>
      </w:tr>
      <w:tr>
        <w:trPr>
          <w:tblHeader w:val="false"/>
        </w:trPr>
        <w:tc>
          <w:tcPr>
            <w:tcW w:type="dxa" w:w="23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 City-level operational differences</w:t>
            </w:r>
          </w:p>
        </w:tc>
        <w:tc>
          <w:tcPr>
            <w:tcW w:type="dxa" w:w="162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Internal dataset (synthetic)</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LOW</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Internal</w:t>
            </w:r>
          </w:p>
        </w:tc>
        <w:tc>
          <w:tcPr>
            <w:tcW w:type="dxa" w:w="32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Uniform city distribution (chi-square p=0.74); directly contradicts Bengaluru's known ~20% national share</w:t>
            </w:r>
          </w:p>
        </w:tc>
      </w:tr>
      <w:tr>
        <w:trPr>
          <w:tblHeader w:val="false"/>
        </w:trPr>
        <w:tc>
          <w:tcPr>
            <w:tcW w:type="dxa" w:w="23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 Customer satisfaction drivers</w:t>
            </w:r>
          </w:p>
        </w:tc>
        <w:tc>
          <w:tcPr>
            <w:tcW w:type="dxa" w:w="162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Internal dataset (synthetic)</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LOW</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Internal</w:t>
            </w:r>
          </w:p>
        </w:tc>
        <w:tc>
          <w:tcPr>
            <w:tcW w:type="dxa" w:w="32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All |r| &lt; 0.02 between satisfaction and every quality metric; satisfaction appears randomly assigned</w:t>
            </w:r>
          </w:p>
        </w:tc>
      </w:tr>
      <w:tr>
        <w:trPr>
          <w:tblHeader w:val="false"/>
        </w:trPr>
        <w:tc>
          <w:tcPr>
            <w:tcW w:type="dxa" w:w="23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 Food item / cuisine preferences</w:t>
            </w:r>
          </w:p>
        </w:tc>
        <w:tc>
          <w:tcPr>
            <w:tcW w:type="dxa" w:w="162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Internal dataset (synthetic)</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LOW</w:t>
            </w:r>
          </w:p>
        </w:tc>
        <w:tc>
          <w:tcPr>
            <w:tcW w:type="dxa" w:w="108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Internal</w:t>
            </w:r>
          </w:p>
        </w:tc>
        <w:tc>
          <w:tcPr>
            <w:tcW w:type="dxa" w:w="32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No Indian cuisine; items atypical for market; near-uniform distribution across all 21 food items and 5 cuisines</w:t>
            </w:r>
          </w:p>
        </w:tc>
      </w:tr>
    </w:tbl>
    <w:p>
      <w:pPr>
        <w:pStyle w:val="SubHead"/>
      </w:pPr>
      <w:r>
        <w:t xml:space="preserve">External Research Limitations</w:t>
      </w:r>
    </w:p>
    <w:p>
      <w:pPr>
        <w:pStyle w:val="ListParagraph"/>
        <w:numPr>
          <w:ilvl w:val="0"/>
          <w:numId w:val="2"/>
        </w:numPr>
      </w:pPr>
      <w:r>
        <w:rPr>
          <w:rFonts w:ascii="Calibri" w:cs="Calibri" w:eastAsia="Calibri" w:hAnsi="Calibri"/>
          <w:color w:val="4A5568"/>
          <w:sz w:val="20"/>
          <w:szCs w:val="20"/>
        </w:rPr>
        <w:t xml:space="preserve">Market size base figure ($9.1B) is not independently cross-validated — multiple sources cite it but may share a common origin</w:t>
      </w:r>
    </w:p>
    <w:p>
      <w:pPr>
        <w:pStyle w:val="ListParagraph"/>
        <w:numPr>
          <w:ilvl w:val="0"/>
          <w:numId w:val="2"/>
        </w:numPr>
      </w:pPr>
      <w:r>
        <w:rPr>
          <w:rFonts w:ascii="Calibri" w:cs="Calibri" w:eastAsia="Calibri" w:hAnsi="Calibri"/>
          <w:color w:val="4A5568"/>
          <w:sz w:val="20"/>
          <w:szCs w:val="20"/>
        </w:rPr>
        <w:t xml:space="preserve">Growth projections (19% CAGR to 2030) contain no downside scenario for macro deterioration, regulatory shock, or competitive disruption</w:t>
      </w:r>
    </w:p>
    <w:p>
      <w:pPr>
        <w:pStyle w:val="ListParagraph"/>
        <w:numPr>
          <w:ilvl w:val="0"/>
          <w:numId w:val="2"/>
        </w:numPr>
      </w:pPr>
      <w:r>
        <w:rPr>
          <w:rFonts w:ascii="Calibri" w:cs="Calibri" w:eastAsia="Calibri" w:hAnsi="Calibri"/>
          <w:color w:val="4A5568"/>
          <w:sz w:val="20"/>
          <w:szCs w:val="20"/>
        </w:rPr>
        <w:t xml:space="preserve">Market share figures (58/42) may reflect different measurement bases (Gross Order Value vs order count vs revenue) across sources</w:t>
      </w:r>
    </w:p>
    <w:p>
      <w:pPr>
        <w:pStyle w:val="ListParagraph"/>
        <w:numPr>
          <w:ilvl w:val="0"/>
          <w:numId w:val="2"/>
        </w:numPr>
      </w:pPr>
      <w:r>
        <w:rPr>
          <w:rFonts w:ascii="Calibri" w:cs="Calibri" w:eastAsia="Calibri" w:hAnsi="Calibri"/>
          <w:color w:val="4A5568"/>
          <w:sz w:val="20"/>
          <w:szCs w:val="20"/>
        </w:rPr>
        <w:t xml:space="preserve">Challenger data (Rapido, Zepto, Magicpin) is from early-stage pilots — national scale economics are unvalidated</w:t>
      </w:r>
    </w:p>
    <w:p>
      <w:pPr>
        <w:pStyle w:val="ListParagraph"/>
        <w:numPr>
          <w:ilvl w:val="0"/>
          <w:numId w:val="2"/>
        </w:numPr>
      </w:pPr>
      <w:r>
        <w:rPr>
          <w:rFonts w:ascii="Calibri" w:cs="Calibri" w:eastAsia="Calibri" w:hAnsi="Calibri"/>
          <w:color w:val="4A5568"/>
          <w:sz w:val="20"/>
          <w:szCs w:val="20"/>
        </w:rPr>
        <w:t xml:space="preserve">Cloud kitchen projections ($1.24B → $3.69B by 2034) come from a single external source without independent cross-validation</w:t>
      </w:r>
    </w:p>
    <w:p>
      <w:pPr>
        <w:pStyle w:val="ListParagraph"/>
        <w:numPr>
          <w:ilvl w:val="0"/>
          <w:numId w:val="2"/>
        </w:numPr>
      </w:pPr>
      <w:r>
        <w:rPr>
          <w:rFonts w:ascii="Calibri" w:cs="Calibri" w:eastAsia="Calibri" w:hAnsi="Calibri"/>
          <w:color w:val="4A5568"/>
          <w:sz w:val="20"/>
          <w:szCs w:val="20"/>
        </w:rPr>
        <w:t xml:space="preserve">Consumer behaviour insights are from third-party aggregated data — no primary consumer research is available in this brief</w:t>
      </w:r>
    </w:p>
    <w:p>
      <w:pPr>
        <w:pStyle w:val="ListParagraph"/>
        <w:numPr>
          <w:ilvl w:val="0"/>
          <w:numId w:val="2"/>
        </w:numPr>
      </w:pPr>
      <w:r>
        <w:rPr>
          <w:rFonts w:ascii="Calibri" w:cs="Calibri" w:eastAsia="Calibri" w:hAnsi="Calibri"/>
          <w:color w:val="4A5568"/>
          <w:sz w:val="20"/>
          <w:szCs w:val="20"/>
        </w:rPr>
        <w:t xml:space="preserve">Zomato's profitability is consolidated (includes Blinkit/quick commerce) — standalone food delivery profitability is not confirmed</w:t>
      </w:r>
    </w:p>
    <w:p>
      <w:pPr>
        <w:pBdr>
          <w:bottom w:val="single" w:color="2D5FA6" w:sz="2"/>
        </w:pBdr>
        <w:spacing w:after="40" w:before="40"/>
      </w:pPr>
    </w:p>
    <w:p>
      <w:pPr>
        <w:pStyle w:val="SectionHead"/>
      </w:pPr>
      <w:r>
        <w:t xml:space="preserve">9. Strategic Implications</w:t>
      </w:r>
    </w:p>
    <w:p>
      <w:pPr>
        <w:pStyle w:val="BodyText"/>
      </w:pPr>
      <w:r>
        <w:t xml:space="preserve">Four strategic pillars emerge from the convergence of external market intelligence. Each is grounded exclusively in Quick Research findings; the synthetic dataset does not contribute to strategic recommendations.</w:t>
      </w:r>
    </w:p>
    <w:p>
      <w:pPr>
        <w:pStyle w:val="SubHead"/>
      </w:pPr>
      <w:r>
        <w:t xml:space="preserve">Pillar 1: Margin Optimization Through Operational Excellence   </w:t>
      </w:r>
      <w:r>
        <w:rPr>
          <w:rFonts w:ascii="Calibri" w:cs="Calibri" w:eastAsia="Calibri" w:hAnsi="Calibri"/>
          <w:b/>
          <w:bCs/>
          <w:color w:val="1B3A6B"/>
          <w:sz w:val="18"/>
          <w:szCs w:val="18"/>
        </w:rPr>
        <w:t xml:space="preserve"> [Quick Research] </w:t>
      </w:r>
    </w:p>
    <w:p>
      <w:pPr>
        <w:pStyle w:val="BodyText"/>
      </w:pPr>
      <w:r>
        <w:t xml:space="preserve">The structural reality that standalone food delivery remains unprofitable after a decade points to delivery logistics optimization as the highest-ROI lever. Platform fee escalation has a structural ceiling given the $5.20–5.40 average order value — the long-term margin improvement path must run through cost reduction, not price increases. AI-driven route optimization, dynamic delivery method selection (bike vs car vs walk based on distance and traffic conditions), and weather/traffic-adaptive scheduling represent the most credible unit-economics improvement pathway. This is not a technology aspiration — it is a business necessity.</w:t>
      </w:r>
    </w:p>
    <w:p>
      <w:pPr>
        <w:pStyle w:val="SubHead"/>
      </w:pPr>
      <w:r>
        <w:t xml:space="preserve">Pillar 2: Disciplined, Data-Driven Tier-2/3 Expansion   </w:t>
      </w:r>
      <w:r>
        <w:rPr>
          <w:rFonts w:ascii="Calibri" w:cs="Calibri" w:eastAsia="Calibri" w:hAnsi="Calibri"/>
          <w:b/>
          <w:bCs/>
          <w:color w:val="1B3A6B"/>
          <w:sz w:val="18"/>
          <w:szCs w:val="18"/>
        </w:rPr>
        <w:t xml:space="preserve"> [Quick Research] </w:t>
      </w:r>
    </w:p>
    <w:p>
      <w:pPr>
        <w:pStyle w:val="BodyText"/>
      </w:pPr>
      <w:r>
        <w:t xml:space="preserve">The digital infrastructure tailwinds are genuine: 660 million smartphones, 16–17 billion monthly UPI transactions, and 70%+ of new smartphone sales in tier-2/3 cities. However, unit economics in these markets are explicitly unproven. Expansion driven by volume targets rather than economics validation risks compounding existing profitability challenges. The correct framework is not “expand or miss the window” — it is “instrument, measure, then scale.” Each new tier-2/3 market should be entered as a controlled pilot with explicit economics gates before broader rollout. Cities like Jaipur, Lucknow, and Ahmedabad (included in the internal dataset) provide no usable operational evidence given the synthetic data, and must be approached with real-world pilot data.</w:t>
      </w:r>
    </w:p>
    <w:p>
      <w:pPr>
        <w:pStyle w:val="SubHead"/>
      </w:pPr>
      <w:r>
        <w:t xml:space="preserve">Pillar 3: South India as Strategic Laboratory   </w:t>
      </w:r>
      <w:r>
        <w:rPr>
          <w:rFonts w:ascii="Calibri" w:cs="Calibri" w:eastAsia="Calibri" w:hAnsi="Calibri"/>
          <w:b/>
          <w:bCs/>
          <w:color w:val="1B3A6B"/>
          <w:sz w:val="18"/>
          <w:szCs w:val="18"/>
        </w:rPr>
        <w:t xml:space="preserve"> [Quick Research] </w:t>
      </w:r>
    </w:p>
    <w:p>
      <w:pPr>
        <w:pStyle w:val="BodyText"/>
      </w:pPr>
      <w:r>
        <w:t xml:space="preserve">South India's outsized market concentration (Bengaluru alone ~20% of national orders) and its role as the first testing ground for every major competitive innovation make it the leading indicator for national market evolution. Cloud kitchen investment in South India (35% of national revenue) should be prioritised as the region offers both the most developed infrastructure and the highest-quality competitive intelligence. Zomato's success in narrowing the competitive gap with Swiggy in southern cities is a proof point that entrenched positions are contestable — and a warning that no position is permanently safe.</w:t>
      </w:r>
    </w:p>
    <w:p>
      <w:pPr>
        <w:pStyle w:val="SubHead"/>
      </w:pPr>
      <w:r>
        <w:t xml:space="preserve">Pillar 4: Competitive Monitoring and Defensive Positioning   </w:t>
      </w:r>
      <w:r>
        <w:rPr>
          <w:rFonts w:ascii="Calibri" w:cs="Calibri" w:eastAsia="Calibri" w:hAnsi="Calibri"/>
          <w:b/>
          <w:bCs/>
          <w:color w:val="1B3A6B"/>
          <w:sz w:val="18"/>
          <w:szCs w:val="18"/>
        </w:rPr>
        <w:t xml:space="preserve"> [Quick Research] </w:t>
      </w:r>
    </w:p>
    <w:p>
      <w:pPr>
        <w:pStyle w:val="BodyText"/>
      </w:pPr>
      <w:r>
        <w:t xml:space="preserve">The emergence of zero-commission models (Rapido) and government-backed open networks (ONDC) poses a structural threat to the commission-based revenue architecture. If zero-commission models prove viable at scale, the entire business model underpinning the duopoly is challenged. Leadership should treat new entrant traction in Bengaluru as a leading indicator, not a local curiosity. A South India competitive monitoring cadence — tracking Rapido Ownly order growth, Zepto Cafe unit economics, Magicpin restaurant partnerships, and Flipkart pilot data — provides the earliest possible warning of national disruption.</w:t>
      </w:r>
    </w:p>
    <w:p>
      <w:pPr>
        <w:pBdr>
          <w:bottom w:val="single" w:color="2D5FA6" w:sz="2"/>
        </w:pBdr>
        <w:spacing w:after="40" w:before="40"/>
      </w:pPr>
    </w:p>
    <w:p>
      <w:pPr>
        <w:pStyle w:val="SectionHead"/>
      </w:pPr>
      <w:r>
        <w:t xml:space="preserve">10. Recommended Next Steps</w:t>
      </w:r>
    </w:p>
    <w:p>
      <w:pPr>
        <w:pStyle w:val="BodyText"/>
      </w:pPr>
      <w:r>
        <w:t xml:space="preserve">The following actions are prioritised based on decision-readiness requirements. Actions are ordered by urgency and the degree to which they unblock subsequent strategic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360"/>
        <w:gridCol w:w="2520"/>
        <w:gridCol w:w="2340"/>
        <w:gridCol w:w="900"/>
        <w:gridCol w:w="3240"/>
      </w:tblGrid>
      <w:tr>
        <w:trPr>
          <w:tblHeader/>
        </w:trPr>
        <w:tc>
          <w:tcPr>
            <w:tcW w:type="dxa" w:w="36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w:t>
            </w:r>
          </w:p>
        </w:tc>
        <w:tc>
          <w:tcPr>
            <w:tcW w:type="dxa" w:w="252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Action</w:t>
            </w:r>
          </w:p>
        </w:tc>
        <w:tc>
          <w:tcPr>
            <w:tcW w:type="dxa" w:w="234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Rationale</w:t>
            </w:r>
          </w:p>
        </w:tc>
        <w:tc>
          <w:tcPr>
            <w:tcW w:type="dxa" w:w="90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Priority</w:t>
            </w:r>
          </w:p>
        </w:tc>
        <w:tc>
          <w:tcPr>
            <w:tcW w:type="dxa" w:w="3240"/>
            <w:tcBorders>
              <w:top w:val="single" w:color="CBD5E0" w:sz="1"/>
              <w:left w:val="single" w:color="CBD5E0" w:sz="1"/>
              <w:bottom w:val="single" w:color="CBD5E0" w:sz="1"/>
              <w:right w:val="single" w:color="CBD5E0" w:sz="1"/>
            </w:tcBorders>
            <w:shd w:fill="1B3A6B" w:val="clear"/>
            <w:vAlign w:val="center"/>
          </w:tcPr>
          <w:p>
            <w:pPr>
              <w:spacing w:after="60" w:before="60"/>
              <w:jc w:val="left"/>
            </w:pPr>
            <w:r>
              <w:rPr>
                <w:rFonts w:ascii="Calibri" w:cs="Calibri" w:eastAsia="Calibri" w:hAnsi="Calibri"/>
                <w:b/>
                <w:bCs/>
                <w:color w:val="FFFFFF"/>
                <w:sz w:val="20"/>
                <w:szCs w:val="20"/>
              </w:rPr>
              <w:t xml:space="preserve">Owner / Timing</w:t>
            </w:r>
          </w:p>
        </w:tc>
      </w:tr>
      <w:tr>
        <w:trPr>
          <w:tblHeader w:val="false"/>
        </w:trPr>
        <w:tc>
          <w:tcPr>
            <w:tcW w:type="dxa" w:w="36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1</w:t>
            </w:r>
          </w:p>
        </w:tc>
        <w:tc>
          <w:tcPr>
            <w:tcW w:type="dxa" w:w="252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Acquire real operational delivery data to replace synthetic internal dataset</w:t>
            </w:r>
          </w:p>
        </w:tc>
        <w:tc>
          <w:tcPr>
            <w:tcW w:type="dxa" w:w="23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Every dataset-derived insight carries Low confidence and cannot support strategic decisions. Acquiring real data (platform partnership, primary research, or commissioned study) is the single highest-leverage action.</w:t>
            </w:r>
          </w:p>
        </w:tc>
        <w:tc>
          <w:tcPr>
            <w:tcW w:type="dxa" w:w="90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20"/>
                <w:szCs w:val="20"/>
              </w:rPr>
              <w:t xml:space="preserve">CRITICAL</w:t>
            </w:r>
          </w:p>
        </w:tc>
        <w:tc>
          <w:tcPr>
            <w:tcW w:type="dxa" w:w="3240"/>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val="false"/>
                <w:bCs w:val="false"/>
                <w:color w:val="1A202C"/>
                <w:sz w:val="20"/>
                <w:szCs w:val="20"/>
              </w:rPr>
              <w:t xml:space="preserve">Strategy / Analytics team. Immediate — initiate within 30 days. Consider data partnership, panel-based primary research, or direct engagement with food delivery platforms.</w:t>
            </w:r>
          </w:p>
        </w:tc>
      </w:tr>
      <w:tr>
        <w:trPr>
          <w:tblHeader w:val="false"/>
        </w:trPr>
        <w:tc>
          <w:tcPr>
            <w:tcW w:type="dxa" w:w="3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2</w:t>
            </w:r>
          </w:p>
        </w:tc>
        <w:tc>
          <w:tcPr>
            <w:tcW w:type="dxa" w:w="25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Commission a tier-2/3 city unit-economics study (Jaipur, Lucknow, Ahmedabad, Pune)</w:t>
            </w:r>
          </w:p>
        </w:tc>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Tier-2/3 expansion is the primary growth opportunity but profitability is explicitly unproven. No investment decision should be made without economics validation in target markets.</w:t>
            </w:r>
          </w:p>
        </w:tc>
        <w:tc>
          <w:tcPr>
            <w:tcW w:type="dxa" w:w="90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High</w:t>
            </w:r>
          </w:p>
        </w:tc>
        <w:tc>
          <w:tcPr>
            <w:tcW w:type="dxa" w:w="32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Strategy / Finance. Within 90 days. Scope: AOV, delivery cost structure, restaurant supply density, consumer willingness-to-pay in tier-2/3 cities.</w:t>
            </w:r>
          </w:p>
        </w:tc>
      </w:tr>
      <w:tr>
        <w:trPr>
          <w:tblHeader w:val="false"/>
        </w:trPr>
        <w:tc>
          <w:tcPr>
            <w:tcW w:type="dxa" w:w="3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3</w:t>
            </w:r>
          </w:p>
        </w:tc>
        <w:tc>
          <w:tcPr>
            <w:tcW w:type="dxa" w:w="25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Establish South India competitive monitoring dashboard</w:t>
            </w:r>
          </w:p>
        </w:tc>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South India is the leading indicator for national competitive dynamics. Real-time tracking of Rapido Ownly order growth, Zepto Cafe economics, and Flipkart pilot provides 12–18 months of advance warning.</w:t>
            </w:r>
          </w:p>
        </w:tc>
        <w:tc>
          <w:tcPr>
            <w:tcW w:type="dxa" w:w="90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High</w:t>
            </w:r>
          </w:p>
        </w:tc>
        <w:tc>
          <w:tcPr>
            <w:tcW w:type="dxa" w:w="32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Market Intelligence / Strategy. Within 60 days. KPIs: Rapido Ownly estimated GMV, Zepto Cafe restaurant count, Magicpin order share, ONDC monthly active users.</w:t>
            </w:r>
          </w:p>
        </w:tc>
      </w:tr>
      <w:tr>
        <w:trPr>
          <w:tblHeader w:val="false"/>
        </w:trPr>
        <w:tc>
          <w:tcPr>
            <w:tcW w:type="dxa" w:w="36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4</w:t>
            </w:r>
          </w:p>
        </w:tc>
        <w:tc>
          <w:tcPr>
            <w:tcW w:type="dxa" w:w="252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Quantify regulatory cost impact scenarios (gig worker protections, FSSAI compliance, CCI remedies)</w:t>
            </w:r>
          </w:p>
        </w:tc>
        <w:tc>
          <w:tcPr>
            <w:tcW w:type="dxa" w:w="23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Three regulatory vectors are confirmed and accelerating but financial impact is unquantified. Multi-year financial models cannot be reliable without cost-impact scenarios.</w:t>
            </w:r>
          </w:p>
        </w:tc>
        <w:tc>
          <w:tcPr>
            <w:tcW w:type="dxa" w:w="90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20"/>
                <w:szCs w:val="20"/>
              </w:rPr>
              <w:t xml:space="preserve">High</w:t>
            </w:r>
          </w:p>
        </w:tc>
        <w:tc>
          <w:tcPr>
            <w:tcW w:type="dxa" w:w="3240"/>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val="false"/>
                <w:bCs w:val="false"/>
                <w:color w:val="1A202C"/>
                <w:sz w:val="20"/>
                <w:szCs w:val="20"/>
              </w:rPr>
              <w:t xml:space="preserve">Finance / Legal / Government Affairs. Within 90 days. Develop base, moderate, and severe cost scenarios for each regulatory vector.</w:t>
            </w:r>
          </w:p>
        </w:tc>
      </w:tr>
      <w:tr>
        <w:trPr>
          <w:tblHeader w:val="false"/>
        </w:trPr>
        <w:tc>
          <w:tcPr>
            <w:tcW w:type="dxa" w:w="36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5</w:t>
            </w:r>
          </w:p>
        </w:tc>
        <w:tc>
          <w:tcPr>
            <w:tcW w:type="dxa" w:w="25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Develop delivery logistics optimisation business case using real operational data</w:t>
            </w:r>
          </w:p>
        </w:tc>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Logistics optimization is the highest-ROI lever for margin improvement. The synthetic dataset illustrates the framework but cannot quantify the opportunity. Real operational data (Action 1) is a prerequisite.</w:t>
            </w:r>
          </w:p>
        </w:tc>
        <w:tc>
          <w:tcPr>
            <w:tcW w:type="dxa" w:w="90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4A5568"/>
                <w:sz w:val="20"/>
                <w:szCs w:val="20"/>
              </w:rPr>
              <w:t xml:space="preserve">Medium</w:t>
            </w:r>
          </w:p>
        </w:tc>
        <w:tc>
          <w:tcPr>
            <w:tcW w:type="dxa" w:w="32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Operations / Technology. Within 120 days (dependent on Action 1 completion). Scope: route efficiency analysis, AI optimisation ROI model, pilot design for weather/traffic-adaptive scheduling.</w:t>
            </w:r>
          </w:p>
        </w:tc>
      </w:tr>
      <w:tr>
        <w:trPr>
          <w:tblHeader w:val="false"/>
        </w:trPr>
        <w:tc>
          <w:tcPr>
            <w:tcW w:type="dxa" w:w="36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6</w:t>
            </w:r>
          </w:p>
        </w:tc>
        <w:tc>
          <w:tcPr>
            <w:tcW w:type="dxa" w:w="252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1B3A6B"/>
                <w:sz w:val="20"/>
                <w:szCs w:val="20"/>
              </w:rPr>
              <w:t xml:space="preserve">Model downside scenarios for market growth projections and refine confidence intervals</w:t>
            </w:r>
          </w:p>
        </w:tc>
        <w:tc>
          <w:tcPr>
            <w:tcW w:type="dxa" w:w="23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Current projections ($27B by 2030, 19% CAGR) contain no downside scenarios. Investment decisions based solely on base-case projections carry unmodeled risk.</w:t>
            </w:r>
          </w:p>
        </w:tc>
        <w:tc>
          <w:tcPr>
            <w:tcW w:type="dxa" w:w="90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bCs/>
                <w:color w:val="4A5568"/>
                <w:sz w:val="20"/>
                <w:szCs w:val="20"/>
              </w:rPr>
              <w:t xml:space="preserve">Medium</w:t>
            </w:r>
          </w:p>
        </w:tc>
        <w:tc>
          <w:tcPr>
            <w:tcW w:type="dxa" w:w="3240"/>
            <w:tcBorders>
              <w:top w:val="single" w:color="CBD5E0" w:sz="1"/>
              <w:left w:val="single" w:color="CBD5E0" w:sz="1"/>
              <w:bottom w:val="single" w:color="CBD5E0" w:sz="1"/>
              <w:right w:val="single" w:color="CBD5E0" w:sz="1"/>
            </w:tcBorders>
            <w:shd w:fill="F7FAFF" w:val="clear"/>
          </w:tcPr>
          <w:p>
            <w:pPr>
              <w:spacing w:after="60" w:before="60"/>
            </w:pPr>
            <w:r>
              <w:rPr>
                <w:rFonts w:ascii="Calibri" w:cs="Calibri" w:eastAsia="Calibri" w:hAnsi="Calibri"/>
                <w:b w:val="false"/>
                <w:bCs w:val="false"/>
                <w:color w:val="1A202C"/>
                <w:sz w:val="20"/>
                <w:szCs w:val="20"/>
              </w:rPr>
              <w:t xml:space="preserve">Finance / Strategy. Within 90 days. Scenarios: macro slowdown, regulatory shock, zero-commission disruption scaling, fee ceiling demand compression.</w:t>
            </w:r>
          </w:p>
        </w:tc>
      </w:tr>
    </w:tbl>
    <w:p>
      <w:pPr>
        <w:pBdr>
          <w:bottom w:val="single" w:color="2D5FA6" w:sz="2"/>
        </w:pBd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2D5FA6" w:sz="4"/>
              <w:left w:val="single" w:color="2D5FA6" w:sz="12"/>
              <w:bottom w:val="single" w:color="2D5FA6" w:sz="1"/>
              <w:right w:val="single" w:color="2D5FA6" w:sz="1"/>
            </w:tcBorders>
            <w:shd w:fill="EBF4FF" w:val="clear"/>
          </w:tcPr>
          <w:p>
            <w:pPr>
              <w:spacing w:after="80" w:before="60"/>
            </w:pPr>
            <w:r>
              <w:rPr>
                <w:rFonts w:ascii="Calibri" w:cs="Calibri" w:eastAsia="Calibri" w:hAnsi="Calibri"/>
                <w:b/>
                <w:bCs/>
                <w:color w:val="1B3A6B"/>
                <w:sz w:val="22"/>
                <w:szCs w:val="22"/>
              </w:rPr>
              <w:t xml:space="preserve">Analytical Note — Evidence Reliability Profile</w:t>
            </w:r>
          </w:p>
          <w:p>
            <w:pPr>
              <w:spacing w:after="40" w:before="40"/>
            </w:pPr>
            <w:r>
              <w:rPr>
                <w:rFonts w:ascii="Calibri" w:cs="Calibri" w:eastAsia="Calibri" w:hAnsi="Calibri"/>
                <w:color w:val="1A202C"/>
                <w:sz w:val="20"/>
                <w:szCs w:val="20"/>
              </w:rPr>
              <w:t xml:space="preserve">This brief draws from two materially different evidence tiers. Quick Research findings (competitive landscape, market sizing, regulatory environment, consumer trends) are sourced from company filings, industry databases, and credible media — carrying Medium to High confidence. The internal Food Delivery dataset carries Low confidence across all dimensions (confirmed synthetic, 10 indicators). Where both sources address the same topic, the dataset findings are noted for illustrative purposes only and explicitly cannot serve as corroborating evidence.</w:t>
            </w:r>
          </w:p>
          <w:p>
            <w:pPr>
              <w:spacing w:after="40" w:before="40"/>
            </w:pPr>
            <w:r>
              <w:rPr>
                <w:rFonts w:ascii="Calibri" w:cs="Calibri" w:eastAsia="Calibri" w:hAnsi="Calibri"/>
                <w:color w:val="1A202C"/>
                <w:sz w:val="20"/>
                <w:szCs w:val="20"/>
              </w:rPr>
              <w:t xml:space="preserve"/>
            </w:r>
          </w:p>
          <w:p>
            <w:pPr>
              <w:spacing w:after="40" w:before="40"/>
            </w:pPr>
            <w:r>
              <w:rPr>
                <w:rFonts w:ascii="Calibri" w:cs="Calibri" w:eastAsia="Calibri" w:hAnsi="Calibri"/>
                <w:color w:val="1A202C"/>
                <w:sz w:val="20"/>
                <w:szCs w:val="20"/>
              </w:rPr>
              <w:t xml:space="preserve">The most important analytical finding of this brief is the synthetic nature of the internal dataset. Until real operational data is acquired, this analysis remains one-sided: informed by public market intelligence but ungrounded in proprietary operational evidence. Leadership should treat Action 1 (real data acquisition) as a prerequisite for any subsequent operational or city-level strategic decision.</w:t>
            </w:r>
          </w:p>
        </w:tc>
      </w:tr>
    </w:tbl>
    <w:p>
      <w:pPr>
        <w:pStyle w:val="SmallNote"/>
      </w:pPr>
      <w:r>
        <w:t xml:space="preserve">Evidence Source and Confidence Legend: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340"/>
        <w:gridCol w:w="2340"/>
        <w:gridCol w:w="2340"/>
        <w:gridCol w:w="2340"/>
      </w:tblGrid>
      <w:tr>
        <w:tc>
          <w:tcPr>
            <w:tcBorders>
              <w:top w:val="single" w:color="CBD5E0" w:sz="1"/>
              <w:left w:val="single" w:color="CBD5E0" w:sz="1"/>
              <w:bottom w:val="single" w:color="CBD5E0" w:sz="1"/>
              <w:right w:val="single" w:color="CBD5E0" w:sz="1"/>
            </w:tcBorders>
            <w:shd w:fill="EBF4FF" w:val="clear"/>
          </w:tcPr>
          <w:p>
            <w:pPr>
              <w:spacing w:after="60" w:before="60"/>
            </w:pPr>
            <w:r>
              <w:rPr>
                <w:rFonts w:ascii="Calibri" w:cs="Calibri" w:eastAsia="Calibri" w:hAnsi="Calibri"/>
                <w:b/>
                <w:bCs/>
                <w:color w:val="1B3A6B"/>
                <w:sz w:val="18"/>
                <w:szCs w:val="18"/>
              </w:rPr>
              <w:t xml:space="preserve">[Quick Research]</w:t>
            </w:r>
            <w:r>
              <w:rPr>
                <w:rFonts w:ascii="Calibri" w:cs="Calibri" w:eastAsia="Calibri" w:hAnsi="Calibri"/>
                <w:color w:val="4A5568"/>
                <w:sz w:val="18"/>
                <w:szCs w:val="18"/>
              </w:rPr>
              <w:t xml:space="preserve"> — External research findings (Medium–High confidence)</w:t>
            </w:r>
          </w:p>
        </w:tc>
        <w:tc>
          <w:tcPr>
            <w:tcBorders>
              <w:top w:val="single" w:color="CBD5E0" w:sz="1"/>
              <w:left w:val="single" w:color="CBD5E0" w:sz="1"/>
              <w:bottom w:val="single" w:color="CBD5E0" w:sz="1"/>
              <w:right w:val="single" w:color="CBD5E0" w:sz="1"/>
            </w:tcBorders>
            <w:shd w:fill="FFF7ED" w:val="clear"/>
          </w:tcPr>
          <w:p>
            <w:pPr>
              <w:spacing w:after="60" w:before="60"/>
            </w:pPr>
            <w:r>
              <w:rPr>
                <w:rFonts w:ascii="Calibri" w:cs="Calibri" w:eastAsia="Calibri" w:hAnsi="Calibri"/>
                <w:b/>
                <w:bCs/>
                <w:color w:val="92650A"/>
                <w:sz w:val="18"/>
                <w:szCs w:val="18"/>
              </w:rPr>
              <w:t xml:space="preserve">[Dataset]</w:t>
            </w:r>
            <w:r>
              <w:rPr>
                <w:rFonts w:ascii="Calibri" w:cs="Calibri" w:eastAsia="Calibri" w:hAnsi="Calibri"/>
                <w:color w:val="4A5568"/>
                <w:sz w:val="18"/>
                <w:szCs w:val="18"/>
              </w:rPr>
              <w:t xml:space="preserve"> — Internal dataset findings (Low confidence — Synthetic)</w:t>
            </w:r>
          </w:p>
        </w:tc>
        <w:tc>
          <w:tcPr>
            <w:tcBorders>
              <w:top w:val="single" w:color="CBD5E0" w:sz="1"/>
              <w:left w:val="single" w:color="CBD5E0" w:sz="1"/>
              <w:bottom w:val="single" w:color="CBD5E0" w:sz="1"/>
              <w:right w:val="single" w:color="CBD5E0" w:sz="1"/>
            </w:tcBorders>
            <w:shd w:fill="F0FFF4" w:val="clear"/>
          </w:tcPr>
          <w:p>
            <w:pPr>
              <w:spacing w:after="60" w:before="60"/>
            </w:pPr>
            <w:r>
              <w:rPr>
                <w:rFonts w:ascii="Calibri" w:cs="Calibri" w:eastAsia="Calibri" w:hAnsi="Calibri"/>
                <w:b/>
                <w:bCs/>
                <w:color w:val="1A5C4E"/>
                <w:sz w:val="18"/>
                <w:szCs w:val="18"/>
              </w:rPr>
              <w:t xml:space="preserve">[Both]</w:t>
            </w:r>
            <w:r>
              <w:rPr>
                <w:rFonts w:ascii="Calibri" w:cs="Calibri" w:eastAsia="Calibri" w:hAnsi="Calibri"/>
                <w:color w:val="4A5568"/>
                <w:sz w:val="18"/>
                <w:szCs w:val="18"/>
              </w:rPr>
              <w:t xml:space="preserve"> — Both sources (dataset is illustrative only)</w:t>
            </w:r>
          </w:p>
        </w:tc>
        <w:tc>
          <w:tcPr>
            <w:tcBorders>
              <w:top w:val="single" w:color="CBD5E0" w:sz="1"/>
              <w:left w:val="single" w:color="CBD5E0" w:sz="1"/>
              <w:bottom w:val="single" w:color="CBD5E0" w:sz="1"/>
              <w:right w:val="single" w:color="CBD5E0" w:sz="1"/>
            </w:tcBorders>
            <w:shd w:fill="FFF0F0" w:val="clear"/>
          </w:tcPr>
          <w:p>
            <w:pPr>
              <w:spacing w:after="60" w:before="60"/>
            </w:pPr>
            <w:r>
              <w:rPr>
                <w:rFonts w:ascii="Calibri" w:cs="Calibri" w:eastAsia="Calibri" w:hAnsi="Calibri"/>
                <w:b/>
                <w:bCs/>
                <w:color w:val="C0392B"/>
                <w:sz w:val="18"/>
                <w:szCs w:val="18"/>
              </w:rPr>
              <w:t xml:space="preserve">Red callouts</w:t>
            </w:r>
            <w:r>
              <w:rPr>
                <w:rFonts w:ascii="Calibri" w:cs="Calibri" w:eastAsia="Calibri" w:hAnsi="Calibri"/>
                <w:color w:val="4A5568"/>
                <w:sz w:val="18"/>
                <w:szCs w:val="18"/>
              </w:rPr>
              <w:t xml:space="preserve"> — Critical warnings / Low confidence flags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pBdr>
      <w:spacing w:before="100"/>
      <w:jc w:val="center"/>
    </w:pPr>
    <w:r>
      <w:rPr>
        <w:rFonts w:ascii="Calibri" w:cs="Calibri" w:eastAsia="Calibri" w:hAnsi="Calibri"/>
        <w:color w:val="4A5568"/>
        <w:sz w:val="16"/>
        <w:szCs w:val="16"/>
      </w:rPr>
      <w:t xml:space="preserve">Confidential — For Internal Leadership Use Only  •  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pBdr>
      <w:spacing w:after="120"/>
      <w:jc w:val="right"/>
    </w:pPr>
    <w:r>
      <w:rPr>
        <w:rFonts w:ascii="Calibri" w:cs="Calibri" w:eastAsia="Calibri" w:hAnsi="Calibri"/>
        <w:i/>
        <w:iCs/>
        <w:color w:val="4A5568"/>
        <w:sz w:val="16"/>
        <w:szCs w:val="16"/>
      </w:rPr>
      <w:t xml:space="preserve">MARKET INTELLIGENCE BRIEF  —  Indian Food Delivery Market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60"/>
      </w:pPr>
    </w:lvl>
  </w:abstractNum>
  <w:abstractNum w:abstractNumId="3" w15:restartNumberingAfterBreak="0">
    <w:multiLevelType w:val="hybridMultilevel"/>
    <w:lvl w:ilvl="0" w15:tentative="1">
      <w:start w:val="1"/>
      <w:numFmt w:val="bullet"/>
      <w:lvlText w:val="–"/>
      <w:lvlJc w:val="left"/>
      <w:pPr>
        <w:spacing w:after="60"/>
        <w:ind w:left="900" w:hanging="260"/>
      </w:pPr>
    </w:lvl>
  </w:abstractNum>
  <w:abstractNum w:abstractNumId="4" w15:restartNumberingAfterBreak="0">
    <w:multiLevelType w:val="hybridMultilevel"/>
    <w:lvl w:ilvl="0" w15:tentative="1">
      <w:start w:val="1"/>
      <w:numFmt w:val="decimal"/>
      <w:lvlText w:val="%1."/>
      <w:lvlJc w:val="left"/>
      <w:pPr>
        <w:spacing w:after="80"/>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120" w:before="0"/>
      <w:jc w:val="left"/>
    </w:pPr>
    <w:rPr>
      <w:rFonts w:ascii="Calibri" w:cs="Calibri" w:eastAsia="Calibri" w:hAnsi="Calibri"/>
      <w:b/>
      <w:bCs/>
      <w:color w:val="1B3A6B"/>
      <w:sz w:val="52"/>
      <w:szCs w:val="52"/>
    </w:rPr>
  </w:style>
  <w:style w:type="paragraph" w:styleId="DocSubtitle">
    <w:name w:val="Doc Subtitle"/>
    <w:basedOn w:val="Normal"/>
    <w:qFormat/>
    <w:pPr>
      <w:spacing w:after="320" w:before="0"/>
      <w:jc w:val="left"/>
    </w:pPr>
    <w:rPr>
      <w:rFonts w:ascii="Calibri" w:cs="Calibri" w:eastAsia="Calibri" w:hAnsi="Calibri"/>
      <w:b w:val="false"/>
      <w:bCs w:val="false"/>
      <w:i/>
      <w:iCs/>
      <w:color w:val="4A5568"/>
      <w:sz w:val="26"/>
      <w:szCs w:val="26"/>
    </w:rPr>
  </w:style>
  <w:style w:type="paragraph" w:styleId="SectionHead">
    <w:name w:val="Section Head"/>
    <w:basedOn w:val="Normal"/>
    <w:next w:val="Normal"/>
    <w:qFormat/>
    <w:pPr>
      <w:spacing w:after="120" w:before="360"/>
      <w:outlineLvl w:val="0"/>
    </w:pPr>
    <w:rPr>
      <w:rFonts w:ascii="Calibri" w:cs="Calibri" w:eastAsia="Calibri" w:hAnsi="Calibri"/>
      <w:b/>
      <w:bCs/>
      <w:color w:val="1B3A6B"/>
      <w:sz w:val="30"/>
      <w:szCs w:val="30"/>
    </w:rPr>
  </w:style>
  <w:style w:type="paragraph" w:styleId="SubHead">
    <w:name w:val="Sub Head"/>
    <w:basedOn w:val="Normal"/>
    <w:next w:val="Normal"/>
    <w:qFormat/>
    <w:pPr>
      <w:spacing w:after="80" w:before="240"/>
      <w:outlineLvl w:val="1"/>
    </w:pPr>
    <w:rPr>
      <w:rFonts w:ascii="Calibri" w:cs="Calibri" w:eastAsia="Calibri" w:hAnsi="Calibri"/>
      <w:b/>
      <w:bCs/>
      <w:color w:val="2D5FA6"/>
      <w:sz w:val="24"/>
      <w:szCs w:val="24"/>
    </w:rPr>
  </w:style>
  <w:style w:type="paragraph" w:styleId="BodyText">
    <w:name w:val="Body Text"/>
    <w:basedOn w:val="Normal"/>
    <w:pPr>
      <w:spacing w:after="140" w:line="264"/>
    </w:pPr>
    <w:rPr>
      <w:rFonts w:ascii="Calibri" w:cs="Calibri" w:eastAsia="Calibri" w:hAnsi="Calibri"/>
      <w:sz w:val="22"/>
      <w:szCs w:val="22"/>
    </w:rPr>
  </w:style>
  <w:style w:type="paragraph" w:styleId="SmallNote">
    <w:name w:val="Small Note"/>
    <w:basedOn w:val="Normal"/>
    <w:pPr>
      <w:spacing w:after="100"/>
    </w:pPr>
    <w:rPr>
      <w:rFonts w:ascii="Calibri" w:cs="Calibri" w:eastAsia="Calibri" w:hAnsi="Calibri"/>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160882-8802-4F41-BD1E-998085FFC198}">
  <we:reference id="WA200010615" version="1.0.10036.0" store="en-us" storeType="OMEX"/>
  <we:alternateReferences/>
  <we:properties>
    <we:property name="Office.AutoShowTaskpaneWithDocument" value="true"/>
    <we:property name="conversationId" value="&quot;0f881090-c623-42a8-a545-bd63afee216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2026-09-13T11:27:57.389Z</dcterms:created>
  <dcterms:modified xsi:type="dcterms:W3CDTF">2026-09-13T11:27:57.390Z</dcterms:modified>
</cp:coreProperties>
</file>

<file path=docProps/custom.xml><?xml version="1.0" encoding="utf-8"?>
<Properties xmlns="http://schemas.openxmlformats.org/officeDocument/2006/custom-properties" xmlns:vt="http://schemas.openxmlformats.org/officeDocument/2006/docPropsVTypes"/>
</file>