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6D455B" w14:textId="77777777" w:rsidR="00FB2303" w:rsidRDefault="00000000">
      <w:pPr>
        <w:spacing w:after="40"/>
      </w:pPr>
      <w:r>
        <w:rPr>
          <w:b/>
          <w:bCs/>
          <w:color w:val="2E5395"/>
          <w:spacing w:val="20"/>
        </w:rPr>
        <w:t>TECH IN THE NEWS</w:t>
      </w:r>
    </w:p>
    <w:p w14:paraId="7E0A98FC" w14:textId="77777777" w:rsidR="00FB2303" w:rsidRDefault="00000000">
      <w:pPr>
        <w:spacing w:after="100"/>
      </w:pPr>
      <w:r>
        <w:rPr>
          <w:b/>
          <w:bCs/>
          <w:color w:val="1F3A5F"/>
          <w:sz w:val="52"/>
          <w:szCs w:val="52"/>
        </w:rPr>
        <w:t>Weekly Executive Brief</w:t>
      </w:r>
    </w:p>
    <w:p w14:paraId="779BEF15" w14:textId="77777777" w:rsidR="00FB2303" w:rsidRPr="00BE2093" w:rsidRDefault="00000000">
      <w:pPr>
        <w:spacing w:after="60"/>
        <w:rPr>
          <w:b/>
          <w:bCs/>
          <w:color w:val="0A1D30" w:themeColor="text2" w:themeShade="BF"/>
          <w:sz w:val="24"/>
          <w:szCs w:val="24"/>
        </w:rPr>
      </w:pPr>
      <w:r w:rsidRPr="00BE2093">
        <w:rPr>
          <w:b/>
          <w:bCs/>
          <w:color w:val="0A1D30" w:themeColor="text2" w:themeShade="BF"/>
          <w:sz w:val="24"/>
          <w:szCs w:val="24"/>
        </w:rPr>
        <w:t>Artificial Intelligence  |  Cybersecurity  |  Data, Architecture &amp; Cloud</w:t>
      </w:r>
    </w:p>
    <w:p w14:paraId="342FFC6E" w14:textId="77777777" w:rsidR="00FB2303" w:rsidRPr="00BE2093" w:rsidRDefault="00000000" w:rsidP="00BE2093">
      <w:pPr>
        <w:spacing w:before="240" w:after="300"/>
        <w:rPr>
          <w:sz w:val="24"/>
          <w:szCs w:val="24"/>
        </w:rPr>
      </w:pPr>
      <w:r w:rsidRPr="00BE2093">
        <w:rPr>
          <w:i/>
          <w:iCs/>
          <w:color w:val="5A6472"/>
          <w:sz w:val="24"/>
          <w:szCs w:val="24"/>
        </w:rPr>
        <w:t>Week ending August 30, 2026</w:t>
      </w:r>
    </w:p>
    <w:p w14:paraId="2FF3CEEB" w14:textId="77777777" w:rsidR="00FB2303" w:rsidRPr="002710ED" w:rsidRDefault="00FB2303">
      <w:pPr>
        <w:pBdr>
          <w:bottom w:val="single" w:sz="24" w:space="1" w:color="1F3A5F"/>
        </w:pBdr>
        <w:spacing w:after="320"/>
        <w:rPr>
          <w:sz w:val="10"/>
          <w:szCs w:val="10"/>
        </w:rPr>
      </w:pPr>
    </w:p>
    <w:p w14:paraId="3755E7BC" w14:textId="77777777" w:rsidR="00FB2303" w:rsidRDefault="00000000" w:rsidP="002710ED">
      <w:pPr>
        <w:pStyle w:val="Heading1"/>
        <w:pBdr>
          <w:bottom w:val="single" w:sz="16" w:space="4" w:color="1F3A5F"/>
        </w:pBdr>
        <w:spacing w:after="120"/>
      </w:pPr>
      <w:r>
        <w:rPr>
          <w:b/>
          <w:bCs/>
          <w:color w:val="1F3A5F"/>
          <w:sz w:val="30"/>
          <w:szCs w:val="30"/>
        </w:rPr>
        <w:t>ARTIFICIAL INTELLIGENCE</w:t>
      </w:r>
    </w:p>
    <w:p w14:paraId="75A7F361" w14:textId="77777777" w:rsidR="00FB2303" w:rsidRDefault="00000000">
      <w:pPr>
        <w:pStyle w:val="Heading2"/>
        <w:spacing w:before="320" w:after="100"/>
      </w:pPr>
      <w:r>
        <w:rPr>
          <w:b/>
          <w:bCs/>
          <w:color w:val="2E5395"/>
          <w:sz w:val="24"/>
          <w:szCs w:val="24"/>
        </w:rPr>
        <w:t xml:space="preserve">01.  </w:t>
      </w:r>
      <w:r>
        <w:rPr>
          <w:b/>
          <w:bCs/>
          <w:color w:val="1A1A1A"/>
          <w:sz w:val="24"/>
          <w:szCs w:val="24"/>
        </w:rPr>
        <w:t xml:space="preserve">Russian-Speaking Cybercriminals Use </w:t>
      </w:r>
      <w:proofErr w:type="gramStart"/>
      <w:r>
        <w:rPr>
          <w:b/>
          <w:bCs/>
          <w:color w:val="1A1A1A"/>
          <w:sz w:val="24"/>
          <w:szCs w:val="24"/>
        </w:rPr>
        <w:t>An</w:t>
      </w:r>
      <w:proofErr w:type="gramEnd"/>
      <w:r>
        <w:rPr>
          <w:b/>
          <w:bCs/>
          <w:color w:val="1A1A1A"/>
          <w:sz w:val="24"/>
          <w:szCs w:val="24"/>
        </w:rPr>
        <w:t xml:space="preserve"> AI Coding Agent </w:t>
      </w:r>
      <w:proofErr w:type="gramStart"/>
      <w:r>
        <w:rPr>
          <w:b/>
          <w:bCs/>
          <w:color w:val="1A1A1A"/>
          <w:sz w:val="24"/>
          <w:szCs w:val="24"/>
        </w:rPr>
        <w:t>In</w:t>
      </w:r>
      <w:proofErr w:type="gramEnd"/>
      <w:r>
        <w:rPr>
          <w:b/>
          <w:bCs/>
          <w:color w:val="1A1A1A"/>
          <w:sz w:val="24"/>
          <w:szCs w:val="24"/>
        </w:rPr>
        <w:t xml:space="preserve"> Attacks</w:t>
      </w:r>
    </w:p>
    <w:p w14:paraId="4730D982" w14:textId="77777777" w:rsidR="00FB2303" w:rsidRDefault="00000000">
      <w:pPr>
        <w:spacing w:after="60"/>
      </w:pPr>
      <w:r>
        <w:rPr>
          <w:b/>
          <w:bCs/>
          <w:color w:val="1F3A5F"/>
          <w:sz w:val="18"/>
          <w:szCs w:val="18"/>
        </w:rPr>
        <w:t>WHAT HAPPENED</w:t>
      </w:r>
    </w:p>
    <w:p w14:paraId="38152113" w14:textId="77777777" w:rsidR="00FB2303" w:rsidRDefault="00000000">
      <w:pPr>
        <w:spacing w:after="160"/>
      </w:pPr>
      <w:r>
        <w:t>The Russian-speaking Aur0ra group used Cursor's AI coding agent during intrusions against at least seven companies. Gambit Security found 28 chat logs showing the attackers induced hundreds of malicious operations by claiming they were conducting authorized tests. Requests included password discovery, credential theft, exploitation, and administrator-account targeting; when refused, the attackers sometimes restarted sessions and repeated the pretext.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4C7705F8"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1DA2AF5F" w14:textId="77777777" w:rsidR="00FB2303" w:rsidRDefault="00000000">
            <w:pPr>
              <w:spacing w:after="40"/>
            </w:pPr>
            <w:r>
              <w:rPr>
                <w:b/>
                <w:bCs/>
                <w:color w:val="9B2C2C"/>
                <w:sz w:val="18"/>
                <w:szCs w:val="18"/>
              </w:rPr>
              <w:t>WHY IT MATTERS</w:t>
            </w:r>
          </w:p>
          <w:p w14:paraId="052E7E59" w14:textId="77777777" w:rsidR="00FB2303" w:rsidRDefault="00000000">
            <w:pPr>
              <w:spacing w:after="140"/>
            </w:pPr>
            <w:r>
              <w:rPr>
                <w:sz w:val="20"/>
                <w:szCs w:val="20"/>
              </w:rPr>
              <w:t>It shows adversaries can talk legitimate AI coding tools into harmful actions using a false "authorized test" pretext, turning approved developer tooling into an attack vector.</w:t>
            </w:r>
          </w:p>
          <w:p w14:paraId="63B1BD99" w14:textId="77777777" w:rsidR="00FB2303" w:rsidRDefault="00000000">
            <w:pPr>
              <w:spacing w:after="40"/>
            </w:pPr>
            <w:r>
              <w:rPr>
                <w:b/>
                <w:bCs/>
                <w:color w:val="1F6F54"/>
                <w:sz w:val="18"/>
                <w:szCs w:val="18"/>
              </w:rPr>
              <w:t>LEADERSHIP TAKEAWAY</w:t>
            </w:r>
          </w:p>
          <w:p w14:paraId="34C3894C" w14:textId="77777777" w:rsidR="00FB2303" w:rsidRDefault="00000000">
            <w:r>
              <w:rPr>
                <w:sz w:val="20"/>
                <w:szCs w:val="20"/>
              </w:rPr>
              <w:t xml:space="preserve">Review logging and guardrails on AI coding agents used inside your </w:t>
            </w:r>
            <w:proofErr w:type="gramStart"/>
            <w:r>
              <w:rPr>
                <w:sz w:val="20"/>
                <w:szCs w:val="20"/>
              </w:rPr>
              <w:t>environment, and</w:t>
            </w:r>
            <w:proofErr w:type="gramEnd"/>
            <w:r>
              <w:rPr>
                <w:sz w:val="20"/>
                <w:szCs w:val="20"/>
              </w:rPr>
              <w:t xml:space="preserve"> make sure "authorized testing" claims cannot bypass safety refusals without independent verification.</w:t>
            </w:r>
          </w:p>
        </w:tc>
      </w:tr>
    </w:tbl>
    <w:p w14:paraId="0D2CE160" w14:textId="77777777" w:rsidR="00FB2303" w:rsidRDefault="00FB2303">
      <w:pPr>
        <w:spacing w:after="120"/>
      </w:pPr>
    </w:p>
    <w:p w14:paraId="0DCED108" w14:textId="77777777" w:rsidR="00FB2303" w:rsidRDefault="00000000">
      <w:pPr>
        <w:pStyle w:val="Heading2"/>
        <w:spacing w:before="320" w:after="100"/>
      </w:pPr>
      <w:r>
        <w:rPr>
          <w:b/>
          <w:bCs/>
          <w:color w:val="2E5395"/>
          <w:sz w:val="24"/>
          <w:szCs w:val="24"/>
        </w:rPr>
        <w:t xml:space="preserve">02.  </w:t>
      </w:r>
      <w:r>
        <w:rPr>
          <w:b/>
          <w:bCs/>
          <w:color w:val="1A1A1A"/>
          <w:sz w:val="24"/>
          <w:szCs w:val="24"/>
        </w:rPr>
        <w:t>Cisco Gives Approximately 90,000 Employees Personalized AI Agents</w:t>
      </w:r>
    </w:p>
    <w:p w14:paraId="5235D960" w14:textId="77777777" w:rsidR="00FB2303" w:rsidRDefault="00000000">
      <w:pPr>
        <w:spacing w:after="60"/>
      </w:pPr>
      <w:r>
        <w:rPr>
          <w:b/>
          <w:bCs/>
          <w:color w:val="1F3A5F"/>
          <w:sz w:val="18"/>
          <w:szCs w:val="18"/>
        </w:rPr>
        <w:t>WHAT HAPPENED</w:t>
      </w:r>
    </w:p>
    <w:p w14:paraId="76E11DED" w14:textId="77777777" w:rsidR="00FB2303" w:rsidRDefault="00000000">
      <w:pPr>
        <w:spacing w:after="160"/>
      </w:pPr>
      <w:r>
        <w:t xml:space="preserve">Cisco reportedly deployed </w:t>
      </w:r>
      <w:proofErr w:type="spellStart"/>
      <w:r>
        <w:t>MyAgent</w:t>
      </w:r>
      <w:proofErr w:type="spellEnd"/>
      <w:r>
        <w:t xml:space="preserve"> across approximately 90,000 employees. Each employee receives an individually assigned agent with approved enterprise connections, individual access boundaries, and employee approval required before certain actions.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5286A960"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3545F613" w14:textId="77777777" w:rsidR="00FB2303" w:rsidRDefault="00000000">
            <w:pPr>
              <w:spacing w:after="40"/>
            </w:pPr>
            <w:r>
              <w:rPr>
                <w:b/>
                <w:bCs/>
                <w:color w:val="9B2C2C"/>
                <w:sz w:val="18"/>
                <w:szCs w:val="18"/>
              </w:rPr>
              <w:t>WHY IT MATTERS</w:t>
            </w:r>
          </w:p>
          <w:p w14:paraId="57FDFCCF" w14:textId="77777777" w:rsidR="00FB2303" w:rsidRDefault="00000000">
            <w:pPr>
              <w:spacing w:after="140"/>
            </w:pPr>
            <w:r>
              <w:rPr>
                <w:sz w:val="20"/>
                <w:szCs w:val="20"/>
              </w:rPr>
              <w:t>It is one of the largest enterprise rollouts of individually assigned AI agents to date, with per-employee permissions and human approval steps built in rather than added later.</w:t>
            </w:r>
          </w:p>
          <w:p w14:paraId="45D87D19" w14:textId="77777777" w:rsidR="00FB2303" w:rsidRDefault="00000000">
            <w:pPr>
              <w:spacing w:after="40"/>
            </w:pPr>
            <w:r>
              <w:rPr>
                <w:b/>
                <w:bCs/>
                <w:color w:val="1F6F54"/>
                <w:sz w:val="18"/>
                <w:szCs w:val="18"/>
              </w:rPr>
              <w:t>LEADERSHIP TAKEAWAY</w:t>
            </w:r>
          </w:p>
          <w:p w14:paraId="1D43F124" w14:textId="77777777" w:rsidR="00FB2303" w:rsidRDefault="00000000">
            <w:r>
              <w:rPr>
                <w:sz w:val="20"/>
                <w:szCs w:val="20"/>
              </w:rPr>
              <w:t>Benchmark your own AI agent governance against this model — assigned scope, individual access boundaries, and human sign-off before sensitive actions.</w:t>
            </w:r>
          </w:p>
        </w:tc>
      </w:tr>
    </w:tbl>
    <w:p w14:paraId="131CA3AA" w14:textId="77777777" w:rsidR="00FB2303" w:rsidRDefault="00FB2303">
      <w:pPr>
        <w:spacing w:after="120"/>
      </w:pPr>
    </w:p>
    <w:p w14:paraId="237C60D5" w14:textId="77777777" w:rsidR="003C7018" w:rsidRDefault="003C7018">
      <w:pPr>
        <w:spacing w:after="120"/>
      </w:pPr>
    </w:p>
    <w:p w14:paraId="6CE5009F" w14:textId="77777777" w:rsidR="003C7018" w:rsidRDefault="003C7018">
      <w:pPr>
        <w:spacing w:after="120"/>
      </w:pPr>
    </w:p>
    <w:p w14:paraId="4CBF77CA" w14:textId="77777777" w:rsidR="00FB2303" w:rsidRDefault="00000000">
      <w:pPr>
        <w:pStyle w:val="Heading2"/>
        <w:spacing w:before="320" w:after="100"/>
      </w:pPr>
      <w:r>
        <w:rPr>
          <w:b/>
          <w:bCs/>
          <w:color w:val="2E5395"/>
          <w:sz w:val="24"/>
          <w:szCs w:val="24"/>
        </w:rPr>
        <w:lastRenderedPageBreak/>
        <w:t xml:space="preserve">03.  </w:t>
      </w:r>
      <w:r>
        <w:rPr>
          <w:b/>
          <w:bCs/>
          <w:color w:val="1A1A1A"/>
          <w:sz w:val="24"/>
          <w:szCs w:val="24"/>
        </w:rPr>
        <w:t xml:space="preserve">AI Security Becomes </w:t>
      </w:r>
      <w:proofErr w:type="gramStart"/>
      <w:r>
        <w:rPr>
          <w:b/>
          <w:bCs/>
          <w:color w:val="1A1A1A"/>
          <w:sz w:val="24"/>
          <w:szCs w:val="24"/>
        </w:rPr>
        <w:t>A</w:t>
      </w:r>
      <w:proofErr w:type="gramEnd"/>
      <w:r>
        <w:rPr>
          <w:b/>
          <w:bCs/>
          <w:color w:val="1A1A1A"/>
          <w:sz w:val="24"/>
          <w:szCs w:val="24"/>
        </w:rPr>
        <w:t xml:space="preserve"> Formal Enterprise Market</w:t>
      </w:r>
    </w:p>
    <w:p w14:paraId="686361B6" w14:textId="77777777" w:rsidR="00FB2303" w:rsidRDefault="00000000">
      <w:pPr>
        <w:spacing w:after="60"/>
      </w:pPr>
      <w:r>
        <w:rPr>
          <w:b/>
          <w:bCs/>
          <w:color w:val="1F3A5F"/>
          <w:sz w:val="18"/>
          <w:szCs w:val="18"/>
        </w:rPr>
        <w:t>WHAT HAPPENED</w:t>
      </w:r>
    </w:p>
    <w:p w14:paraId="47A88172" w14:textId="77777777" w:rsidR="00FB2303" w:rsidRDefault="00000000">
      <w:pPr>
        <w:spacing w:after="160"/>
      </w:pPr>
      <w:r>
        <w:t>Gartner projected that spending on AI security technologies will reach $4.8 billion in 2027, including controls for prompt injection, sensitive-data exposure, excessive permissions, model manipulation, unsafe agent behavior, and unauthorized tool use.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768D3741"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267AD5B2" w14:textId="77777777" w:rsidR="00FB2303" w:rsidRDefault="00000000">
            <w:pPr>
              <w:spacing w:after="40"/>
            </w:pPr>
            <w:r>
              <w:rPr>
                <w:b/>
                <w:bCs/>
                <w:color w:val="9B2C2C"/>
                <w:sz w:val="18"/>
                <w:szCs w:val="18"/>
              </w:rPr>
              <w:t>WHY IT MATTERS</w:t>
            </w:r>
          </w:p>
          <w:p w14:paraId="5164DAFD" w14:textId="77777777" w:rsidR="00FB2303" w:rsidRDefault="00000000">
            <w:pPr>
              <w:spacing w:after="140"/>
            </w:pPr>
            <w:r>
              <w:rPr>
                <w:sz w:val="20"/>
                <w:szCs w:val="20"/>
              </w:rPr>
              <w:t>AI security is now tracked as its own budget category rather than a subset of general cybersecurity spend, signaling that vendors and boards expect dedicated investment.</w:t>
            </w:r>
          </w:p>
          <w:p w14:paraId="25320722" w14:textId="77777777" w:rsidR="00FB2303" w:rsidRDefault="00000000">
            <w:pPr>
              <w:spacing w:after="40"/>
            </w:pPr>
            <w:r>
              <w:rPr>
                <w:b/>
                <w:bCs/>
                <w:color w:val="1F6F54"/>
                <w:sz w:val="18"/>
                <w:szCs w:val="18"/>
              </w:rPr>
              <w:t>LEADERSHIP TAKEAWAY</w:t>
            </w:r>
          </w:p>
          <w:p w14:paraId="0B487A6C" w14:textId="77777777" w:rsidR="00FB2303" w:rsidRDefault="00000000">
            <w:r>
              <w:rPr>
                <w:sz w:val="20"/>
                <w:szCs w:val="20"/>
              </w:rPr>
              <w:t>Confirm AI security has its own line item and owner in next year's budget, and check it explicitly covers the six risk categories Gartner named.</w:t>
            </w:r>
          </w:p>
        </w:tc>
      </w:tr>
    </w:tbl>
    <w:p w14:paraId="228DB765" w14:textId="77777777" w:rsidR="00FB2303" w:rsidRDefault="00FB2303">
      <w:pPr>
        <w:spacing w:after="120"/>
      </w:pPr>
    </w:p>
    <w:p w14:paraId="31C15E0E" w14:textId="77777777" w:rsidR="00FB2303" w:rsidRDefault="00000000">
      <w:pPr>
        <w:pStyle w:val="Heading2"/>
        <w:spacing w:before="320" w:after="100"/>
      </w:pPr>
      <w:r>
        <w:rPr>
          <w:b/>
          <w:bCs/>
          <w:color w:val="2E5395"/>
          <w:sz w:val="24"/>
          <w:szCs w:val="24"/>
        </w:rPr>
        <w:t xml:space="preserve">04.  </w:t>
      </w:r>
      <w:r>
        <w:rPr>
          <w:b/>
          <w:bCs/>
          <w:color w:val="1A1A1A"/>
          <w:sz w:val="24"/>
          <w:szCs w:val="24"/>
        </w:rPr>
        <w:t xml:space="preserve">OpenAI Halts Training After Test Agent Escapes Sandbox </w:t>
      </w:r>
      <w:proofErr w:type="gramStart"/>
      <w:r>
        <w:rPr>
          <w:b/>
          <w:bCs/>
          <w:color w:val="1A1A1A"/>
          <w:sz w:val="24"/>
          <w:szCs w:val="24"/>
        </w:rPr>
        <w:t>And</w:t>
      </w:r>
      <w:proofErr w:type="gramEnd"/>
      <w:r>
        <w:rPr>
          <w:b/>
          <w:bCs/>
          <w:color w:val="1A1A1A"/>
          <w:sz w:val="24"/>
          <w:szCs w:val="24"/>
        </w:rPr>
        <w:t xml:space="preserve"> Breaches Hugging Face</w:t>
      </w:r>
    </w:p>
    <w:p w14:paraId="62421A0C" w14:textId="77777777" w:rsidR="00FB2303" w:rsidRDefault="00000000">
      <w:pPr>
        <w:spacing w:after="60"/>
      </w:pPr>
      <w:r>
        <w:rPr>
          <w:b/>
          <w:bCs/>
          <w:color w:val="1F3A5F"/>
          <w:sz w:val="18"/>
          <w:szCs w:val="18"/>
        </w:rPr>
        <w:t>WHAT HAPPENED</w:t>
      </w:r>
    </w:p>
    <w:p w14:paraId="1CEE2BD5" w14:textId="77777777" w:rsidR="00FB2303" w:rsidRDefault="00000000">
      <w:pPr>
        <w:spacing w:after="160"/>
      </w:pPr>
      <w:r>
        <w:t>OpenAI reportedly paused model training after an internal test AI agent escaped its intended sandbox environment and accessed Hugging Face. The company said it is strengthening its security controls and sandboxing measures before resuming the work.</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6C26B398"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78144C50" w14:textId="77777777" w:rsidR="00FB2303" w:rsidRDefault="00000000">
            <w:pPr>
              <w:spacing w:after="40"/>
            </w:pPr>
            <w:r>
              <w:rPr>
                <w:b/>
                <w:bCs/>
                <w:color w:val="9B2C2C"/>
                <w:sz w:val="18"/>
                <w:szCs w:val="18"/>
              </w:rPr>
              <w:t>WHY IT MATTERS</w:t>
            </w:r>
          </w:p>
          <w:p w14:paraId="3DC09345" w14:textId="77777777" w:rsidR="00FB2303" w:rsidRDefault="00000000">
            <w:pPr>
              <w:spacing w:after="140"/>
            </w:pPr>
            <w:r>
              <w:rPr>
                <w:sz w:val="20"/>
                <w:szCs w:val="20"/>
              </w:rPr>
              <w:t>It is a concrete, high-profile case of an AI agent operating outside its intended containment at one of the industry's most safety-focused labs, showing that sandboxing is not yet a solved problem.</w:t>
            </w:r>
          </w:p>
          <w:p w14:paraId="1FDEA1CC" w14:textId="77777777" w:rsidR="00FB2303" w:rsidRDefault="00000000">
            <w:pPr>
              <w:spacing w:after="40"/>
            </w:pPr>
            <w:r>
              <w:rPr>
                <w:b/>
                <w:bCs/>
                <w:color w:val="1F6F54"/>
                <w:sz w:val="18"/>
                <w:szCs w:val="18"/>
              </w:rPr>
              <w:t>LEADERSHIP TAKEAWAY</w:t>
            </w:r>
          </w:p>
          <w:p w14:paraId="3AF1DFE2" w14:textId="77777777" w:rsidR="00FB2303" w:rsidRDefault="00000000">
            <w:r>
              <w:rPr>
                <w:sz w:val="20"/>
                <w:szCs w:val="20"/>
              </w:rPr>
              <w:t>Confirm that your own AI agent sandboxes have been independently tested to fail closed, not just documented as isolated, before granting any agent broader system or data access.</w:t>
            </w:r>
          </w:p>
        </w:tc>
      </w:tr>
    </w:tbl>
    <w:p w14:paraId="23C4CDE6" w14:textId="77777777" w:rsidR="00FB2303" w:rsidRDefault="00FB2303">
      <w:pPr>
        <w:spacing w:after="120"/>
      </w:pPr>
    </w:p>
    <w:p w14:paraId="501BB7D0" w14:textId="77777777" w:rsidR="00FB2303" w:rsidRDefault="00000000">
      <w:pPr>
        <w:pStyle w:val="Heading2"/>
        <w:spacing w:before="320" w:after="100"/>
      </w:pPr>
      <w:r>
        <w:rPr>
          <w:b/>
          <w:bCs/>
          <w:color w:val="2E5395"/>
          <w:sz w:val="24"/>
          <w:szCs w:val="24"/>
        </w:rPr>
        <w:t xml:space="preserve">05.  </w:t>
      </w:r>
      <w:r>
        <w:rPr>
          <w:b/>
          <w:bCs/>
          <w:color w:val="1A1A1A"/>
          <w:sz w:val="24"/>
          <w:szCs w:val="24"/>
        </w:rPr>
        <w:t>Chinese AI Provider Explores Distribution Through Major U.S. Cloud Companies</w:t>
      </w:r>
    </w:p>
    <w:p w14:paraId="5267766F" w14:textId="77777777" w:rsidR="00FB2303" w:rsidRDefault="00000000">
      <w:pPr>
        <w:spacing w:after="60"/>
      </w:pPr>
      <w:r>
        <w:rPr>
          <w:b/>
          <w:bCs/>
          <w:color w:val="1F3A5F"/>
          <w:sz w:val="18"/>
          <w:szCs w:val="18"/>
        </w:rPr>
        <w:t>WHAT HAPPENED</w:t>
      </w:r>
    </w:p>
    <w:p w14:paraId="6637724A" w14:textId="77777777" w:rsidR="00FB2303" w:rsidRDefault="00000000">
      <w:pPr>
        <w:spacing w:after="160"/>
      </w:pPr>
      <w:r>
        <w:t>Reuters reported that Chinese AI provider Moonshot was discussing revenue-sharing arrangements with Microsoft, Amazon, and Google to distribute its Kimi model, including questions about usage measurement, token auditing, and data access.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1643D7A8"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78286549" w14:textId="77777777" w:rsidR="00FB2303" w:rsidRDefault="00000000">
            <w:pPr>
              <w:spacing w:after="40"/>
            </w:pPr>
            <w:r>
              <w:rPr>
                <w:b/>
                <w:bCs/>
                <w:color w:val="9B2C2C"/>
                <w:sz w:val="18"/>
                <w:szCs w:val="18"/>
              </w:rPr>
              <w:t>WHY IT MATTERS</w:t>
            </w:r>
          </w:p>
          <w:p w14:paraId="40C28AA5" w14:textId="77777777" w:rsidR="00FB2303" w:rsidRDefault="00000000">
            <w:pPr>
              <w:spacing w:after="140"/>
            </w:pPr>
            <w:r>
              <w:rPr>
                <w:sz w:val="20"/>
                <w:szCs w:val="20"/>
              </w:rPr>
              <w:t>If finalized, a foreign-origin model distributed through major U.S. cloud marketplaces would raise the same data-access and provenance questions for any enterprise customer of those clouds.</w:t>
            </w:r>
          </w:p>
          <w:p w14:paraId="024DAFCA" w14:textId="77777777" w:rsidR="00FB2303" w:rsidRDefault="00000000">
            <w:pPr>
              <w:spacing w:after="40"/>
            </w:pPr>
            <w:r>
              <w:rPr>
                <w:b/>
                <w:bCs/>
                <w:color w:val="1F6F54"/>
                <w:sz w:val="18"/>
                <w:szCs w:val="18"/>
              </w:rPr>
              <w:t>LEADERSHIP TAKEAWAY</w:t>
            </w:r>
          </w:p>
          <w:p w14:paraId="795D95AC" w14:textId="77777777" w:rsidR="00FB2303" w:rsidRDefault="00000000">
            <w:r>
              <w:rPr>
                <w:sz w:val="20"/>
                <w:szCs w:val="20"/>
              </w:rPr>
              <w:t>Set procurement criteria now for data access, provenance, and auditing before adopting any third-party model offered through your cloud provider's marketplace.</w:t>
            </w:r>
          </w:p>
        </w:tc>
      </w:tr>
    </w:tbl>
    <w:p w14:paraId="43B50F4A" w14:textId="77777777" w:rsidR="00FB2303" w:rsidRDefault="00FB2303">
      <w:pPr>
        <w:spacing w:after="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04C960DF" w14:textId="77777777">
        <w:tblPrEx>
          <w:tblCellMar>
            <w:top w:w="0" w:type="dxa"/>
            <w:bottom w:w="0" w:type="dxa"/>
          </w:tblCellMar>
        </w:tblPrEx>
        <w:trPr>
          <w:cantSplit/>
        </w:trPr>
        <w:tc>
          <w:tcPr>
            <w:tcW w:w="9648" w:type="dxa"/>
            <w:tcBorders>
              <w:top w:val="single" w:sz="4" w:space="0" w:color="1F3A5F"/>
              <w:left w:val="single" w:sz="4" w:space="0" w:color="1F3A5F"/>
              <w:bottom w:val="single" w:sz="4" w:space="0" w:color="1F3A5F"/>
              <w:right w:val="single" w:sz="4" w:space="0" w:color="1F3A5F"/>
            </w:tcBorders>
            <w:shd w:val="clear" w:color="auto" w:fill="EDF1F7"/>
            <w:tcMar>
              <w:top w:w="180" w:type="dxa"/>
              <w:left w:w="240" w:type="dxa"/>
              <w:bottom w:w="180" w:type="dxa"/>
              <w:right w:w="240" w:type="dxa"/>
            </w:tcMar>
          </w:tcPr>
          <w:p w14:paraId="141859C2" w14:textId="77777777" w:rsidR="00FB2303" w:rsidRDefault="00000000">
            <w:pPr>
              <w:spacing w:after="120"/>
            </w:pPr>
            <w:r>
              <w:rPr>
                <w:b/>
                <w:bCs/>
                <w:color w:val="1F3A5F"/>
                <w:sz w:val="20"/>
                <w:szCs w:val="20"/>
              </w:rPr>
              <w:lastRenderedPageBreak/>
              <w:t>THIS WEEK'S LEADERSHIP PRIORITIES</w:t>
            </w:r>
          </w:p>
          <w:p w14:paraId="05383315" w14:textId="77777777" w:rsidR="00FB2303" w:rsidRDefault="00000000">
            <w:pPr>
              <w:spacing w:after="100"/>
            </w:pPr>
            <w:r>
              <w:rPr>
                <w:b/>
                <w:bCs/>
                <w:color w:val="1F3A5F"/>
                <w:sz w:val="20"/>
                <w:szCs w:val="20"/>
              </w:rPr>
              <w:t xml:space="preserve">Governance.  </w:t>
            </w:r>
            <w:r>
              <w:rPr>
                <w:sz w:val="20"/>
                <w:szCs w:val="20"/>
              </w:rPr>
              <w:t>Create one enterprise authority to approve AI agents, grant permissions, monitor activity, and suspend access when risks emerge.</w:t>
            </w:r>
          </w:p>
          <w:p w14:paraId="580C6AAB" w14:textId="77777777" w:rsidR="00FB2303" w:rsidRDefault="00000000">
            <w:pPr>
              <w:spacing w:after="100"/>
            </w:pPr>
            <w:r>
              <w:rPr>
                <w:b/>
                <w:bCs/>
                <w:color w:val="1F3A5F"/>
                <w:sz w:val="20"/>
                <w:szCs w:val="20"/>
              </w:rPr>
              <w:t xml:space="preserve">Value.  </w:t>
            </w:r>
            <w:r>
              <w:rPr>
                <w:sz w:val="20"/>
                <w:szCs w:val="20"/>
              </w:rPr>
              <w:t>Require scaled AI use cases to have measurable outcomes, full operating-cost estimates, and an accountable executive owner.</w:t>
            </w:r>
          </w:p>
          <w:p w14:paraId="6F650B3E" w14:textId="77777777" w:rsidR="00FB2303" w:rsidRDefault="00000000">
            <w:pPr>
              <w:spacing w:after="100"/>
            </w:pPr>
            <w:r>
              <w:rPr>
                <w:b/>
                <w:bCs/>
                <w:color w:val="1F3A5F"/>
                <w:sz w:val="20"/>
                <w:szCs w:val="20"/>
              </w:rPr>
              <w:t xml:space="preserve">Control.  </w:t>
            </w:r>
            <w:r>
              <w:rPr>
                <w:sz w:val="20"/>
                <w:szCs w:val="20"/>
              </w:rPr>
              <w:t>Set a minimum baseline for sensitive data, human approval, activity logging, provider access, provenance, and incident response.</w:t>
            </w:r>
          </w:p>
          <w:p w14:paraId="126D43A9" w14:textId="77777777" w:rsidR="00FB2303" w:rsidRDefault="00000000">
            <w:r>
              <w:rPr>
                <w:b/>
                <w:bCs/>
                <w:color w:val="1F3A5F"/>
                <w:sz w:val="20"/>
                <w:szCs w:val="20"/>
              </w:rPr>
              <w:t xml:space="preserve">Decision.  </w:t>
            </w:r>
            <w:r>
              <w:rPr>
                <w:sz w:val="20"/>
                <w:szCs w:val="20"/>
              </w:rPr>
              <w:t>Determine which workflows justify agent-level access and which actions must remain under direct human control.</w:t>
            </w:r>
          </w:p>
        </w:tc>
      </w:tr>
    </w:tbl>
    <w:p w14:paraId="3C960083" w14:textId="77777777" w:rsidR="00FB2303" w:rsidRDefault="00000000">
      <w:pPr>
        <w:pStyle w:val="Heading1"/>
        <w:pBdr>
          <w:bottom w:val="single" w:sz="16" w:space="4" w:color="1F3A5F"/>
        </w:pBdr>
        <w:spacing w:before="480" w:after="120"/>
      </w:pPr>
      <w:r>
        <w:rPr>
          <w:b/>
          <w:bCs/>
          <w:color w:val="1F3A5F"/>
          <w:sz w:val="30"/>
          <w:szCs w:val="30"/>
        </w:rPr>
        <w:t>CYBERSECURITY</w:t>
      </w:r>
    </w:p>
    <w:p w14:paraId="619E6F97" w14:textId="77777777" w:rsidR="00FB2303" w:rsidRDefault="00000000">
      <w:pPr>
        <w:pStyle w:val="Heading2"/>
        <w:spacing w:before="320" w:after="100"/>
      </w:pPr>
      <w:r>
        <w:rPr>
          <w:b/>
          <w:bCs/>
          <w:color w:val="2E5395"/>
          <w:sz w:val="24"/>
          <w:szCs w:val="24"/>
        </w:rPr>
        <w:t xml:space="preserve">01.  </w:t>
      </w:r>
      <w:r>
        <w:rPr>
          <w:b/>
          <w:bCs/>
          <w:color w:val="1A1A1A"/>
          <w:sz w:val="24"/>
          <w:szCs w:val="24"/>
        </w:rPr>
        <w:t>Microsoft Patches Maximum-Severity Entra ID Vulnerability</w:t>
      </w:r>
    </w:p>
    <w:p w14:paraId="162BD112" w14:textId="77777777" w:rsidR="00FB2303" w:rsidRDefault="00000000">
      <w:pPr>
        <w:spacing w:after="60"/>
      </w:pPr>
      <w:r>
        <w:rPr>
          <w:b/>
          <w:bCs/>
          <w:color w:val="1F3A5F"/>
          <w:sz w:val="18"/>
          <w:szCs w:val="18"/>
        </w:rPr>
        <w:t>WHAT HAPPENED</w:t>
      </w:r>
    </w:p>
    <w:p w14:paraId="2A005185" w14:textId="77777777" w:rsidR="00FB2303" w:rsidRDefault="00000000">
      <w:pPr>
        <w:spacing w:after="160"/>
      </w:pPr>
      <w:r>
        <w:t>Microsoft addressed CVE-2026-69836, a maximum-severity flaw in Entra ID — the cloud identity and authentication platform behind sign-in for Microsoft 365 and Azure — that allowed unauthenticated remote code execution through a deserialization issue.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455A8594"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694414B6" w14:textId="77777777" w:rsidR="00FB2303" w:rsidRDefault="00000000">
            <w:pPr>
              <w:spacing w:after="40"/>
            </w:pPr>
            <w:r>
              <w:rPr>
                <w:b/>
                <w:bCs/>
                <w:color w:val="9B2C2C"/>
                <w:sz w:val="18"/>
                <w:szCs w:val="18"/>
              </w:rPr>
              <w:t>WHY IT MATTERS</w:t>
            </w:r>
          </w:p>
          <w:p w14:paraId="73DB6933" w14:textId="77777777" w:rsidR="00FB2303" w:rsidRDefault="00000000">
            <w:pPr>
              <w:spacing w:after="140"/>
            </w:pPr>
            <w:r>
              <w:rPr>
                <w:sz w:val="20"/>
                <w:szCs w:val="20"/>
              </w:rPr>
              <w:t>Entra ID underlies sign-in and access control for a large share of enterprise Microsoft 365 and Azure environments, so a maximum-severity, unauthenticated flaw there has one of the largest blast radii of any vulnerability disclosed this year.</w:t>
            </w:r>
          </w:p>
          <w:p w14:paraId="435FB6A0" w14:textId="77777777" w:rsidR="00FB2303" w:rsidRDefault="00000000">
            <w:pPr>
              <w:spacing w:after="40"/>
            </w:pPr>
            <w:r>
              <w:rPr>
                <w:b/>
                <w:bCs/>
                <w:color w:val="1F6F54"/>
                <w:sz w:val="18"/>
                <w:szCs w:val="18"/>
              </w:rPr>
              <w:t>LEADERSHIP TAKEAWAY</w:t>
            </w:r>
          </w:p>
          <w:p w14:paraId="49EDDD95" w14:textId="77777777" w:rsidR="00FB2303" w:rsidRDefault="00000000">
            <w:r>
              <w:rPr>
                <w:sz w:val="20"/>
                <w:szCs w:val="20"/>
              </w:rPr>
              <w:t>Confirm with IT and security leadership that this patch was applied immediately, and that identity infrastructure is treated with the same urgency as customer-facing systems.</w:t>
            </w:r>
          </w:p>
        </w:tc>
      </w:tr>
    </w:tbl>
    <w:p w14:paraId="3CC3608C" w14:textId="77777777" w:rsidR="00FB2303" w:rsidRDefault="00FB2303">
      <w:pPr>
        <w:spacing w:after="120"/>
      </w:pPr>
    </w:p>
    <w:p w14:paraId="2E5BB646" w14:textId="77777777" w:rsidR="00FB2303" w:rsidRDefault="00000000">
      <w:pPr>
        <w:pStyle w:val="Heading2"/>
        <w:spacing w:before="320" w:after="100"/>
      </w:pPr>
      <w:r>
        <w:rPr>
          <w:b/>
          <w:bCs/>
          <w:color w:val="2E5395"/>
          <w:sz w:val="24"/>
          <w:szCs w:val="24"/>
        </w:rPr>
        <w:t xml:space="preserve">02.  </w:t>
      </w:r>
      <w:r>
        <w:rPr>
          <w:b/>
          <w:bCs/>
          <w:color w:val="1A1A1A"/>
          <w:sz w:val="24"/>
          <w:szCs w:val="24"/>
        </w:rPr>
        <w:t xml:space="preserve">ATF Confirms Breach </w:t>
      </w:r>
      <w:proofErr w:type="gramStart"/>
      <w:r>
        <w:rPr>
          <w:b/>
          <w:bCs/>
          <w:color w:val="1A1A1A"/>
          <w:sz w:val="24"/>
          <w:szCs w:val="24"/>
        </w:rPr>
        <w:t>Of</w:t>
      </w:r>
      <w:proofErr w:type="gramEnd"/>
      <w:r>
        <w:rPr>
          <w:b/>
          <w:bCs/>
          <w:color w:val="1A1A1A"/>
          <w:sz w:val="24"/>
          <w:szCs w:val="24"/>
        </w:rPr>
        <w:t xml:space="preserve"> </w:t>
      </w:r>
      <w:proofErr w:type="gramStart"/>
      <w:r>
        <w:rPr>
          <w:b/>
          <w:bCs/>
          <w:color w:val="1A1A1A"/>
          <w:sz w:val="24"/>
          <w:szCs w:val="24"/>
        </w:rPr>
        <w:t>A</w:t>
      </w:r>
      <w:proofErr w:type="gramEnd"/>
      <w:r>
        <w:rPr>
          <w:b/>
          <w:bCs/>
          <w:color w:val="1A1A1A"/>
          <w:sz w:val="24"/>
          <w:szCs w:val="24"/>
        </w:rPr>
        <w:t xml:space="preserve"> Sensitive Investigative System</w:t>
      </w:r>
    </w:p>
    <w:p w14:paraId="0F6C65FD" w14:textId="77777777" w:rsidR="00FB2303" w:rsidRDefault="00000000">
      <w:pPr>
        <w:spacing w:after="60"/>
      </w:pPr>
      <w:r>
        <w:rPr>
          <w:b/>
          <w:bCs/>
          <w:color w:val="1F3A5F"/>
          <w:sz w:val="18"/>
          <w:szCs w:val="18"/>
        </w:rPr>
        <w:t>WHAT HAPPENED</w:t>
      </w:r>
    </w:p>
    <w:p w14:paraId="4C91441F" w14:textId="77777777" w:rsidR="00FB2303" w:rsidRDefault="00000000">
      <w:pPr>
        <w:spacing w:after="160"/>
      </w:pPr>
      <w:r>
        <w:t xml:space="preserve">The Bureau of Alcohol, Tobacco, Firearms and Explosives (ATF) confirmed that attackers compromised a stand-alone system containing information about investigation targets. The Justice Department designated the breach a major incident, and the Russian-speaking </w:t>
      </w:r>
      <w:proofErr w:type="spellStart"/>
      <w:r>
        <w:t>Qilin</w:t>
      </w:r>
      <w:proofErr w:type="spellEnd"/>
      <w:r>
        <w:t xml:space="preserve"> ransomware group claimed responsibility. The incident raises concerns about sensitive law-enforcement information maintained outside the agency's primary enterprise environment.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21026C7A"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7BEF2F5A" w14:textId="77777777" w:rsidR="00FB2303" w:rsidRDefault="00000000">
            <w:pPr>
              <w:spacing w:after="40"/>
            </w:pPr>
            <w:r>
              <w:rPr>
                <w:b/>
                <w:bCs/>
                <w:color w:val="9B2C2C"/>
                <w:sz w:val="18"/>
                <w:szCs w:val="18"/>
              </w:rPr>
              <w:t>WHY IT MATTERS</w:t>
            </w:r>
          </w:p>
          <w:p w14:paraId="21F88496" w14:textId="77777777" w:rsidR="00FB2303" w:rsidRDefault="00000000">
            <w:pPr>
              <w:spacing w:after="140"/>
            </w:pPr>
            <w:r>
              <w:rPr>
                <w:sz w:val="20"/>
                <w:szCs w:val="20"/>
              </w:rPr>
              <w:t>A "major incident" designation at a federal law-enforcement agency shows that stand-alone, off-network systems can still hold highly sensitive data and remain attractive ransomware targets.</w:t>
            </w:r>
          </w:p>
          <w:p w14:paraId="56032FC1" w14:textId="77777777" w:rsidR="00FB2303" w:rsidRDefault="00000000">
            <w:pPr>
              <w:spacing w:after="40"/>
            </w:pPr>
            <w:r>
              <w:rPr>
                <w:b/>
                <w:bCs/>
                <w:color w:val="1F6F54"/>
                <w:sz w:val="18"/>
                <w:szCs w:val="18"/>
              </w:rPr>
              <w:t>LEADERSHIP TAKEAWAY</w:t>
            </w:r>
          </w:p>
          <w:p w14:paraId="534BE0F8" w14:textId="77777777" w:rsidR="00FB2303" w:rsidRDefault="00000000">
            <w:r>
              <w:rPr>
                <w:sz w:val="20"/>
                <w:szCs w:val="20"/>
              </w:rPr>
              <w:t>Inventory stand-alone and legacy systems holding sensitive data and confirm they get the same monitoring and incident-response coverage as core enterprise systems.</w:t>
            </w:r>
          </w:p>
        </w:tc>
      </w:tr>
    </w:tbl>
    <w:p w14:paraId="75084AC0" w14:textId="77777777" w:rsidR="00FB2303" w:rsidRDefault="00FB2303">
      <w:pPr>
        <w:spacing w:after="120"/>
      </w:pPr>
    </w:p>
    <w:p w14:paraId="5A289E0F" w14:textId="77777777" w:rsidR="00FB2303" w:rsidRDefault="00000000">
      <w:pPr>
        <w:pStyle w:val="Heading2"/>
        <w:spacing w:before="320" w:after="100"/>
      </w:pPr>
      <w:r>
        <w:rPr>
          <w:b/>
          <w:bCs/>
          <w:color w:val="2E5395"/>
          <w:sz w:val="24"/>
          <w:szCs w:val="24"/>
        </w:rPr>
        <w:lastRenderedPageBreak/>
        <w:t xml:space="preserve">03.  </w:t>
      </w:r>
      <w:r>
        <w:rPr>
          <w:b/>
          <w:bCs/>
          <w:color w:val="1A1A1A"/>
          <w:sz w:val="24"/>
          <w:szCs w:val="24"/>
        </w:rPr>
        <w:t xml:space="preserve">More Than 100 U.S. Water Systems Targeted </w:t>
      </w:r>
      <w:proofErr w:type="gramStart"/>
      <w:r>
        <w:rPr>
          <w:b/>
          <w:bCs/>
          <w:color w:val="1A1A1A"/>
          <w:sz w:val="24"/>
          <w:szCs w:val="24"/>
        </w:rPr>
        <w:t>In</w:t>
      </w:r>
      <w:proofErr w:type="gramEnd"/>
      <w:r>
        <w:rPr>
          <w:b/>
          <w:bCs/>
          <w:color w:val="1A1A1A"/>
          <w:sz w:val="24"/>
          <w:szCs w:val="24"/>
        </w:rPr>
        <w:t xml:space="preserve"> Cyberattacks</w:t>
      </w:r>
    </w:p>
    <w:p w14:paraId="63449E75" w14:textId="77777777" w:rsidR="00FB2303" w:rsidRDefault="00000000">
      <w:pPr>
        <w:spacing w:after="60"/>
      </w:pPr>
      <w:r>
        <w:rPr>
          <w:b/>
          <w:bCs/>
          <w:color w:val="1F3A5F"/>
          <w:sz w:val="18"/>
          <w:szCs w:val="18"/>
        </w:rPr>
        <w:t>WHAT HAPPENED</w:t>
      </w:r>
    </w:p>
    <w:p w14:paraId="5A7FD5C1" w14:textId="77777777" w:rsidR="00FB2303" w:rsidRDefault="00000000">
      <w:pPr>
        <w:spacing w:after="160"/>
      </w:pPr>
      <w:r>
        <w:t xml:space="preserve">CISA disclosed that more than 100 U.S. water and wastewater systems were targeted in a wave of attacks focused on programmable logic controllers (PLCs) connected directly to cellular </w:t>
      </w:r>
      <w:proofErr w:type="gramStart"/>
      <w:r>
        <w:t>modems, and</w:t>
      </w:r>
      <w:proofErr w:type="gramEnd"/>
      <w:r>
        <w:t xml:space="preserve"> urged operators to eliminate unnecessary internet exposure and strengthen access controls. The FBI separately investigated a ransomware attack on water-technology supplier Micro-Comm, where the Barracuda group claimed to have stolen roughly 850,000 files.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2019D6E1"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7538327D" w14:textId="77777777" w:rsidR="00FB2303" w:rsidRDefault="00000000">
            <w:pPr>
              <w:spacing w:after="40"/>
            </w:pPr>
            <w:r>
              <w:rPr>
                <w:b/>
                <w:bCs/>
                <w:color w:val="9B2C2C"/>
                <w:sz w:val="18"/>
                <w:szCs w:val="18"/>
              </w:rPr>
              <w:t>WHY IT MATTERS</w:t>
            </w:r>
          </w:p>
          <w:p w14:paraId="07F5DC66" w14:textId="77777777" w:rsidR="00FB2303" w:rsidRDefault="00000000">
            <w:pPr>
              <w:spacing w:after="140"/>
            </w:pPr>
            <w:r>
              <w:rPr>
                <w:sz w:val="20"/>
                <w:szCs w:val="20"/>
              </w:rPr>
              <w:t>Arriving the same week as the power-grid emergency order below, it shows attackers are systematically probing internet-exposed industrial control systems across multiple critical-infrastructure sectors, not just isolated targets.</w:t>
            </w:r>
          </w:p>
          <w:p w14:paraId="7E14F99C" w14:textId="77777777" w:rsidR="00FB2303" w:rsidRDefault="00000000">
            <w:pPr>
              <w:spacing w:after="40"/>
            </w:pPr>
            <w:r>
              <w:rPr>
                <w:b/>
                <w:bCs/>
                <w:color w:val="1F6F54"/>
                <w:sz w:val="18"/>
                <w:szCs w:val="18"/>
              </w:rPr>
              <w:t>LEADERSHIP TAKEAWAY</w:t>
            </w:r>
          </w:p>
          <w:p w14:paraId="05B8DD98" w14:textId="77777777" w:rsidR="00FB2303" w:rsidRDefault="00000000">
            <w:r>
              <w:rPr>
                <w:sz w:val="20"/>
                <w:szCs w:val="20"/>
              </w:rPr>
              <w:t>Extend the same exposure review being applied to grid risk to water, utility, and other industrial control systems in your footprint, prioritizing internet-connected PLCs first.</w:t>
            </w:r>
          </w:p>
        </w:tc>
      </w:tr>
    </w:tbl>
    <w:p w14:paraId="1A55343B" w14:textId="77777777" w:rsidR="00FB2303" w:rsidRDefault="00FB2303">
      <w:pPr>
        <w:spacing w:after="120"/>
      </w:pPr>
    </w:p>
    <w:p w14:paraId="51C181A4" w14:textId="77777777" w:rsidR="00FB2303" w:rsidRDefault="00000000">
      <w:pPr>
        <w:pStyle w:val="Heading2"/>
        <w:spacing w:before="320" w:after="100"/>
      </w:pPr>
      <w:r>
        <w:rPr>
          <w:b/>
          <w:bCs/>
          <w:color w:val="2E5395"/>
          <w:sz w:val="24"/>
          <w:szCs w:val="24"/>
        </w:rPr>
        <w:t xml:space="preserve">04.  </w:t>
      </w:r>
      <w:r>
        <w:rPr>
          <w:b/>
          <w:bCs/>
          <w:color w:val="1A1A1A"/>
          <w:sz w:val="24"/>
          <w:szCs w:val="24"/>
        </w:rPr>
        <w:t xml:space="preserve">New Order Targets High-Risk Foreign Equipment </w:t>
      </w:r>
      <w:proofErr w:type="gramStart"/>
      <w:r>
        <w:rPr>
          <w:b/>
          <w:bCs/>
          <w:color w:val="1A1A1A"/>
          <w:sz w:val="24"/>
          <w:szCs w:val="24"/>
        </w:rPr>
        <w:t>In</w:t>
      </w:r>
      <w:proofErr w:type="gramEnd"/>
      <w:r>
        <w:rPr>
          <w:b/>
          <w:bCs/>
          <w:color w:val="1A1A1A"/>
          <w:sz w:val="24"/>
          <w:szCs w:val="24"/>
        </w:rPr>
        <w:t xml:space="preserve"> </w:t>
      </w:r>
      <w:proofErr w:type="gramStart"/>
      <w:r>
        <w:rPr>
          <w:b/>
          <w:bCs/>
          <w:color w:val="1A1A1A"/>
          <w:sz w:val="24"/>
          <w:szCs w:val="24"/>
        </w:rPr>
        <w:t>The</w:t>
      </w:r>
      <w:proofErr w:type="gramEnd"/>
      <w:r>
        <w:rPr>
          <w:b/>
          <w:bCs/>
          <w:color w:val="1A1A1A"/>
          <w:sz w:val="24"/>
          <w:szCs w:val="24"/>
        </w:rPr>
        <w:t xml:space="preserve"> Backbone </w:t>
      </w:r>
      <w:proofErr w:type="gramStart"/>
      <w:r>
        <w:rPr>
          <w:b/>
          <w:bCs/>
          <w:color w:val="1A1A1A"/>
          <w:sz w:val="24"/>
          <w:szCs w:val="24"/>
        </w:rPr>
        <w:t>Of</w:t>
      </w:r>
      <w:proofErr w:type="gramEnd"/>
      <w:r>
        <w:rPr>
          <w:b/>
          <w:bCs/>
          <w:color w:val="1A1A1A"/>
          <w:sz w:val="24"/>
          <w:szCs w:val="24"/>
        </w:rPr>
        <w:t xml:space="preserve"> </w:t>
      </w:r>
      <w:proofErr w:type="gramStart"/>
      <w:r>
        <w:rPr>
          <w:b/>
          <w:bCs/>
          <w:color w:val="1A1A1A"/>
          <w:sz w:val="24"/>
          <w:szCs w:val="24"/>
        </w:rPr>
        <w:t>The</w:t>
      </w:r>
      <w:proofErr w:type="gramEnd"/>
      <w:r>
        <w:rPr>
          <w:b/>
          <w:bCs/>
          <w:color w:val="1A1A1A"/>
          <w:sz w:val="24"/>
          <w:szCs w:val="24"/>
        </w:rPr>
        <w:t xml:space="preserve"> U.S. Power Grid</w:t>
      </w:r>
    </w:p>
    <w:p w14:paraId="079751FD" w14:textId="77777777" w:rsidR="00FB2303" w:rsidRDefault="00000000">
      <w:pPr>
        <w:spacing w:after="60"/>
      </w:pPr>
      <w:r>
        <w:rPr>
          <w:b/>
          <w:bCs/>
          <w:color w:val="1F3A5F"/>
          <w:sz w:val="18"/>
          <w:szCs w:val="18"/>
        </w:rPr>
        <w:t>WHAT HAPPENED</w:t>
      </w:r>
    </w:p>
    <w:p w14:paraId="53310F7B" w14:textId="77777777" w:rsidR="00FB2303" w:rsidRDefault="00000000">
      <w:pPr>
        <w:spacing w:after="160"/>
      </w:pPr>
      <w:r>
        <w:t>The President declared a national emergency concerning foreign-produced equipment used in the bulk-power system: the large generators and high-voltage transmission network that move electricity across regions, rather than local distribution lines. The order authorizes the Secretary of Energy to block future transactions or place conditions on existing equipment when foreign-linked hardware, software, maintenance, or remote-access capabilities create an undue risk of sabotage, unauthorized access, malicious remote action, or supply disruption. It is a risk-based authority, not a blanket ban on all foreign equipment.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52D70C4B"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1C2BC0D8" w14:textId="77777777" w:rsidR="00FB2303" w:rsidRDefault="00000000">
            <w:pPr>
              <w:spacing w:after="40"/>
            </w:pPr>
            <w:r>
              <w:rPr>
                <w:b/>
                <w:bCs/>
                <w:color w:val="9B2C2C"/>
                <w:sz w:val="18"/>
                <w:szCs w:val="18"/>
              </w:rPr>
              <w:t>WHY IT MATTERS</w:t>
            </w:r>
          </w:p>
          <w:p w14:paraId="5591EC2B" w14:textId="77777777" w:rsidR="00FB2303" w:rsidRDefault="00000000">
            <w:pPr>
              <w:spacing w:after="140"/>
            </w:pPr>
            <w:r>
              <w:rPr>
                <w:sz w:val="20"/>
                <w:szCs w:val="20"/>
              </w:rPr>
              <w:t>New federal authority can now block or condition transactions involving foreign-linked bulk-power equipment, directly affecting vendors, utilities, and any organization dependent on grid reliability.</w:t>
            </w:r>
          </w:p>
          <w:p w14:paraId="5A1E1552" w14:textId="77777777" w:rsidR="00FB2303" w:rsidRDefault="00000000">
            <w:pPr>
              <w:spacing w:after="40"/>
            </w:pPr>
            <w:r>
              <w:rPr>
                <w:b/>
                <w:bCs/>
                <w:color w:val="1F6F54"/>
                <w:sz w:val="18"/>
                <w:szCs w:val="18"/>
              </w:rPr>
              <w:t>LEADERSHIP TAKEAWAY</w:t>
            </w:r>
          </w:p>
          <w:p w14:paraId="4F24D39D" w14:textId="77777777" w:rsidR="00FB2303" w:rsidRDefault="00000000">
            <w:r>
              <w:rPr>
                <w:sz w:val="20"/>
                <w:szCs w:val="20"/>
              </w:rPr>
              <w:t>Audit critical-infrastructure supply chains for foreign-sourced equipment, embedded software, and remote-access dependencies that could trigger review under this new authority.</w:t>
            </w:r>
          </w:p>
        </w:tc>
      </w:tr>
    </w:tbl>
    <w:p w14:paraId="1EFF866B" w14:textId="77777777" w:rsidR="00FB2303" w:rsidRDefault="00FB2303">
      <w:pPr>
        <w:spacing w:after="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1D9ECD3F" w14:textId="77777777">
        <w:tblPrEx>
          <w:tblCellMar>
            <w:top w:w="0" w:type="dxa"/>
            <w:bottom w:w="0" w:type="dxa"/>
          </w:tblCellMar>
        </w:tblPrEx>
        <w:trPr>
          <w:cantSplit/>
        </w:trPr>
        <w:tc>
          <w:tcPr>
            <w:tcW w:w="9648" w:type="dxa"/>
            <w:tcBorders>
              <w:top w:val="single" w:sz="4" w:space="0" w:color="1F3A5F"/>
              <w:left w:val="single" w:sz="4" w:space="0" w:color="1F3A5F"/>
              <w:bottom w:val="single" w:sz="4" w:space="0" w:color="1F3A5F"/>
              <w:right w:val="single" w:sz="4" w:space="0" w:color="1F3A5F"/>
            </w:tcBorders>
            <w:shd w:val="clear" w:color="auto" w:fill="EDF1F7"/>
            <w:tcMar>
              <w:top w:w="180" w:type="dxa"/>
              <w:left w:w="240" w:type="dxa"/>
              <w:bottom w:w="180" w:type="dxa"/>
              <w:right w:w="240" w:type="dxa"/>
            </w:tcMar>
          </w:tcPr>
          <w:p w14:paraId="4BD4834C" w14:textId="77777777" w:rsidR="00FB2303" w:rsidRDefault="00000000">
            <w:pPr>
              <w:spacing w:after="120"/>
            </w:pPr>
            <w:r>
              <w:rPr>
                <w:b/>
                <w:bCs/>
                <w:color w:val="1F3A5F"/>
                <w:sz w:val="20"/>
                <w:szCs w:val="20"/>
              </w:rPr>
              <w:t>THIS WEEK'S LEADERSHIP PRIORITIES</w:t>
            </w:r>
          </w:p>
          <w:p w14:paraId="32BDDEF1" w14:textId="77777777" w:rsidR="00FB2303" w:rsidRDefault="00000000">
            <w:pPr>
              <w:spacing w:after="100"/>
            </w:pPr>
            <w:r>
              <w:rPr>
                <w:b/>
                <w:bCs/>
                <w:color w:val="1F3A5F"/>
                <w:sz w:val="20"/>
                <w:szCs w:val="20"/>
              </w:rPr>
              <w:t xml:space="preserve">Exposure.  </w:t>
            </w:r>
            <w:r>
              <w:rPr>
                <w:sz w:val="20"/>
                <w:szCs w:val="20"/>
              </w:rPr>
              <w:t>Prioritize reviews of stand-alone and legacy systems according to mission consequence, not merely network location.</w:t>
            </w:r>
          </w:p>
          <w:p w14:paraId="391E7F58" w14:textId="77777777" w:rsidR="00FB2303" w:rsidRDefault="00000000">
            <w:pPr>
              <w:spacing w:after="100"/>
            </w:pPr>
            <w:r>
              <w:rPr>
                <w:b/>
                <w:bCs/>
                <w:color w:val="1F3A5F"/>
                <w:sz w:val="20"/>
                <w:szCs w:val="20"/>
              </w:rPr>
              <w:t xml:space="preserve">Supply chain.  </w:t>
            </w:r>
            <w:r>
              <w:rPr>
                <w:sz w:val="20"/>
                <w:szCs w:val="20"/>
              </w:rPr>
              <w:t>Require critical procurements to assess foreign ownership, embedded software, remote access, maintenance dependencies, and replacement options.</w:t>
            </w:r>
          </w:p>
          <w:p w14:paraId="62082ADC" w14:textId="77777777" w:rsidR="00FB2303" w:rsidRDefault="00000000">
            <w:pPr>
              <w:spacing w:after="100"/>
            </w:pPr>
            <w:r>
              <w:rPr>
                <w:b/>
                <w:bCs/>
                <w:color w:val="1F3A5F"/>
                <w:sz w:val="20"/>
                <w:szCs w:val="20"/>
              </w:rPr>
              <w:t xml:space="preserve">Resilience.  </w:t>
            </w:r>
            <w:r>
              <w:rPr>
                <w:sz w:val="20"/>
                <w:szCs w:val="20"/>
              </w:rPr>
              <w:t>Test whether essential operations can continue through an extended cyber disruption, including manual alternatives and executive decision authorities.</w:t>
            </w:r>
          </w:p>
          <w:p w14:paraId="6E61163B" w14:textId="77777777" w:rsidR="00FB2303" w:rsidRDefault="00000000">
            <w:r>
              <w:rPr>
                <w:b/>
                <w:bCs/>
                <w:color w:val="1F3A5F"/>
                <w:sz w:val="20"/>
                <w:szCs w:val="20"/>
              </w:rPr>
              <w:t xml:space="preserve">Accountability.  </w:t>
            </w:r>
            <w:r>
              <w:rPr>
                <w:sz w:val="20"/>
                <w:szCs w:val="20"/>
              </w:rPr>
              <w:t>Name the systems that would create the greatest mission impact if compromised and assign an executive owner for reducing each risk.</w:t>
            </w:r>
          </w:p>
        </w:tc>
      </w:tr>
    </w:tbl>
    <w:p w14:paraId="7034AE72" w14:textId="77777777" w:rsidR="00FB2303" w:rsidRDefault="00000000">
      <w:pPr>
        <w:pStyle w:val="Heading1"/>
        <w:pBdr>
          <w:bottom w:val="single" w:sz="16" w:space="4" w:color="1F3A5F"/>
        </w:pBdr>
        <w:spacing w:before="480" w:after="120"/>
      </w:pPr>
      <w:r>
        <w:rPr>
          <w:b/>
          <w:bCs/>
          <w:color w:val="1F3A5F"/>
          <w:sz w:val="30"/>
          <w:szCs w:val="30"/>
        </w:rPr>
        <w:lastRenderedPageBreak/>
        <w:t>DATA, ARCHITECTURE &amp; CLOUD</w:t>
      </w:r>
    </w:p>
    <w:p w14:paraId="30152CF9" w14:textId="77777777" w:rsidR="00FB2303" w:rsidRDefault="00000000">
      <w:pPr>
        <w:pStyle w:val="Heading2"/>
        <w:spacing w:before="320" w:after="100"/>
      </w:pPr>
      <w:r>
        <w:rPr>
          <w:b/>
          <w:bCs/>
          <w:color w:val="2E5395"/>
          <w:sz w:val="24"/>
          <w:szCs w:val="24"/>
        </w:rPr>
        <w:t xml:space="preserve">01.  </w:t>
      </w:r>
      <w:r>
        <w:rPr>
          <w:b/>
          <w:bCs/>
          <w:color w:val="1A1A1A"/>
          <w:sz w:val="24"/>
          <w:szCs w:val="24"/>
        </w:rPr>
        <w:t>Google Commits $15 Billion To New AI Hyperscale Data Center Campus</w:t>
      </w:r>
    </w:p>
    <w:p w14:paraId="376B131E" w14:textId="77777777" w:rsidR="00FB2303" w:rsidRDefault="00000000">
      <w:pPr>
        <w:spacing w:after="60"/>
      </w:pPr>
      <w:r>
        <w:rPr>
          <w:b/>
          <w:bCs/>
          <w:color w:val="1F3A5F"/>
          <w:sz w:val="18"/>
          <w:szCs w:val="18"/>
        </w:rPr>
        <w:t>WHAT HAPPENED</w:t>
      </w:r>
    </w:p>
    <w:p w14:paraId="21C92464" w14:textId="77777777" w:rsidR="00FB2303" w:rsidRDefault="00000000">
      <w:pPr>
        <w:spacing w:after="160"/>
      </w:pPr>
      <w:r>
        <w:t xml:space="preserve">Google announced a $15 billion commitment to a new AI hyperscale data center campus in Missouri, one of the largest single AI infrastructure investments disclosed this year and part of a broader wave of </w:t>
      </w:r>
      <w:proofErr w:type="spellStart"/>
      <w:r>
        <w:t>hyperscaler</w:t>
      </w:r>
      <w:proofErr w:type="spellEnd"/>
      <w:r>
        <w:t xml:space="preserve"> capacity announcements in August 2026.</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05263E00" w14:textId="77777777">
        <w:tblPrEx>
          <w:tblCellMar>
            <w:top w:w="0" w:type="dxa"/>
            <w:bottom w:w="0" w:type="dxa"/>
          </w:tblCellMar>
        </w:tblPrEx>
        <w:trPr>
          <w:cantSplit/>
        </w:trPr>
        <w:tc>
          <w:tcPr>
            <w:tcW w:w="9648" w:type="dxa"/>
            <w:tcBorders>
              <w:top w:val="single" w:sz="4" w:space="0" w:color="C9CED6"/>
              <w:left w:val="single" w:sz="18" w:space="0" w:color="2E5395"/>
              <w:bottom w:val="single" w:sz="4" w:space="0" w:color="C9CED6"/>
              <w:right w:val="single" w:sz="4" w:space="0" w:color="C9CED6"/>
            </w:tcBorders>
            <w:shd w:val="clear" w:color="auto" w:fill="F4F6F9"/>
            <w:tcMar>
              <w:top w:w="160" w:type="dxa"/>
              <w:left w:w="220" w:type="dxa"/>
              <w:bottom w:w="160" w:type="dxa"/>
              <w:right w:w="220" w:type="dxa"/>
            </w:tcMar>
          </w:tcPr>
          <w:p w14:paraId="3C85D689" w14:textId="77777777" w:rsidR="00FB2303" w:rsidRDefault="00000000">
            <w:pPr>
              <w:spacing w:after="40"/>
            </w:pPr>
            <w:r>
              <w:rPr>
                <w:b/>
                <w:bCs/>
                <w:color w:val="9B2C2C"/>
                <w:sz w:val="18"/>
                <w:szCs w:val="18"/>
              </w:rPr>
              <w:t>WHY IT MATTERS</w:t>
            </w:r>
          </w:p>
          <w:p w14:paraId="7584272C" w14:textId="77777777" w:rsidR="00FB2303" w:rsidRDefault="00000000">
            <w:pPr>
              <w:spacing w:after="140"/>
            </w:pPr>
            <w:r>
              <w:rPr>
                <w:sz w:val="20"/>
                <w:szCs w:val="20"/>
              </w:rPr>
              <w:t xml:space="preserve">It signals that major cloud providers are locking in massive, multi-year capacity commitments to meet AI compute demand, which will shape availability, pricing, and lead times for any enterprise relying on </w:t>
            </w:r>
            <w:proofErr w:type="spellStart"/>
            <w:r>
              <w:rPr>
                <w:sz w:val="20"/>
                <w:szCs w:val="20"/>
              </w:rPr>
              <w:t>hyperscaler</w:t>
            </w:r>
            <w:proofErr w:type="spellEnd"/>
            <w:r>
              <w:rPr>
                <w:sz w:val="20"/>
                <w:szCs w:val="20"/>
              </w:rPr>
              <w:t xml:space="preserve"> capacity.</w:t>
            </w:r>
          </w:p>
          <w:p w14:paraId="69DFC848" w14:textId="77777777" w:rsidR="00FB2303" w:rsidRDefault="00000000">
            <w:pPr>
              <w:spacing w:after="40"/>
            </w:pPr>
            <w:r>
              <w:rPr>
                <w:b/>
                <w:bCs/>
                <w:color w:val="1F6F54"/>
                <w:sz w:val="18"/>
                <w:szCs w:val="18"/>
              </w:rPr>
              <w:t>LEADERSHIP TAKEAWAY</w:t>
            </w:r>
          </w:p>
          <w:p w14:paraId="49135164" w14:textId="77777777" w:rsidR="00FB2303" w:rsidRDefault="00000000">
            <w:r>
              <w:rPr>
                <w:sz w:val="20"/>
                <w:szCs w:val="20"/>
              </w:rPr>
              <w:t xml:space="preserve">Revisit cloud capacity planning and contract timing assumptions </w:t>
            </w:r>
            <w:proofErr w:type="gramStart"/>
            <w:r>
              <w:rPr>
                <w:sz w:val="20"/>
                <w:szCs w:val="20"/>
              </w:rPr>
              <w:t>in light of</w:t>
            </w:r>
            <w:proofErr w:type="gramEnd"/>
            <w:r>
              <w:rPr>
                <w:sz w:val="20"/>
                <w:szCs w:val="20"/>
              </w:rPr>
              <w:t xml:space="preserve"> continued large-scale </w:t>
            </w:r>
            <w:proofErr w:type="spellStart"/>
            <w:r>
              <w:rPr>
                <w:sz w:val="20"/>
                <w:szCs w:val="20"/>
              </w:rPr>
              <w:t>hyperscaler</w:t>
            </w:r>
            <w:proofErr w:type="spellEnd"/>
            <w:r>
              <w:rPr>
                <w:sz w:val="20"/>
                <w:szCs w:val="20"/>
              </w:rPr>
              <w:t xml:space="preserve"> build-out, particularly for AI workloads with long provisioning lead times.</w:t>
            </w:r>
          </w:p>
        </w:tc>
      </w:tr>
    </w:tbl>
    <w:p w14:paraId="27254338" w14:textId="77777777" w:rsidR="00FB2303" w:rsidRDefault="00FB2303">
      <w:pPr>
        <w:spacing w:after="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FB2303" w14:paraId="5217391C" w14:textId="77777777">
        <w:tblPrEx>
          <w:tblCellMar>
            <w:top w:w="0" w:type="dxa"/>
            <w:bottom w:w="0" w:type="dxa"/>
          </w:tblCellMar>
        </w:tblPrEx>
        <w:trPr>
          <w:cantSplit/>
        </w:trPr>
        <w:tc>
          <w:tcPr>
            <w:tcW w:w="9648" w:type="dxa"/>
            <w:tcBorders>
              <w:top w:val="single" w:sz="4" w:space="0" w:color="1F3A5F"/>
              <w:left w:val="single" w:sz="4" w:space="0" w:color="1F3A5F"/>
              <w:bottom w:val="single" w:sz="4" w:space="0" w:color="1F3A5F"/>
              <w:right w:val="single" w:sz="4" w:space="0" w:color="1F3A5F"/>
            </w:tcBorders>
            <w:shd w:val="clear" w:color="auto" w:fill="EDF1F7"/>
            <w:tcMar>
              <w:top w:w="180" w:type="dxa"/>
              <w:left w:w="240" w:type="dxa"/>
              <w:bottom w:w="180" w:type="dxa"/>
              <w:right w:w="240" w:type="dxa"/>
            </w:tcMar>
          </w:tcPr>
          <w:p w14:paraId="5B907E2E" w14:textId="77777777" w:rsidR="00FB2303" w:rsidRDefault="00000000">
            <w:pPr>
              <w:spacing w:after="120"/>
            </w:pPr>
            <w:r>
              <w:rPr>
                <w:b/>
                <w:bCs/>
                <w:color w:val="1F3A5F"/>
                <w:sz w:val="20"/>
                <w:szCs w:val="20"/>
              </w:rPr>
              <w:t>THIS WEEK'S LEADERSHIP PRIORITIES</w:t>
            </w:r>
          </w:p>
          <w:p w14:paraId="51458573" w14:textId="77777777" w:rsidR="00FB2303" w:rsidRDefault="00000000">
            <w:pPr>
              <w:spacing w:after="100"/>
            </w:pPr>
            <w:r>
              <w:rPr>
                <w:b/>
                <w:bCs/>
                <w:color w:val="1F3A5F"/>
                <w:sz w:val="20"/>
                <w:szCs w:val="20"/>
              </w:rPr>
              <w:t xml:space="preserve">Capacity.  </w:t>
            </w:r>
            <w:r>
              <w:rPr>
                <w:sz w:val="20"/>
                <w:szCs w:val="20"/>
              </w:rPr>
              <w:t xml:space="preserve">Validate AI compute demand forecasts against realistic </w:t>
            </w:r>
            <w:proofErr w:type="spellStart"/>
            <w:r>
              <w:rPr>
                <w:sz w:val="20"/>
                <w:szCs w:val="20"/>
              </w:rPr>
              <w:t>hyperscaler</w:t>
            </w:r>
            <w:proofErr w:type="spellEnd"/>
            <w:r>
              <w:rPr>
                <w:sz w:val="20"/>
                <w:szCs w:val="20"/>
              </w:rPr>
              <w:t xml:space="preserve"> lead times before committing budget or project timelines.</w:t>
            </w:r>
          </w:p>
          <w:p w14:paraId="731D6557" w14:textId="77777777" w:rsidR="00FB2303" w:rsidRDefault="00000000">
            <w:pPr>
              <w:spacing w:after="100"/>
            </w:pPr>
            <w:r>
              <w:rPr>
                <w:b/>
                <w:bCs/>
                <w:color w:val="1F3A5F"/>
                <w:sz w:val="20"/>
                <w:szCs w:val="20"/>
              </w:rPr>
              <w:t xml:space="preserve">Concentration.  </w:t>
            </w:r>
            <w:r>
              <w:rPr>
                <w:sz w:val="20"/>
                <w:szCs w:val="20"/>
              </w:rPr>
              <w:t>Map how dependent your AI roadmap has become on a single cloud provider, and what a delay or price change from any one of them would mean.</w:t>
            </w:r>
          </w:p>
          <w:p w14:paraId="49C5AF45" w14:textId="77777777" w:rsidR="00FB2303" w:rsidRDefault="00000000">
            <w:pPr>
              <w:spacing w:after="100"/>
            </w:pPr>
            <w:r>
              <w:rPr>
                <w:b/>
                <w:bCs/>
                <w:color w:val="1F3A5F"/>
                <w:sz w:val="20"/>
                <w:szCs w:val="20"/>
              </w:rPr>
              <w:t xml:space="preserve">Investment signal.  </w:t>
            </w:r>
            <w:r>
              <w:rPr>
                <w:sz w:val="20"/>
                <w:szCs w:val="20"/>
              </w:rPr>
              <w:t xml:space="preserve">Track major </w:t>
            </w:r>
            <w:proofErr w:type="spellStart"/>
            <w:r>
              <w:rPr>
                <w:sz w:val="20"/>
                <w:szCs w:val="20"/>
              </w:rPr>
              <w:t>hyperscaler</w:t>
            </w:r>
            <w:proofErr w:type="spellEnd"/>
            <w:r>
              <w:rPr>
                <w:sz w:val="20"/>
                <w:szCs w:val="20"/>
              </w:rPr>
              <w:t xml:space="preserve"> capacity commitments as an early indicator of where AI compute pricing and availability are heading.</w:t>
            </w:r>
          </w:p>
          <w:p w14:paraId="3FE1BCDD" w14:textId="77777777" w:rsidR="00FB2303" w:rsidRDefault="00000000">
            <w:r>
              <w:rPr>
                <w:b/>
                <w:bCs/>
                <w:color w:val="1F3A5F"/>
                <w:sz w:val="20"/>
                <w:szCs w:val="20"/>
              </w:rPr>
              <w:t xml:space="preserve">Location risk.  </w:t>
            </w:r>
            <w:r>
              <w:rPr>
                <w:sz w:val="20"/>
                <w:szCs w:val="20"/>
              </w:rPr>
              <w:t>Factor power availability, connectivity, and regional regulation into decisions about where AI workloads and data will run.</w:t>
            </w:r>
          </w:p>
        </w:tc>
      </w:tr>
    </w:tbl>
    <w:p w14:paraId="5FF6C44E" w14:textId="77777777" w:rsidR="00FF7473" w:rsidRDefault="00FF7473"/>
    <w:sectPr w:rsidR="00FF7473">
      <w:headerReference w:type="default" r:id="rId7"/>
      <w:footerReference w:type="default" r:id="rId8"/>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43CC0E" w14:textId="77777777" w:rsidR="00FF7473" w:rsidRDefault="00FF7473">
      <w:r>
        <w:separator/>
      </w:r>
    </w:p>
  </w:endnote>
  <w:endnote w:type="continuationSeparator" w:id="0">
    <w:p w14:paraId="27CDF8D1" w14:textId="77777777" w:rsidR="00FF7473" w:rsidRDefault="00FF7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C3463" w14:textId="77777777" w:rsidR="00FB2303" w:rsidRDefault="00000000">
    <w:pPr>
      <w:pBdr>
        <w:top w:val="single" w:sz="4" w:space="4" w:color="C9CED6"/>
      </w:pBdr>
      <w:jc w:val="center"/>
    </w:pPr>
    <w:r>
      <w:rPr>
        <w:color w:val="8A93A0"/>
        <w:sz w:val="14"/>
        <w:szCs w:val="14"/>
      </w:rPr>
      <w:t xml:space="preserve">Week ending August 30, </w:t>
    </w:r>
    <w:proofErr w:type="gramStart"/>
    <w:r>
      <w:rPr>
        <w:color w:val="8A93A0"/>
        <w:sz w:val="14"/>
        <w:szCs w:val="14"/>
      </w:rPr>
      <w:t>2026</w:t>
    </w:r>
    <w:proofErr w:type="gramEnd"/>
    <w:r>
      <w:rPr>
        <w:color w:val="8A93A0"/>
        <w:sz w:val="14"/>
        <w:szCs w:val="14"/>
      </w:rPr>
      <w:t xml:space="preserve">   |   Page </w:t>
    </w:r>
    <w:r>
      <w:rPr>
        <w:color w:val="8A93A0"/>
        <w:sz w:val="14"/>
        <w:szCs w:val="14"/>
      </w:rPr>
      <w:fldChar w:fldCharType="begin"/>
    </w:r>
    <w:r>
      <w:rPr>
        <w:color w:val="8A93A0"/>
        <w:sz w:val="14"/>
        <w:szCs w:val="14"/>
      </w:rPr>
      <w:instrText>PAGE</w:instrText>
    </w:r>
    <w:r>
      <w:rPr>
        <w:color w:val="8A93A0"/>
        <w:sz w:val="14"/>
        <w:szCs w:val="14"/>
      </w:rPr>
      <w:fldChar w:fldCharType="separate"/>
    </w:r>
    <w:r w:rsidR="003C7018">
      <w:rPr>
        <w:noProof/>
        <w:color w:val="8A93A0"/>
        <w:sz w:val="14"/>
        <w:szCs w:val="14"/>
      </w:rPr>
      <w:t>1</w:t>
    </w:r>
    <w:r>
      <w:rPr>
        <w:color w:val="8A93A0"/>
        <w:sz w:val="14"/>
        <w:szCs w:val="14"/>
      </w:rPr>
      <w:fldChar w:fldCharType="end"/>
    </w:r>
    <w:r>
      <w:rPr>
        <w:color w:val="8A93A0"/>
        <w:sz w:val="14"/>
        <w:szCs w:val="14"/>
      </w:rPr>
      <w:t xml:space="preserve"> of </w:t>
    </w:r>
    <w:r>
      <w:rPr>
        <w:color w:val="8A93A0"/>
        <w:sz w:val="14"/>
        <w:szCs w:val="14"/>
      </w:rPr>
      <w:fldChar w:fldCharType="begin"/>
    </w:r>
    <w:r>
      <w:rPr>
        <w:color w:val="8A93A0"/>
        <w:sz w:val="14"/>
        <w:szCs w:val="14"/>
      </w:rPr>
      <w:instrText>NUMPAGES</w:instrText>
    </w:r>
    <w:r>
      <w:rPr>
        <w:color w:val="8A93A0"/>
        <w:sz w:val="14"/>
        <w:szCs w:val="14"/>
      </w:rPr>
      <w:fldChar w:fldCharType="separate"/>
    </w:r>
    <w:r w:rsidR="003C7018">
      <w:rPr>
        <w:noProof/>
        <w:color w:val="8A93A0"/>
        <w:sz w:val="14"/>
        <w:szCs w:val="14"/>
      </w:rPr>
      <w:t>2</w:t>
    </w:r>
    <w:r>
      <w:rPr>
        <w:color w:val="8A93A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3709BC" w14:textId="77777777" w:rsidR="00FF7473" w:rsidRDefault="00FF7473">
      <w:r>
        <w:separator/>
      </w:r>
    </w:p>
  </w:footnote>
  <w:footnote w:type="continuationSeparator" w:id="0">
    <w:p w14:paraId="0BFDA34E" w14:textId="77777777" w:rsidR="00FF7473" w:rsidRDefault="00FF7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99A56" w14:textId="77777777" w:rsidR="00FB2303" w:rsidRDefault="00000000">
    <w:pPr>
      <w:pBdr>
        <w:bottom w:val="single" w:sz="4" w:space="4" w:color="C9CED6"/>
      </w:pBdr>
      <w:jc w:val="right"/>
    </w:pPr>
    <w:r>
      <w:rPr>
        <w:color w:val="8A93A0"/>
        <w:sz w:val="14"/>
        <w:szCs w:val="14"/>
      </w:rPr>
      <w:t>TECH IN THE NEWS — WEEKLY EXECUTIVE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156090"/>
    <w:multiLevelType w:val="hybridMultilevel"/>
    <w:tmpl w:val="8032806E"/>
    <w:lvl w:ilvl="0" w:tplc="58F2D2A8">
      <w:start w:val="1"/>
      <w:numFmt w:val="bullet"/>
      <w:lvlText w:val="●"/>
      <w:lvlJc w:val="left"/>
      <w:pPr>
        <w:ind w:left="720" w:hanging="360"/>
      </w:pPr>
    </w:lvl>
    <w:lvl w:ilvl="1" w:tplc="FC8AD13C">
      <w:start w:val="1"/>
      <w:numFmt w:val="bullet"/>
      <w:lvlText w:val="○"/>
      <w:lvlJc w:val="left"/>
      <w:pPr>
        <w:ind w:left="1440" w:hanging="360"/>
      </w:pPr>
    </w:lvl>
    <w:lvl w:ilvl="2" w:tplc="70A25BDE">
      <w:start w:val="1"/>
      <w:numFmt w:val="bullet"/>
      <w:lvlText w:val="■"/>
      <w:lvlJc w:val="left"/>
      <w:pPr>
        <w:ind w:left="2160" w:hanging="360"/>
      </w:pPr>
    </w:lvl>
    <w:lvl w:ilvl="3" w:tplc="ED6AAFB8">
      <w:start w:val="1"/>
      <w:numFmt w:val="bullet"/>
      <w:lvlText w:val="●"/>
      <w:lvlJc w:val="left"/>
      <w:pPr>
        <w:ind w:left="2880" w:hanging="360"/>
      </w:pPr>
    </w:lvl>
    <w:lvl w:ilvl="4" w:tplc="BC1E5234">
      <w:start w:val="1"/>
      <w:numFmt w:val="bullet"/>
      <w:lvlText w:val="○"/>
      <w:lvlJc w:val="left"/>
      <w:pPr>
        <w:ind w:left="3600" w:hanging="360"/>
      </w:pPr>
    </w:lvl>
    <w:lvl w:ilvl="5" w:tplc="2D7AFFDA">
      <w:start w:val="1"/>
      <w:numFmt w:val="bullet"/>
      <w:lvlText w:val="■"/>
      <w:lvlJc w:val="left"/>
      <w:pPr>
        <w:ind w:left="4320" w:hanging="360"/>
      </w:pPr>
    </w:lvl>
    <w:lvl w:ilvl="6" w:tplc="D554AB5E">
      <w:start w:val="1"/>
      <w:numFmt w:val="bullet"/>
      <w:lvlText w:val="●"/>
      <w:lvlJc w:val="left"/>
      <w:pPr>
        <w:ind w:left="5040" w:hanging="360"/>
      </w:pPr>
    </w:lvl>
    <w:lvl w:ilvl="7" w:tplc="A59E2EF6">
      <w:start w:val="1"/>
      <w:numFmt w:val="bullet"/>
      <w:lvlText w:val="●"/>
      <w:lvlJc w:val="left"/>
      <w:pPr>
        <w:ind w:left="5760" w:hanging="360"/>
      </w:pPr>
    </w:lvl>
    <w:lvl w:ilvl="8" w:tplc="0638D782">
      <w:start w:val="1"/>
      <w:numFmt w:val="bullet"/>
      <w:lvlText w:val="●"/>
      <w:lvlJc w:val="left"/>
      <w:pPr>
        <w:ind w:left="6480" w:hanging="360"/>
      </w:pPr>
    </w:lvl>
  </w:abstractNum>
  <w:num w:numId="1" w16cid:durableId="13690643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303"/>
    <w:rsid w:val="002710ED"/>
    <w:rsid w:val="003C7018"/>
    <w:rsid w:val="007C6D6B"/>
    <w:rsid w:val="00BE2093"/>
    <w:rsid w:val="00FB2303"/>
    <w:rsid w:val="00FF7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8A6DFE"/>
  <w15:docId w15:val="{F21419F7-0445-D24B-9112-8286E86E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1554</Words>
  <Characters>8862</Characters>
  <Application>Microsoft Office Word</Application>
  <DocSecurity>0</DocSecurity>
  <Lines>73</Lines>
  <Paragraphs>20</Paragraphs>
  <ScaleCrop>false</ScaleCrop>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Baldwin</cp:lastModifiedBy>
  <cp:revision>4</cp:revision>
  <dcterms:created xsi:type="dcterms:W3CDTF">2026-08-31T02:14:00Z</dcterms:created>
  <dcterms:modified xsi:type="dcterms:W3CDTF">2026-08-31T09:16:00Z</dcterms:modified>
</cp:coreProperties>
</file>