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9E8EB" w14:textId="3E66FE43" w:rsidR="0053108F" w:rsidRPr="00F70EEC" w:rsidRDefault="0053108F" w:rsidP="00F70EEC">
      <w:pPr>
        <w:jc w:val="center"/>
        <w:rPr>
          <w:rFonts w:ascii="Times New Roman" w:hAnsi="Times New Roman" w:cs="Times New Roman"/>
          <w:sz w:val="44"/>
          <w:szCs w:val="44"/>
        </w:rPr>
      </w:pPr>
      <w:r w:rsidRPr="00D76BD5">
        <w:rPr>
          <w:rFonts w:ascii="Times New Roman" w:hAnsi="Times New Roman" w:cs="Times New Roman"/>
          <w:sz w:val="44"/>
          <w:szCs w:val="44"/>
        </w:rPr>
        <w:t>Final Project Report: Portfolio Risk Analysis</w:t>
      </w:r>
    </w:p>
    <w:p w14:paraId="4E400866" w14:textId="3F062494" w:rsidR="0053108F" w:rsidRPr="00D76BD5" w:rsidRDefault="0053108F" w:rsidP="00531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6BD5">
        <w:rPr>
          <w:rFonts w:ascii="Times New Roman" w:hAnsi="Times New Roman" w:cs="Times New Roman"/>
          <w:b/>
          <w:bCs/>
          <w:sz w:val="30"/>
          <w:szCs w:val="30"/>
        </w:rPr>
        <w:t>Abstract</w:t>
      </w:r>
    </w:p>
    <w:p w14:paraId="4D2D8FC5" w14:textId="6FCF386E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This project aims to analyze and compare the risk and return characteristics of three portfolios: Value, Growth, and Industrial. Multiple Value-at-Risk (</w:t>
      </w:r>
      <w:proofErr w:type="spellStart"/>
      <w:r w:rsidRPr="00D76BD5">
        <w:rPr>
          <w:rFonts w:ascii="Times New Roman" w:hAnsi="Times New Roman" w:cs="Times New Roman"/>
        </w:rPr>
        <w:t>VaR</w:t>
      </w:r>
      <w:proofErr w:type="spellEnd"/>
      <w:r w:rsidRPr="00D76BD5">
        <w:rPr>
          <w:rFonts w:ascii="Times New Roman" w:hAnsi="Times New Roman" w:cs="Times New Roman"/>
        </w:rPr>
        <w:t>) methodologies and additional risk metrics are applied to assess downside risk and overall portfolio performance.</w:t>
      </w:r>
    </w:p>
    <w:p w14:paraId="67F15D45" w14:textId="69B604D3" w:rsidR="0053108F" w:rsidRPr="00D76BD5" w:rsidRDefault="0053108F" w:rsidP="00531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6BD5">
        <w:rPr>
          <w:rFonts w:ascii="Times New Roman" w:hAnsi="Times New Roman" w:cs="Times New Roman"/>
          <w:b/>
          <w:bCs/>
          <w:sz w:val="30"/>
          <w:szCs w:val="30"/>
        </w:rPr>
        <w:t>Portfolios Selected</w:t>
      </w:r>
    </w:p>
    <w:p w14:paraId="3193FEB4" w14:textId="1035253D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Value Portfolio</w:t>
      </w:r>
      <w:r w:rsidRPr="00D76BD5">
        <w:rPr>
          <w:rFonts w:ascii="Times New Roman" w:hAnsi="Times New Roman" w:cs="Times New Roman"/>
        </w:rPr>
        <w:t>:</w:t>
      </w:r>
      <w:r w:rsidRPr="00D76BD5">
        <w:rPr>
          <w:rFonts w:ascii="Times New Roman" w:hAnsi="Times New Roman" w:cs="Times New Roman"/>
        </w:rPr>
        <w:t xml:space="preserve"> JNJ, PG, KO, PEP, WMT, XOM, IBM, MCD, MMM, CVX.</w:t>
      </w:r>
    </w:p>
    <w:p w14:paraId="159F02AE" w14:textId="61E240EB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Growth Portfolio: AAPL, MSFT, AMZN, GOOGL, NFLX, NVDA, ADBE, CRM,</w:t>
      </w:r>
      <w:r w:rsidRPr="00D76BD5">
        <w:rPr>
          <w:rFonts w:ascii="Times New Roman" w:hAnsi="Times New Roman" w:cs="Times New Roman"/>
        </w:rPr>
        <w:t xml:space="preserve"> </w:t>
      </w:r>
      <w:r w:rsidRPr="00D76BD5">
        <w:rPr>
          <w:rFonts w:ascii="Times New Roman" w:hAnsi="Times New Roman" w:cs="Times New Roman"/>
        </w:rPr>
        <w:t>META, TSLA.</w:t>
      </w:r>
    </w:p>
    <w:p w14:paraId="169A6A1C" w14:textId="3FE15435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Industrial ETF Portfolio: XLI, IYJ, VIS, ITA, FXR, PIL, IGV, SOXX, PPA, FTEC.</w:t>
      </w:r>
    </w:p>
    <w:p w14:paraId="751D8083" w14:textId="6064E1A6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Each portfolio is equally weighted.</w:t>
      </w:r>
    </w:p>
    <w:p w14:paraId="07D82265" w14:textId="694FB19E" w:rsidR="0053108F" w:rsidRPr="00D76BD5" w:rsidRDefault="0053108F" w:rsidP="00531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6BD5">
        <w:rPr>
          <w:rFonts w:ascii="Times New Roman" w:hAnsi="Times New Roman" w:cs="Times New Roman"/>
          <w:b/>
          <w:bCs/>
          <w:sz w:val="30"/>
          <w:szCs w:val="30"/>
        </w:rPr>
        <w:t>Data Source and Preprocessing</w:t>
      </w:r>
    </w:p>
    <w:p w14:paraId="09AC3976" w14:textId="507D63D1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Source:</w:t>
      </w:r>
      <w:r w:rsidRPr="00D76BD5">
        <w:rPr>
          <w:rFonts w:ascii="Times New Roman" w:hAnsi="Times New Roman" w:cs="Times New Roman"/>
        </w:rPr>
        <w:t xml:space="preserve"> </w:t>
      </w:r>
      <w:r w:rsidRPr="00D76BD5">
        <w:rPr>
          <w:rFonts w:ascii="Times New Roman" w:hAnsi="Times New Roman" w:cs="Times New Roman"/>
        </w:rPr>
        <w:t xml:space="preserve">Yahoo Finance via </w:t>
      </w:r>
      <w:proofErr w:type="spellStart"/>
      <w:r w:rsidRPr="00D76BD5">
        <w:rPr>
          <w:rFonts w:ascii="Times New Roman" w:hAnsi="Times New Roman" w:cs="Times New Roman"/>
          <w:i/>
          <w:iCs/>
        </w:rPr>
        <w:t>yfinance</w:t>
      </w:r>
      <w:proofErr w:type="spellEnd"/>
      <w:r w:rsidRPr="00D76BD5">
        <w:rPr>
          <w:rFonts w:ascii="Times New Roman" w:hAnsi="Times New Roman" w:cs="Times New Roman"/>
        </w:rPr>
        <w:t xml:space="preserve"> package.</w:t>
      </w:r>
    </w:p>
    <w:p w14:paraId="2F252342" w14:textId="5697840A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Period: 5 years of historical daily data</w:t>
      </w:r>
      <w:r w:rsidR="00F70EEC">
        <w:rPr>
          <w:rFonts w:ascii="Times New Roman" w:hAnsi="Times New Roman" w:cs="Times New Roman"/>
        </w:rPr>
        <w:t xml:space="preserve"> to 03/20/2025</w:t>
      </w:r>
      <w:r w:rsidRPr="00D76BD5">
        <w:rPr>
          <w:rFonts w:ascii="Times New Roman" w:hAnsi="Times New Roman" w:cs="Times New Roman"/>
        </w:rPr>
        <w:t>.</w:t>
      </w:r>
    </w:p>
    <w:p w14:paraId="3EC66814" w14:textId="7C11772D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Returns Computed As:</w:t>
      </w:r>
    </w:p>
    <w:p w14:paraId="5C939D95" w14:textId="03877DD4" w:rsidR="0053108F" w:rsidRPr="00D76BD5" w:rsidRDefault="0053108F" w:rsidP="0053108F">
      <w:pPr>
        <w:rPr>
          <w:rFonts w:ascii="Times New Roman" w:hAnsi="Times New Roman" w:cs="Times New Roman"/>
        </w:rPr>
      </w:pPr>
      <m:oMathPara>
        <m:oMath>
          <m:r>
            <m:rPr>
              <m:lit/>
            </m:rP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m:rPr>
              <m:lit/>
            </m:rPr>
            <w:rPr>
              <w:rFonts w:ascii="Cambria Math" w:hAnsi="Cambria Math" w:cs="Times New Roman"/>
            </w:rPr>
            <m:t>]</m:t>
          </m:r>
        </m:oMath>
      </m:oMathPara>
    </w:p>
    <w:p w14:paraId="1C05287A" w14:textId="367D85D9" w:rsidR="0053108F" w:rsidRPr="00D76BD5" w:rsidRDefault="0053108F" w:rsidP="0053108F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D76BD5">
        <w:rPr>
          <w:rFonts w:ascii="Times New Roman" w:hAnsi="Times New Roman" w:cs="Times New Roman"/>
          <w:b/>
          <w:bCs/>
          <w:sz w:val="30"/>
          <w:szCs w:val="30"/>
        </w:rPr>
        <w:t>VaR</w:t>
      </w:r>
      <w:proofErr w:type="spellEnd"/>
      <w:r w:rsidRPr="00D76BD5">
        <w:rPr>
          <w:rFonts w:ascii="Times New Roman" w:hAnsi="Times New Roman" w:cs="Times New Roman"/>
          <w:b/>
          <w:bCs/>
          <w:sz w:val="30"/>
          <w:szCs w:val="30"/>
        </w:rPr>
        <w:t xml:space="preserve"> Methodologies and Assumptions</w:t>
      </w:r>
    </w:p>
    <w:p w14:paraId="0CEE8659" w14:textId="027162FF" w:rsidR="0053108F" w:rsidRPr="00D76BD5" w:rsidRDefault="0053108F" w:rsidP="0053108F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 xml:space="preserve">1. Parametric Normal </w:t>
      </w:r>
      <w:proofErr w:type="spellStart"/>
      <w:r w:rsidRPr="00D76BD5">
        <w:rPr>
          <w:rFonts w:ascii="Times New Roman" w:hAnsi="Times New Roman" w:cs="Times New Roman"/>
        </w:rPr>
        <w:t>VaR</w:t>
      </w:r>
      <w:proofErr w:type="spellEnd"/>
      <w:r w:rsidRPr="00D76BD5">
        <w:rPr>
          <w:rFonts w:ascii="Times New Roman" w:hAnsi="Times New Roman" w:cs="Times New Roman"/>
        </w:rPr>
        <w:t>: Assumes returns are normally distributed.</w:t>
      </w:r>
    </w:p>
    <w:p w14:paraId="0AF5B455" w14:textId="0DDB9EB0" w:rsidR="0053108F" w:rsidRPr="00D76BD5" w:rsidRDefault="0053108F" w:rsidP="0053108F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lit/>
            </m:rP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/>
            </w:rPr>
            <m:t>VaR=-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α</m:t>
                  </m:r>
                </m:sub>
              </m:sSub>
              <m:r>
                <w:rPr>
                  <w:rFonts w:ascii="Cambria Math" w:hAnsi="Cambria Math" w:cs="Times New Roman"/>
                </w:rPr>
                <m:t>σ</m:t>
              </m:r>
            </m:e>
          </m:d>
          <m:r>
            <m:rPr>
              <m:lit/>
            </m:rPr>
            <w:rPr>
              <w:rFonts w:ascii="Cambria Math" w:hAnsi="Cambria Math" w:cs="Times New Roman"/>
            </w:rPr>
            <m:t>]</m:t>
          </m:r>
        </m:oMath>
      </m:oMathPara>
    </w:p>
    <w:p w14:paraId="0F13D57B" w14:textId="67E7D38D" w:rsidR="0053108F" w:rsidRPr="00D76BD5" w:rsidRDefault="0053108F" w:rsidP="0053108F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2. Historical Simulation: Uses historical returns.</w:t>
      </w:r>
    </w:p>
    <w:p w14:paraId="7D32ABAE" w14:textId="5FBE69B3" w:rsidR="0053108F" w:rsidRPr="00D76BD5" w:rsidRDefault="0053108F" w:rsidP="0053108F">
      <w:pPr>
        <w:rPr>
          <w:rFonts w:ascii="Times New Roman" w:hAnsi="Times New Roman" w:cs="Times New Roman"/>
        </w:rPr>
      </w:pPr>
      <m:oMathPara>
        <m:oMath>
          <m:r>
            <m:rPr>
              <m:lit/>
            </m:rP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/>
            </w:rPr>
            <m:t>VaR=-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</w:rPr>
                <m:t>Quantile</m:t>
              </m:r>
            </m:e>
            <m:sub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 w:cs="Times New Roman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m:rPr>
              <m:lit/>
            </m:rPr>
            <w:rPr>
              <w:rFonts w:ascii="Cambria Math" w:hAnsi="Cambria Math" w:cs="Times New Roman"/>
            </w:rPr>
            <m:t>]</m:t>
          </m:r>
        </m:oMath>
      </m:oMathPara>
    </w:p>
    <w:p w14:paraId="0E41E89B" w14:textId="26E9D012" w:rsidR="0053108F" w:rsidRPr="00D76BD5" w:rsidRDefault="0053108F" w:rsidP="0053108F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3. Monte Carlo Simulation: Simulates returns under normal distribution.</w:t>
      </w:r>
    </w:p>
    <w:p w14:paraId="3D116157" w14:textId="41866BAA" w:rsidR="0053108F" w:rsidRPr="00D76BD5" w:rsidRDefault="0053108F" w:rsidP="0053108F">
      <w:pPr>
        <w:ind w:left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4. GPD (Extreme Value Theory): Models tail losses using Generalized Pareto Distribution.</w:t>
      </w:r>
    </w:p>
    <w:p w14:paraId="716567FD" w14:textId="2B277D63" w:rsidR="0053108F" w:rsidRPr="00D76BD5" w:rsidRDefault="0053108F" w:rsidP="0053108F">
      <w:pPr>
        <w:ind w:left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5. Filtered Historical Simulation (FHS): Uses GARCH to filter volatility and simulate</w:t>
      </w:r>
      <w:r w:rsidRPr="00D76BD5">
        <w:rPr>
          <w:rFonts w:ascii="Times New Roman" w:hAnsi="Times New Roman" w:cs="Times New Roman"/>
        </w:rPr>
        <w:t xml:space="preserve"> </w:t>
      </w:r>
      <w:r w:rsidRPr="00D76BD5">
        <w:rPr>
          <w:rFonts w:ascii="Times New Roman" w:hAnsi="Times New Roman" w:cs="Times New Roman"/>
        </w:rPr>
        <w:lastRenderedPageBreak/>
        <w:t>returns.</w:t>
      </w:r>
    </w:p>
    <w:p w14:paraId="5A534B25" w14:textId="16F28A7C" w:rsidR="0053108F" w:rsidRPr="00D76BD5" w:rsidRDefault="0053108F" w:rsidP="0053108F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 xml:space="preserve">6. GARCH-Based </w:t>
      </w:r>
      <w:proofErr w:type="spellStart"/>
      <w:r w:rsidRPr="00D76BD5">
        <w:rPr>
          <w:rFonts w:ascii="Times New Roman" w:hAnsi="Times New Roman" w:cs="Times New Roman"/>
        </w:rPr>
        <w:t>VaR</w:t>
      </w:r>
      <w:proofErr w:type="spellEnd"/>
      <w:r w:rsidRPr="00D76BD5">
        <w:rPr>
          <w:rFonts w:ascii="Times New Roman" w:hAnsi="Times New Roman" w:cs="Times New Roman"/>
        </w:rPr>
        <w:t>: Conditional volatility from GARCH model.</w:t>
      </w:r>
    </w:p>
    <w:p w14:paraId="0E26C630" w14:textId="606C05CD" w:rsidR="0053108F" w:rsidRPr="00D76BD5" w:rsidRDefault="0053108F" w:rsidP="0053108F">
      <w:pPr>
        <w:jc w:val="center"/>
        <w:rPr>
          <w:rFonts w:ascii="Times New Roman" w:hAnsi="Times New Roman" w:cs="Times New Roman"/>
        </w:rPr>
      </w:pPr>
      <m:oMathPara>
        <m:oMath>
          <m:r>
            <m:rPr>
              <m:lit/>
            </m:rPr>
            <w:rPr>
              <w:rFonts w:ascii="Cambria Math" w:hAnsi="Cambria Math" w:cs="Times New Roman"/>
            </w:rPr>
            <m:t>[</m:t>
          </m:r>
          <m:r>
            <w:rPr>
              <w:rFonts w:ascii="Cambria Math" w:hAnsi="Cambria Math" w:cs="Times New Roman"/>
            </w:rPr>
            <m:t>VaR=-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rad>
                </m:sub>
              </m:sSub>
            </m:e>
          </m:d>
          <m:r>
            <m:rPr>
              <m:lit/>
            </m:rPr>
            <w:rPr>
              <w:rFonts w:ascii="Cambria Math" w:hAnsi="Cambria Math" w:cs="Times New Roman"/>
            </w:rPr>
            <m:t>]</m:t>
          </m:r>
        </m:oMath>
      </m:oMathPara>
    </w:p>
    <w:p w14:paraId="5E2B924C" w14:textId="0A35B2BB" w:rsidR="0053108F" w:rsidRPr="00D76BD5" w:rsidRDefault="0053108F" w:rsidP="0053108F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7. Cornish-Fisher Expansion: Adjusts normal quantile for skew and kurtosis.</w:t>
      </w:r>
    </w:p>
    <w:p w14:paraId="15671F00" w14:textId="22B6FB41" w:rsidR="0053108F" w:rsidRPr="00D76BD5" w:rsidRDefault="0053108F" w:rsidP="0053108F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8. Bootstrapping: Resamples returns with replacement.</w:t>
      </w:r>
    </w:p>
    <w:p w14:paraId="662AA9D2" w14:textId="700B2B08" w:rsidR="0053108F" w:rsidRPr="00D76BD5" w:rsidRDefault="0053108F" w:rsidP="0053108F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9. Kernel Density Estimation (KDE): Estimates return density non-parametrically.</w:t>
      </w:r>
    </w:p>
    <w:p w14:paraId="0DC1CFA2" w14:textId="790D2A3C" w:rsidR="0053108F" w:rsidRDefault="0053108F" w:rsidP="0053108F">
      <w:pPr>
        <w:ind w:left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10. Parametric t-Distribution: Assumes fat tails modeled with Student's t-distribution.</w:t>
      </w:r>
    </w:p>
    <w:p w14:paraId="55A3AE65" w14:textId="77777777" w:rsidR="00F70EEC" w:rsidRPr="00F70EEC" w:rsidRDefault="00F70EEC" w:rsidP="00F70EE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70EEC">
        <w:rPr>
          <w:rFonts w:ascii="Times New Roman" w:hAnsi="Times New Roman" w:cs="Times New Roman"/>
          <w:b/>
          <w:bCs/>
          <w:sz w:val="30"/>
          <w:szCs w:val="30"/>
        </w:rPr>
        <w:t>Statistical Tests</w:t>
      </w:r>
    </w:p>
    <w:p w14:paraId="03664EC8" w14:textId="77777777" w:rsidR="00F70EEC" w:rsidRPr="00F70EEC" w:rsidRDefault="00F70EEC" w:rsidP="00F70EEC">
      <w:pPr>
        <w:rPr>
          <w:rFonts w:ascii="Times New Roman" w:hAnsi="Times New Roman" w:cs="Times New Roman"/>
        </w:rPr>
      </w:pPr>
      <w:r w:rsidRPr="00F70EEC">
        <w:rPr>
          <w:rFonts w:ascii="Times New Roman" w:hAnsi="Times New Roman" w:cs="Times New Roman"/>
        </w:rPr>
        <w:t xml:space="preserve">Statistical assumptions were evaluated to verify the suitability of </w:t>
      </w:r>
      <w:proofErr w:type="spellStart"/>
      <w:r w:rsidRPr="00F70EEC">
        <w:rPr>
          <w:rFonts w:ascii="Times New Roman" w:hAnsi="Times New Roman" w:cs="Times New Roman"/>
        </w:rPr>
        <w:t>VaR</w:t>
      </w:r>
      <w:proofErr w:type="spellEnd"/>
      <w:r w:rsidRPr="00F70EEC">
        <w:rPr>
          <w:rFonts w:ascii="Times New Roman" w:hAnsi="Times New Roman" w:cs="Times New Roman"/>
        </w:rPr>
        <w:t xml:space="preserve"> methodologies for each portfolio.</w:t>
      </w:r>
    </w:p>
    <w:p w14:paraId="06E90C53" w14:textId="77777777" w:rsidR="00F70EEC" w:rsidRPr="00F70EEC" w:rsidRDefault="00F70EEC" w:rsidP="00F70EEC">
      <w:pPr>
        <w:ind w:left="420"/>
        <w:rPr>
          <w:rFonts w:ascii="Times New Roman" w:hAnsi="Times New Roman" w:cs="Times New Roman"/>
        </w:rPr>
      </w:pPr>
      <w:r w:rsidRPr="00F70EEC">
        <w:rPr>
          <w:rFonts w:ascii="Times New Roman" w:hAnsi="Times New Roman" w:cs="Times New Roman"/>
        </w:rPr>
        <w:t xml:space="preserve">Normality Tests: Shapiro-Wilk and Kolmogorov-Smirnov tests indicated that none of the portfolios followed a normal distribution (p-values &lt; 0.05). This supports the use of non-parametric and tail-sensitive </w:t>
      </w:r>
      <w:proofErr w:type="spellStart"/>
      <w:r w:rsidRPr="00F70EEC">
        <w:rPr>
          <w:rFonts w:ascii="Times New Roman" w:hAnsi="Times New Roman" w:cs="Times New Roman"/>
        </w:rPr>
        <w:t>VaR</w:t>
      </w:r>
      <w:proofErr w:type="spellEnd"/>
      <w:r w:rsidRPr="00F70EEC">
        <w:rPr>
          <w:rFonts w:ascii="Times New Roman" w:hAnsi="Times New Roman" w:cs="Times New Roman"/>
        </w:rPr>
        <w:t xml:space="preserve"> methods like KDE, Historical Simulation, and EVT.</w:t>
      </w:r>
    </w:p>
    <w:p w14:paraId="358A9270" w14:textId="77777777" w:rsidR="00F70EEC" w:rsidRPr="00F70EEC" w:rsidRDefault="00F70EEC" w:rsidP="00F70EEC">
      <w:pPr>
        <w:ind w:left="420"/>
        <w:rPr>
          <w:rFonts w:ascii="Times New Roman" w:hAnsi="Times New Roman" w:cs="Times New Roman"/>
        </w:rPr>
      </w:pPr>
      <w:r w:rsidRPr="00F70EEC">
        <w:rPr>
          <w:rFonts w:ascii="Times New Roman" w:hAnsi="Times New Roman" w:cs="Times New Roman"/>
        </w:rPr>
        <w:t>Autocorrelation &amp; Stationarity: </w:t>
      </w:r>
      <w:proofErr w:type="spellStart"/>
      <w:r w:rsidRPr="00F70EEC">
        <w:rPr>
          <w:rFonts w:ascii="Times New Roman" w:hAnsi="Times New Roman" w:cs="Times New Roman"/>
        </w:rPr>
        <w:t>Ljung</w:t>
      </w:r>
      <w:proofErr w:type="spellEnd"/>
      <w:r w:rsidRPr="00F70EEC">
        <w:rPr>
          <w:rFonts w:ascii="Times New Roman" w:hAnsi="Times New Roman" w:cs="Times New Roman"/>
        </w:rPr>
        <w:t xml:space="preserve">-Box tests on lag-10 autocorrelation revealed significant autocorrelation in returns, especially for the Value and Industrial portfolios. This suggests that returns may not be </w:t>
      </w:r>
      <w:proofErr w:type="spellStart"/>
      <w:r w:rsidRPr="00F70EEC">
        <w:rPr>
          <w:rFonts w:ascii="Times New Roman" w:hAnsi="Times New Roman" w:cs="Times New Roman"/>
        </w:rPr>
        <w:t>i.i.d.</w:t>
      </w:r>
      <w:proofErr w:type="spellEnd"/>
      <w:r w:rsidRPr="00F70EEC">
        <w:rPr>
          <w:rFonts w:ascii="Times New Roman" w:hAnsi="Times New Roman" w:cs="Times New Roman"/>
        </w:rPr>
        <w:t>, validating the use of GARCH and Filtered Historical Simulation methods.</w:t>
      </w:r>
    </w:p>
    <w:p w14:paraId="658B9169" w14:textId="15AD8F81" w:rsidR="00F70EEC" w:rsidRPr="00F70EEC" w:rsidRDefault="00F70EEC" w:rsidP="00F70EEC">
      <w:pPr>
        <w:ind w:left="420"/>
        <w:rPr>
          <w:rFonts w:ascii="Times New Roman" w:hAnsi="Times New Roman" w:cs="Times New Roman" w:hint="eastAsia"/>
        </w:rPr>
      </w:pPr>
      <w:r w:rsidRPr="00F70EEC">
        <w:rPr>
          <w:rFonts w:ascii="Times New Roman" w:hAnsi="Times New Roman" w:cs="Times New Roman"/>
        </w:rPr>
        <w:t xml:space="preserve">Tail Behavior: Anderson-Darling test results confirmed the presence of heavy tails in all portfolios, particularly in the Growth portfolio. This reinforces the appropriateness of using models like GPD and t-distribution-based </w:t>
      </w:r>
      <w:proofErr w:type="spellStart"/>
      <w:r w:rsidRPr="00F70EEC">
        <w:rPr>
          <w:rFonts w:ascii="Times New Roman" w:hAnsi="Times New Roman" w:cs="Times New Roman"/>
        </w:rPr>
        <w:t>VaR.</w:t>
      </w:r>
      <w:proofErr w:type="spellEnd"/>
    </w:p>
    <w:p w14:paraId="503C314D" w14:textId="49D4497A" w:rsidR="0053108F" w:rsidRPr="00D76BD5" w:rsidRDefault="0053108F" w:rsidP="00531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6BD5">
        <w:rPr>
          <w:rFonts w:ascii="Times New Roman" w:hAnsi="Times New Roman" w:cs="Times New Roman"/>
          <w:b/>
          <w:bCs/>
          <w:sz w:val="30"/>
          <w:szCs w:val="30"/>
        </w:rPr>
        <w:t>Coherence Property Checks</w:t>
      </w:r>
    </w:p>
    <w:p w14:paraId="303C30F6" w14:textId="77777777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Each method is evaluated against four coherence properties:</w:t>
      </w:r>
    </w:p>
    <w:p w14:paraId="102F2CFB" w14:textId="2B0333F9" w:rsidR="0053108F" w:rsidRPr="00D76BD5" w:rsidRDefault="0053108F" w:rsidP="0053108F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 xml:space="preserve">Monotonicity: Worse outcomes result in higher </w:t>
      </w:r>
      <w:proofErr w:type="spellStart"/>
      <w:r w:rsidRPr="00D76BD5">
        <w:rPr>
          <w:rFonts w:ascii="Times New Roman" w:hAnsi="Times New Roman" w:cs="Times New Roman"/>
        </w:rPr>
        <w:t>VaR.</w:t>
      </w:r>
      <w:proofErr w:type="spellEnd"/>
    </w:p>
    <w:p w14:paraId="7CDD43F7" w14:textId="13B83FB8" w:rsidR="0053108F" w:rsidRPr="00D76BD5" w:rsidRDefault="0053108F" w:rsidP="0053108F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Sub-additivity:</w:t>
      </w:r>
      <w:r w:rsidRPr="00D76BD5">
        <w:rPr>
          <w:rFonts w:ascii="Times New Roman" w:hAnsi="Times New Roman" w:cs="Times New Roman"/>
        </w:rPr>
        <w:t xml:space="preserve"> </w:t>
      </w:r>
      <w:r w:rsidRPr="00D76BD5">
        <w:rPr>
          <w:rFonts w:ascii="Times New Roman" w:hAnsi="Times New Roman" w:cs="Times New Roman"/>
        </w:rPr>
        <w:t>Diversification reduces risk.</w:t>
      </w:r>
    </w:p>
    <w:p w14:paraId="4F855011" w14:textId="367CA55D" w:rsidR="0053108F" w:rsidRPr="00D76BD5" w:rsidRDefault="0053108F" w:rsidP="0053108F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 xml:space="preserve">Positive Homogeneity: Scaling the portfolio scales </w:t>
      </w:r>
      <w:proofErr w:type="spellStart"/>
      <w:r w:rsidRPr="00D76BD5">
        <w:rPr>
          <w:rFonts w:ascii="Times New Roman" w:hAnsi="Times New Roman" w:cs="Times New Roman"/>
        </w:rPr>
        <w:t>VaR.</w:t>
      </w:r>
      <w:proofErr w:type="spellEnd"/>
    </w:p>
    <w:p w14:paraId="471A6B61" w14:textId="19317D97" w:rsidR="0053108F" w:rsidRPr="00D76BD5" w:rsidRDefault="0053108F" w:rsidP="00D76BD5">
      <w:pPr>
        <w:ind w:firstLine="420"/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 xml:space="preserve">Translation Invariance: Adding a risk-free asset reduces </w:t>
      </w:r>
      <w:proofErr w:type="spellStart"/>
      <w:r w:rsidRPr="00D76BD5">
        <w:rPr>
          <w:rFonts w:ascii="Times New Roman" w:hAnsi="Times New Roman" w:cs="Times New Roman"/>
        </w:rPr>
        <w:t>VaR</w:t>
      </w:r>
      <w:proofErr w:type="spellEnd"/>
      <w:r w:rsidRPr="00D76BD5">
        <w:rPr>
          <w:rFonts w:ascii="Times New Roman" w:hAnsi="Times New Roman" w:cs="Times New Roman"/>
        </w:rPr>
        <w:t xml:space="preserve"> accordingly.</w:t>
      </w:r>
    </w:p>
    <w:p w14:paraId="45254330" w14:textId="6A33E2B3" w:rsidR="0053108F" w:rsidRPr="00D76BD5" w:rsidRDefault="00D76BD5" w:rsidP="00D76BD5">
      <w:pPr>
        <w:ind w:left="110" w:hangingChars="50" w:hanging="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</w:t>
      </w:r>
      <w:r w:rsidR="0053108F" w:rsidRPr="00D76BD5">
        <w:rPr>
          <w:rFonts w:ascii="Times New Roman" w:hAnsi="Times New Roman" w:cs="Times New Roman"/>
        </w:rPr>
        <w:t>Most methods satisfy these properties</w:t>
      </w:r>
      <w:r w:rsidR="0053108F" w:rsidRPr="00D76BD5">
        <w:rPr>
          <w:rFonts w:ascii="Times New Roman" w:hAnsi="Times New Roman" w:cs="Times New Roman"/>
        </w:rPr>
        <w:t xml:space="preserve"> (</w:t>
      </w:r>
      <w:r w:rsidR="0053108F" w:rsidRPr="00D76BD5">
        <w:rPr>
          <w:rFonts w:ascii="Times New Roman" w:hAnsi="Times New Roman" w:cs="Times New Roman"/>
        </w:rPr>
        <w:t>Cornish-Fisher</w:t>
      </w:r>
      <w:r w:rsidR="0053108F" w:rsidRPr="00D76BD5">
        <w:rPr>
          <w:rFonts w:ascii="Times New Roman" w:hAnsi="Times New Roman" w:cs="Times New Roman"/>
        </w:rPr>
        <w:t xml:space="preserve"> does not satisfy Monotonicity)</w:t>
      </w:r>
      <w:r w:rsidR="0053108F" w:rsidRPr="00D76BD5">
        <w:rPr>
          <w:rFonts w:ascii="Times New Roman" w:hAnsi="Times New Roman" w:cs="Times New Roman"/>
        </w:rPr>
        <w:t>;</w:t>
      </w:r>
      <w:r w:rsidR="0053108F" w:rsidRPr="00D76BD5">
        <w:rPr>
          <w:rFonts w:ascii="Times New Roman" w:hAnsi="Times New Roman" w:cs="Times New Roman"/>
        </w:rPr>
        <w:t xml:space="preserve"> and </w:t>
      </w:r>
      <w:r w:rsidR="0053108F" w:rsidRPr="00D76BD5">
        <w:rPr>
          <w:rFonts w:ascii="Times New Roman" w:hAnsi="Times New Roman" w:cs="Times New Roman"/>
        </w:rPr>
        <w:t>Historical, KDE, and GPD are slightly more sensitive.</w:t>
      </w:r>
    </w:p>
    <w:p w14:paraId="418F7229" w14:textId="4B15CC65" w:rsidR="0053108F" w:rsidRPr="00D76BD5" w:rsidRDefault="0053108F" w:rsidP="00531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6BD5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Expected Shortfall (Conditional </w:t>
      </w:r>
      <w:proofErr w:type="spellStart"/>
      <w:r w:rsidRPr="00D76BD5">
        <w:rPr>
          <w:rFonts w:ascii="Times New Roman" w:hAnsi="Times New Roman" w:cs="Times New Roman"/>
          <w:b/>
          <w:bCs/>
          <w:sz w:val="30"/>
          <w:szCs w:val="30"/>
        </w:rPr>
        <w:t>VaR</w:t>
      </w:r>
      <w:proofErr w:type="spellEnd"/>
      <w:r w:rsidRPr="00D76BD5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371B740C" w14:textId="77777777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Defined as:</w:t>
      </w:r>
    </w:p>
    <w:p w14:paraId="333FD271" w14:textId="3B4A0239" w:rsidR="0053108F" w:rsidRPr="00D76BD5" w:rsidRDefault="0053108F" w:rsidP="0053108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ES=-E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  <m:e>
              <m:r>
                <w:rPr>
                  <w:rFonts w:ascii="Cambria Math" w:hAnsi="Cambria Math" w:cs="Times New Roman"/>
                </w:rPr>
                <m:t>R&lt;-VaR</m:t>
              </m:r>
            </m:e>
          </m:d>
        </m:oMath>
      </m:oMathPara>
    </w:p>
    <w:p w14:paraId="22BF71ED" w14:textId="638CCAE9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 xml:space="preserve">Calculated for each method and portfolio using tail returns beyond the </w:t>
      </w:r>
      <w:proofErr w:type="spellStart"/>
      <w:r w:rsidRPr="00D76BD5">
        <w:rPr>
          <w:rFonts w:ascii="Times New Roman" w:hAnsi="Times New Roman" w:cs="Times New Roman"/>
        </w:rPr>
        <w:t>VaR</w:t>
      </w:r>
      <w:proofErr w:type="spellEnd"/>
      <w:r w:rsidRPr="00D76BD5">
        <w:rPr>
          <w:rFonts w:ascii="Times New Roman" w:hAnsi="Times New Roman" w:cs="Times New Roman"/>
        </w:rPr>
        <w:t xml:space="preserve"> threshold.</w:t>
      </w:r>
    </w:p>
    <w:p w14:paraId="258259EE" w14:textId="1E4F2AAA" w:rsidR="0053108F" w:rsidRPr="00D76BD5" w:rsidRDefault="0053108F" w:rsidP="00531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6BD5">
        <w:rPr>
          <w:rFonts w:ascii="Times New Roman" w:hAnsi="Times New Roman" w:cs="Times New Roman"/>
          <w:b/>
          <w:bCs/>
          <w:sz w:val="30"/>
          <w:szCs w:val="30"/>
        </w:rPr>
        <w:t>Additional Risk Metrics</w:t>
      </w:r>
    </w:p>
    <w:p w14:paraId="14C0C838" w14:textId="6F1EC753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Standard Deviation: Measures volatility.</w:t>
      </w:r>
    </w:p>
    <w:p w14:paraId="42CDCE22" w14:textId="3D387B33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 xml:space="preserve">Sharpe Ratio: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</m:t>
            </m:r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f</m:t>
                </m:r>
              </m:sub>
            </m:sSub>
          </m:e>
        </m:d>
        <m:r>
          <m:rPr>
            <m:lit/>
          </m:rP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σ</m:t>
        </m:r>
      </m:oMath>
      <w:r w:rsidRPr="00D76BD5">
        <w:rPr>
          <w:rFonts w:ascii="Times New Roman" w:hAnsi="Times New Roman" w:cs="Times New Roman"/>
        </w:rPr>
        <w:t xml:space="preserve">, using daily T-Bill as </w:t>
      </w:r>
      <m:oMath>
        <m:r>
          <m:rPr>
            <m:lit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m:rPr>
            <m:lit/>
          </m:rPr>
          <w:rPr>
            <w:rFonts w:ascii="Cambria Math" w:hAnsi="Cambria Math" w:cs="Times New Roman"/>
          </w:rPr>
          <m:t>)</m:t>
        </m:r>
      </m:oMath>
      <w:r w:rsidRPr="00D76BD5">
        <w:rPr>
          <w:rFonts w:ascii="Times New Roman" w:hAnsi="Times New Roman" w:cs="Times New Roman"/>
        </w:rPr>
        <w:t>.</w:t>
      </w:r>
    </w:p>
    <w:p w14:paraId="6C69B442" w14:textId="55EDAC10" w:rsidR="0053108F" w:rsidRPr="00D76BD5" w:rsidRDefault="0053108F" w:rsidP="0053108F">
      <w:pPr>
        <w:rPr>
          <w:rFonts w:ascii="Times New Roman" w:hAnsi="Times New Roman" w:cs="Times New Roman"/>
        </w:rPr>
      </w:pPr>
      <w:proofErr w:type="spellStart"/>
      <w:r w:rsidRPr="00D76BD5">
        <w:rPr>
          <w:rFonts w:ascii="Times New Roman" w:hAnsi="Times New Roman" w:cs="Times New Roman"/>
        </w:rPr>
        <w:t>Sortino</w:t>
      </w:r>
      <w:proofErr w:type="spellEnd"/>
      <w:r w:rsidRPr="00D76BD5">
        <w:rPr>
          <w:rFonts w:ascii="Times New Roman" w:hAnsi="Times New Roman" w:cs="Times New Roman"/>
        </w:rPr>
        <w:t xml:space="preserve"> Ratio: Like </w:t>
      </w:r>
      <w:r w:rsidRPr="00D76BD5">
        <w:rPr>
          <w:rFonts w:ascii="Times New Roman" w:hAnsi="Times New Roman" w:cs="Times New Roman"/>
        </w:rPr>
        <w:t>Sharpe but</w:t>
      </w:r>
      <w:r w:rsidRPr="00D76BD5">
        <w:rPr>
          <w:rFonts w:ascii="Times New Roman" w:hAnsi="Times New Roman" w:cs="Times New Roman"/>
        </w:rPr>
        <w:t xml:space="preserve"> uses downside deviation.</w:t>
      </w:r>
    </w:p>
    <w:p w14:paraId="2E3533E0" w14:textId="48958DE6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Maximum Drawdown (MDD): Largest peak-to-trough decline.</w:t>
      </w:r>
    </w:p>
    <w:p w14:paraId="325AC155" w14:textId="2B513D57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Conditional Drawdown at Risk (</w:t>
      </w:r>
      <w:proofErr w:type="spellStart"/>
      <w:r w:rsidRPr="00D76BD5">
        <w:rPr>
          <w:rFonts w:ascii="Times New Roman" w:hAnsi="Times New Roman" w:cs="Times New Roman"/>
        </w:rPr>
        <w:t>CDaR</w:t>
      </w:r>
      <w:proofErr w:type="spellEnd"/>
      <w:r w:rsidRPr="00D76BD5">
        <w:rPr>
          <w:rFonts w:ascii="Times New Roman" w:hAnsi="Times New Roman" w:cs="Times New Roman"/>
        </w:rPr>
        <w:t>): Average of drawdowns beyond a threshold.</w:t>
      </w:r>
    </w:p>
    <w:p w14:paraId="5EB79BD0" w14:textId="3761B28E" w:rsidR="0053108F" w:rsidRPr="00D76BD5" w:rsidRDefault="0053108F" w:rsidP="00531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6BD5">
        <w:rPr>
          <w:rFonts w:ascii="Times New Roman" w:hAnsi="Times New Roman" w:cs="Times New Roman"/>
          <w:b/>
          <w:bCs/>
          <w:sz w:val="30"/>
          <w:szCs w:val="30"/>
        </w:rPr>
        <w:t>Visual Analysis</w:t>
      </w:r>
    </w:p>
    <w:p w14:paraId="44E174C5" w14:textId="418CF7C1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Return Distributions:</w:t>
      </w:r>
      <w:r w:rsidRPr="00D76BD5">
        <w:rPr>
          <w:rFonts w:ascii="Times New Roman" w:hAnsi="Times New Roman" w:cs="Times New Roman"/>
        </w:rPr>
        <w:t xml:space="preserve"> </w:t>
      </w:r>
      <w:r w:rsidRPr="00D76BD5">
        <w:rPr>
          <w:rFonts w:ascii="Times New Roman" w:hAnsi="Times New Roman" w:cs="Times New Roman"/>
        </w:rPr>
        <w:t xml:space="preserve">Growth is most </w:t>
      </w:r>
      <w:proofErr w:type="gramStart"/>
      <w:r w:rsidRPr="00D76BD5">
        <w:rPr>
          <w:rFonts w:ascii="Times New Roman" w:hAnsi="Times New Roman" w:cs="Times New Roman"/>
        </w:rPr>
        <w:t>volatile,</w:t>
      </w:r>
      <w:proofErr w:type="gramEnd"/>
      <w:r w:rsidRPr="00D76BD5">
        <w:rPr>
          <w:rFonts w:ascii="Times New Roman" w:hAnsi="Times New Roman" w:cs="Times New Roman"/>
        </w:rPr>
        <w:t xml:space="preserve"> Value is most stable.</w:t>
      </w:r>
    </w:p>
    <w:p w14:paraId="18498D39" w14:textId="73FB6FE5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Drawdowns:</w:t>
      </w:r>
      <w:r w:rsidRPr="00D76BD5">
        <w:rPr>
          <w:rFonts w:ascii="Times New Roman" w:hAnsi="Times New Roman" w:cs="Times New Roman"/>
        </w:rPr>
        <w:t xml:space="preserve"> </w:t>
      </w:r>
      <w:r w:rsidRPr="00D76BD5">
        <w:rPr>
          <w:rFonts w:ascii="Times New Roman" w:hAnsi="Times New Roman" w:cs="Times New Roman"/>
        </w:rPr>
        <w:t>Growth exhibits deepest drawdowns.</w:t>
      </w:r>
    </w:p>
    <w:p w14:paraId="58BB8D83" w14:textId="04228345" w:rsidR="0053108F" w:rsidRPr="00D76BD5" w:rsidRDefault="0053108F" w:rsidP="0053108F">
      <w:pPr>
        <w:rPr>
          <w:rFonts w:ascii="Times New Roman" w:hAnsi="Times New Roman" w:cs="Times New Roman"/>
        </w:rPr>
      </w:pPr>
      <w:proofErr w:type="spellStart"/>
      <w:r w:rsidRPr="00D76BD5">
        <w:rPr>
          <w:rFonts w:ascii="Times New Roman" w:hAnsi="Times New Roman" w:cs="Times New Roman"/>
        </w:rPr>
        <w:t>VaR</w:t>
      </w:r>
      <w:proofErr w:type="spellEnd"/>
      <w:r w:rsidRPr="00D76BD5">
        <w:rPr>
          <w:rFonts w:ascii="Times New Roman" w:hAnsi="Times New Roman" w:cs="Times New Roman"/>
        </w:rPr>
        <w:t xml:space="preserve"> Comparison: Growth consistently shows highest </w:t>
      </w:r>
      <w:proofErr w:type="spellStart"/>
      <w:r w:rsidRPr="00D76BD5">
        <w:rPr>
          <w:rFonts w:ascii="Times New Roman" w:hAnsi="Times New Roman" w:cs="Times New Roman"/>
        </w:rPr>
        <w:t>VaR</w:t>
      </w:r>
      <w:proofErr w:type="spellEnd"/>
      <w:r w:rsidRPr="00D76BD5">
        <w:rPr>
          <w:rFonts w:ascii="Times New Roman" w:hAnsi="Times New Roman" w:cs="Times New Roman"/>
        </w:rPr>
        <w:t xml:space="preserve"> across methods.</w:t>
      </w:r>
    </w:p>
    <w:p w14:paraId="1AEF3908" w14:textId="66AAED46" w:rsidR="0053108F" w:rsidRPr="00D76BD5" w:rsidRDefault="0053108F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t>Rolling Metrics: Show volatility and Sharpe dynamics over time.</w:t>
      </w:r>
    </w:p>
    <w:p w14:paraId="666BB1A2" w14:textId="3A0BB6D2" w:rsidR="0053108F" w:rsidRPr="00D76BD5" w:rsidRDefault="0053108F" w:rsidP="00531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6BD5">
        <w:rPr>
          <w:rFonts w:ascii="Times New Roman" w:hAnsi="Times New Roman" w:cs="Times New Roman"/>
          <w:b/>
          <w:bCs/>
          <w:sz w:val="30"/>
          <w:szCs w:val="30"/>
        </w:rPr>
        <w:t>Conclusions</w:t>
      </w:r>
    </w:p>
    <w:p w14:paraId="2C1DE2B0" w14:textId="77777777" w:rsidR="00D76BD5" w:rsidRPr="00D76BD5" w:rsidRDefault="00D76BD5" w:rsidP="00D76BD5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  <w:b/>
          <w:bCs/>
        </w:rPr>
        <w:t>Value Portfolio:</w:t>
      </w:r>
      <w:r w:rsidRPr="00D76BD5">
        <w:rPr>
          <w:rFonts w:ascii="Times New Roman" w:hAnsi="Times New Roman" w:cs="Times New Roman"/>
        </w:rPr>
        <w:t xml:space="preserve"> Demonstrated the most conservative risk profile. It exhibited the lowest standard deviation, smallest maximum drawdown, and the best Sharpe and </w:t>
      </w:r>
      <w:proofErr w:type="spellStart"/>
      <w:r w:rsidRPr="00D76BD5">
        <w:rPr>
          <w:rFonts w:ascii="Times New Roman" w:hAnsi="Times New Roman" w:cs="Times New Roman"/>
        </w:rPr>
        <w:t>Sortino</w:t>
      </w:r>
      <w:proofErr w:type="spellEnd"/>
      <w:r w:rsidRPr="00D76BD5">
        <w:rPr>
          <w:rFonts w:ascii="Times New Roman" w:hAnsi="Times New Roman" w:cs="Times New Roman"/>
        </w:rPr>
        <w:t xml:space="preserve"> ratios across most risk measures. This makes it suitable for conservative investors seeking steady, risk-adjusted performance.</w:t>
      </w:r>
    </w:p>
    <w:p w14:paraId="118E3642" w14:textId="77777777" w:rsidR="00D76BD5" w:rsidRPr="00D76BD5" w:rsidRDefault="00D76BD5" w:rsidP="00D76BD5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  <w:b/>
          <w:bCs/>
        </w:rPr>
        <w:t>Growth Portfolio:</w:t>
      </w:r>
      <w:r w:rsidRPr="00D76BD5">
        <w:rPr>
          <w:rFonts w:ascii="Times New Roman" w:hAnsi="Times New Roman" w:cs="Times New Roman"/>
        </w:rPr>
        <w:t xml:space="preserve"> Showed the highest volatility and deepest drawdowns. It consistently produced the highest </w:t>
      </w:r>
      <w:proofErr w:type="spellStart"/>
      <w:r w:rsidRPr="00D76BD5">
        <w:rPr>
          <w:rFonts w:ascii="Times New Roman" w:hAnsi="Times New Roman" w:cs="Times New Roman"/>
        </w:rPr>
        <w:t>VaR</w:t>
      </w:r>
      <w:proofErr w:type="spellEnd"/>
      <w:r w:rsidRPr="00D76BD5">
        <w:rPr>
          <w:rFonts w:ascii="Times New Roman" w:hAnsi="Times New Roman" w:cs="Times New Roman"/>
        </w:rPr>
        <w:t xml:space="preserve"> and Expected Shortfall values across all methods. While it has higher return potential, it is best suited for risk-tolerant investors focused on long-term capital appreciation.</w:t>
      </w:r>
    </w:p>
    <w:p w14:paraId="17C43DEC" w14:textId="77777777" w:rsidR="00D76BD5" w:rsidRPr="00D76BD5" w:rsidRDefault="00D76BD5" w:rsidP="00D76BD5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  <w:b/>
          <w:bCs/>
        </w:rPr>
        <w:t>Industrial Portfolio:</w:t>
      </w:r>
      <w:r w:rsidRPr="00D76BD5">
        <w:rPr>
          <w:rFonts w:ascii="Times New Roman" w:hAnsi="Times New Roman" w:cs="Times New Roman"/>
        </w:rPr>
        <w:t> Presented a moderate risk-return profile, with volatility and risk metrics between Value and Growth portfolios. It benefits from economic cycles and may offer diversification benefits when combined with either Value or Growth strategies.</w:t>
      </w:r>
    </w:p>
    <w:p w14:paraId="504B9E61" w14:textId="465D78E3" w:rsidR="0053108F" w:rsidRPr="00D76BD5" w:rsidRDefault="00D76BD5" w:rsidP="0053108F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</w:rPr>
        <w:lastRenderedPageBreak/>
        <w:t>Overall, the Value portfolio proved to be the most robust under stress scenarios, while the Growth portfolio carried significantly more tail risk. Methodologically, models like Historical Simulation and KDE captured non-normal tail behavior better, whereas Parametric methods offered consistency under distributional assumptions.</w:t>
      </w:r>
    </w:p>
    <w:p w14:paraId="0007DFB6" w14:textId="6E5DBBC9" w:rsidR="0053108F" w:rsidRPr="00D76BD5" w:rsidRDefault="0053108F" w:rsidP="0053108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76BD5">
        <w:rPr>
          <w:rFonts w:ascii="Times New Roman" w:hAnsi="Times New Roman" w:cs="Times New Roman"/>
          <w:b/>
          <w:bCs/>
          <w:sz w:val="30"/>
          <w:szCs w:val="30"/>
        </w:rPr>
        <w:t>Future Enhancements</w:t>
      </w:r>
    </w:p>
    <w:p w14:paraId="3F67F76D" w14:textId="77777777" w:rsidR="00D76BD5" w:rsidRPr="00D76BD5" w:rsidRDefault="00D76BD5" w:rsidP="00D76BD5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  <w:b/>
          <w:bCs/>
        </w:rPr>
        <w:t>Dynamic Portfolio Weighting:</w:t>
      </w:r>
      <w:r w:rsidRPr="00D76BD5">
        <w:rPr>
          <w:rFonts w:ascii="Times New Roman" w:hAnsi="Times New Roman" w:cs="Times New Roman"/>
        </w:rPr>
        <w:t> Implement time-varying weights based on volatility, momentum, or fundamental factors.</w:t>
      </w:r>
    </w:p>
    <w:p w14:paraId="128BF528" w14:textId="77777777" w:rsidR="00D76BD5" w:rsidRPr="00D76BD5" w:rsidRDefault="00D76BD5" w:rsidP="00D76BD5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  <w:b/>
          <w:bCs/>
        </w:rPr>
        <w:t>Multiple Confidence Levels:</w:t>
      </w:r>
      <w:r w:rsidRPr="00D76BD5">
        <w:rPr>
          <w:rFonts w:ascii="Times New Roman" w:hAnsi="Times New Roman" w:cs="Times New Roman"/>
        </w:rPr>
        <w:t xml:space="preserve"> Evaluate risk under 99% and 90% </w:t>
      </w:r>
      <w:proofErr w:type="spellStart"/>
      <w:r w:rsidRPr="00D76BD5">
        <w:rPr>
          <w:rFonts w:ascii="Times New Roman" w:hAnsi="Times New Roman" w:cs="Times New Roman"/>
        </w:rPr>
        <w:t>VaR</w:t>
      </w:r>
      <w:proofErr w:type="spellEnd"/>
      <w:r w:rsidRPr="00D76BD5">
        <w:rPr>
          <w:rFonts w:ascii="Times New Roman" w:hAnsi="Times New Roman" w:cs="Times New Roman"/>
        </w:rPr>
        <w:t>/ES thresholds.</w:t>
      </w:r>
    </w:p>
    <w:p w14:paraId="54011CC8" w14:textId="77777777" w:rsidR="00D76BD5" w:rsidRPr="00D76BD5" w:rsidRDefault="00D76BD5" w:rsidP="00D76BD5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  <w:b/>
          <w:bCs/>
        </w:rPr>
        <w:t>Out-of-Sample Validation:</w:t>
      </w:r>
      <w:r w:rsidRPr="00D76BD5">
        <w:rPr>
          <w:rFonts w:ascii="Times New Roman" w:hAnsi="Times New Roman" w:cs="Times New Roman"/>
        </w:rPr>
        <w:t> </w:t>
      </w:r>
      <w:proofErr w:type="spellStart"/>
      <w:r w:rsidRPr="00D76BD5">
        <w:rPr>
          <w:rFonts w:ascii="Times New Roman" w:hAnsi="Times New Roman" w:cs="Times New Roman"/>
        </w:rPr>
        <w:t>Backtest</w:t>
      </w:r>
      <w:proofErr w:type="spellEnd"/>
      <w:r w:rsidRPr="00D76BD5">
        <w:rPr>
          <w:rFonts w:ascii="Times New Roman" w:hAnsi="Times New Roman" w:cs="Times New Roman"/>
        </w:rPr>
        <w:t xml:space="preserve"> model performance and stability using walk-forward or cross-validation.</w:t>
      </w:r>
    </w:p>
    <w:p w14:paraId="02410B34" w14:textId="75DD5C43" w:rsidR="0053108F" w:rsidRPr="00D76BD5" w:rsidRDefault="00D76BD5">
      <w:pPr>
        <w:rPr>
          <w:rFonts w:ascii="Times New Roman" w:hAnsi="Times New Roman" w:cs="Times New Roman"/>
        </w:rPr>
      </w:pPr>
      <w:r w:rsidRPr="00D76BD5">
        <w:rPr>
          <w:rFonts w:ascii="Times New Roman" w:hAnsi="Times New Roman" w:cs="Times New Roman"/>
          <w:b/>
          <w:bCs/>
        </w:rPr>
        <w:t>Interactive Dashboard:</w:t>
      </w:r>
      <w:r w:rsidRPr="00D76BD5">
        <w:rPr>
          <w:rFonts w:ascii="Times New Roman" w:hAnsi="Times New Roman" w:cs="Times New Roman"/>
        </w:rPr>
        <w:t xml:space="preserve"> Build a </w:t>
      </w:r>
      <w:proofErr w:type="spellStart"/>
      <w:r w:rsidRPr="00D76BD5">
        <w:rPr>
          <w:rFonts w:ascii="Times New Roman" w:hAnsi="Times New Roman" w:cs="Times New Roman"/>
        </w:rPr>
        <w:t>Streamlit</w:t>
      </w:r>
      <w:proofErr w:type="spellEnd"/>
      <w:r w:rsidRPr="00D76BD5">
        <w:rPr>
          <w:rFonts w:ascii="Times New Roman" w:hAnsi="Times New Roman" w:cs="Times New Roman"/>
        </w:rPr>
        <w:t xml:space="preserve"> or </w:t>
      </w:r>
      <w:proofErr w:type="spellStart"/>
      <w:r w:rsidRPr="00D76BD5">
        <w:rPr>
          <w:rFonts w:ascii="Times New Roman" w:hAnsi="Times New Roman" w:cs="Times New Roman"/>
        </w:rPr>
        <w:t>Plotly</w:t>
      </w:r>
      <w:proofErr w:type="spellEnd"/>
      <w:r w:rsidRPr="00D76BD5">
        <w:rPr>
          <w:rFonts w:ascii="Times New Roman" w:hAnsi="Times New Roman" w:cs="Times New Roman"/>
        </w:rPr>
        <w:t xml:space="preserve"> dashboard for real-time visualization and scenario testing.</w:t>
      </w:r>
    </w:p>
    <w:sectPr w:rsidR="0053108F" w:rsidRPr="00D7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32FEC"/>
    <w:multiLevelType w:val="multilevel"/>
    <w:tmpl w:val="5860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F6453"/>
    <w:multiLevelType w:val="multilevel"/>
    <w:tmpl w:val="11F2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079D4"/>
    <w:multiLevelType w:val="multilevel"/>
    <w:tmpl w:val="FE8A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198709">
    <w:abstractNumId w:val="2"/>
  </w:num>
  <w:num w:numId="2" w16cid:durableId="855535054">
    <w:abstractNumId w:val="0"/>
  </w:num>
  <w:num w:numId="3" w16cid:durableId="640311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8F"/>
    <w:rsid w:val="0053108F"/>
    <w:rsid w:val="00D76BD5"/>
    <w:rsid w:val="00EA23CB"/>
    <w:rsid w:val="00F7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2F5C"/>
  <w15:chartTrackingRefBased/>
  <w15:docId w15:val="{8E87E71A-8396-7A4A-9AE1-5C5DE31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10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0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0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0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0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0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0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0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0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1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1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10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108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10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10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10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10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10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0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10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1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1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1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1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1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1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Runbo</dc:creator>
  <cp:keywords/>
  <dc:description/>
  <cp:lastModifiedBy>Ye, Runbo</cp:lastModifiedBy>
  <cp:revision>1</cp:revision>
  <dcterms:created xsi:type="dcterms:W3CDTF">2025-03-22T23:08:00Z</dcterms:created>
  <dcterms:modified xsi:type="dcterms:W3CDTF">2025-03-22T23:37:00Z</dcterms:modified>
</cp:coreProperties>
</file>