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ongti SC" w:hAnsi="Songti SC" w:eastAsia="Songti SC"/>
        </w:rPr>
        <w:t>角色异常行为调查与处置建议</w:t>
      </w:r>
    </w:p>
    <w:p>
      <w:r>
        <w:rPr>
          <w:rFonts w:ascii="Songti SC" w:hAnsi="Songti SC" w:eastAsia="Songti SC"/>
        </w:rPr>
        <w:t>调查角色 12324040 与 12329781</w:t>
        <w:br/>
        <w:t>整理日期 2026年9月24日</w:t>
        <w:br/>
        <w:t>供服务端研发 测试 运营及安全排查使用</w:t>
      </w:r>
    </w:p>
    <w:p>
      <w:pPr>
        <w:pStyle w:val="Heading1"/>
      </w:pPr>
      <w:r>
        <w:rPr>
          <w:rFonts w:ascii="Songti SC" w:hAnsi="Songti SC" w:eastAsia="Songti SC"/>
        </w:rPr>
        <w:t>调查结论</w:t>
      </w:r>
    </w:p>
    <w:p>
      <w:r>
        <w:rPr>
          <w:rFonts w:ascii="Songti SC" w:hAnsi="Songti SC" w:eastAsia="Songti SC"/>
        </w:rPr>
        <w:t>12324040 存在强烈异常自动化特征。四份日志结合当前源码，能够还原快速塔防结算、领奖、城堡升级、兑换礼包、扫荡以及创建联盟的链路。创建联盟有资源扣减、联盟归属变化、响应和盟主身份交叉印证；公告或宣言的具体内容及修改动作尚未形成证据闭环。</w:t>
      </w:r>
    </w:p>
    <w:p>
      <w:r>
        <w:rPr>
          <w:rFonts w:ascii="Songti SC" w:hAnsi="Songti SC" w:eastAsia="Songti SC"/>
        </w:rPr>
        <w:t>这些业务协议和正常调用入口存在于客户端源码，当前无需以内部资料泄露解释其可构造性。但“客户端具备功能”不等于“未经修改的正常客户端能以该速度完成战斗”。协议直连、修改客户端及其他结算异常仍需进一步区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判断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证据与边界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已证实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创建后 20.909 秒升至城堡 21 级；1～380 关通关事件跨度 32.558 秒；0.663 秒内 11 次兑换；创建联盟扣费 300 宝石。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高度可疑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多个业务阶段呈毫秒级密集推进，通关间隔中位数 57 毫秒，支持异常自动化或异常结算判断。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尚未证实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独立协议机器人、具体绕过方法、内部泄露、发布包包含范围、公告内容及修改时刻。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优先建议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保全当日版本与证据，追查塔防结算接受与奖励发放；不要以 服务端响应 统计告警直接封禁。</w:t>
            </w:r>
          </w:p>
        </w:tc>
      </w:tr>
    </w:tbl>
    <w:p>
      <w:pPr>
        <w:pStyle w:val="Heading2"/>
      </w:pPr>
      <w:r>
        <w:rPr>
          <w:rFonts w:ascii="Songti SC" w:hAnsi="Songti SC" w:eastAsia="Songti SC"/>
        </w:rPr>
        <w:t>材料范围与解释规则</w:t>
      </w:r>
    </w:p>
    <w:p>
      <w:r>
        <w:t>服务端日志 3,063 条和 4,999 条；数数日志 3,283 条和 3,371 条。数数两份文件的 角色标识 均与目标角色一致。服务端全文检索结果含嵌套记录和其他对象，必须核对主体字段，不能把全部命中当作该角色动作。</w:t>
      </w:r>
    </w:p>
    <w:p>
      <w:r>
        <w:t>时间保留原文件的事件发生时间，不转换时区，也不用平台接收时间计算行为间隔。数数日志中的空字符仅在内存解析时剔除，原始文件未改动。当前源码结论不等同于已验证9月23日线上版本。</w:t>
      </w:r>
    </w:p>
    <w:p>
      <w:r>
        <w:rPr>
          <w:rFonts w:ascii="Songti SC" w:hAnsi="Songti SC" w:eastAsia="Songti SC"/>
        </w:rPr>
        <w:br w:type="page"/>
      </w:r>
    </w:p>
    <w:p>
      <w:pPr>
        <w:pStyle w:val="Heading1"/>
      </w:pPr>
      <w:r>
        <w:rPr>
          <w:rFonts w:ascii="Songti SC" w:hAnsi="Songti SC" w:eastAsia="Songti SC"/>
        </w:rPr>
        <w:t>两个角色的行为对比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tblHeader/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12324040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12329781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创建角色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04:43:11.023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11:29:43.135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升至城堡21级耗时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20.909秒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3小时2分54.209秒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升至城堡32级耗时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1分33.812秒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5小时23分17.410秒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塔防事件数与关卡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380条；380个不同关卡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420条；340个不同关卡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相邻通关间隔中位数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57毫秒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24.45秒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礼包码事件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11次；跨度0.663秒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扫荡事件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34次；跨度2.128秒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4次；跨度0.634秒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创建联盟扣费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创建联盟 减少300宝石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未见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章节风险标记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第6章为1；第7～11章为2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10条均为0</w:t>
            </w:r>
          </w:p>
        </w:tc>
      </w:tr>
    </w:tbl>
    <w:p>
      <w:r>
        <w:t>日期均为 2026年9月23日。通关中位间隔按全部 塔防通关 事件排序计算，含跨章节间隔；重复关卡不去重后计算间隔。12329781 的 420 条不能解读为通过第420关。该角色仅用作样本对照，不能据此认证为真人或认定毫无异常。</w:t>
      </w:r>
    </w:p>
    <w:p>
      <w:pPr>
        <w:pStyle w:val="Heading2"/>
      </w:pPr>
      <w:r>
        <w:rPr>
          <w:rFonts w:ascii="Songti SC" w:hAnsi="Songti SC" w:eastAsia="Songti SC"/>
        </w:rPr>
        <w:t>不能用来直接定性的信号</w:t>
      </w:r>
    </w:p>
    <w:p>
      <w:r>
        <w:t>联盟总动员任务初始化不等于集结出兵。跨天、联盟归属变化或登录都可能触发服务端主动推送初始化、自动采集或战令信息。</w:t>
      </w:r>
    </w:p>
    <w:p>
      <w:r>
        <w:t>请求关联缺失或待处理请求为空的告警，可能来自主动推送、关联记录过期等情况；告警次数不等于客户端发送次数，不能据此认定协议机器人。</w:t>
      </w:r>
    </w:p>
    <w:p>
      <w:pPr>
        <w:pStyle w:val="Heading2"/>
      </w:pPr>
      <w:r>
        <w:rPr>
          <w:rFonts w:ascii="Songti SC" w:hAnsi="Songti SC" w:eastAsia="Songti SC"/>
        </w:rPr>
        <w:t>新增证据带来的判断变化</w:t>
      </w:r>
    </w:p>
    <w:p>
      <w:r>
        <w:t>此前只有服务端入口与 服务端响应，不能确认每次动作成功。数数补充了城堡 已完成 升级事件、逐关通关事件、礼包货币入账和建盟扣费。异常判断应建立在这些结果及时间关联上，而不是协议名称出现频率上。</w:t>
      </w:r>
    </w:p>
    <w:p>
      <w:r>
        <w:rPr>
          <w:rFonts w:ascii="Songti SC" w:hAnsi="Songti SC" w:eastAsia="Songti SC"/>
        </w:rPr>
        <w:br w:type="page"/>
      </w:r>
    </w:p>
    <w:p>
      <w:pPr>
        <w:pStyle w:val="Heading1"/>
      </w:pPr>
      <w:r>
        <w:rPr>
          <w:rFonts w:ascii="Songti SC" w:hAnsi="Songti SC" w:eastAsia="Songti SC"/>
        </w:rPr>
        <w:t>12324040 的完整行为时间线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事件时间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行为与结果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04:43:11.023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创建角色并登录成功，城堡1级、进度0。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04:43:11.577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第一条 塔防通关，开始密集推进塔防。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04:43:24.647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进度达到180，城堡仍为1级。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04:43:25.253～28.173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城堡从2级连续升级至20级。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04:43:31.932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城堡21级，满足当前联盟入口配置。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04:43:32.045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城堡22级。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04:43:44.135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进度达到380，距第一条通关32.558秒。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04:43:44.203～44.866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11次礼包码兑换，合计增加1100宝石。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04:43:57.956～04:44:00.084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34次扫荡事件，对应服务端入口记录。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04:44:44.835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城堡32级；期间有雷达战斗、领奖和养成。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04:44:45.035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时代变更 事件。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04:53:13.100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创建联盟 扣300宝石，余额420。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04:53:13.102～13.103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事件带非零联盟编号，随后出现 创建联盟响应。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05:37:26 起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服务端巡检记录该角色为在线盟主。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10:11及13:28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再次登录，城堡32级、进度380、带联盟归属。</w:t>
            </w:r>
          </w:p>
        </w:tc>
      </w:tr>
    </w:tbl>
    <w:p>
      <w:r>
        <w:rPr>
          <w:rFonts w:ascii="Songti SC" w:hAnsi="Songti SC" w:eastAsia="Songti SC"/>
        </w:rPr>
        <w:t>业务链：登录创建 → 塔防推进与领奖 → 城堡升级 → 满足联盟开放条件 → 礼包和其他资源积累 → 创建联盟并成为盟主 → 公告或宣言设置待核。公告不能作为已发生节点。</w:t>
      </w:r>
    </w:p>
    <w:p>
      <w:r>
        <w:t>凌晨创建前的渠道认证日志不完整。日志文件 中 第三方认证 出现在10:10:14，不可拼接成凌晨创建时的认证前序。通关、领奖与升级存在交错，时间线是主干还原，不是原始脚本源码。</w:t>
      </w:r>
    </w:p>
    <w:p>
      <w:r>
        <w:rPr>
          <w:rFonts w:ascii="Songti SC" w:hAnsi="Songti SC" w:eastAsia="Songti SC"/>
        </w:rPr>
        <w:br w:type="page"/>
      </w:r>
    </w:p>
    <w:p>
      <w:pPr>
        <w:pStyle w:val="Heading1"/>
      </w:pPr>
      <w:r>
        <w:rPr>
          <w:rFonts w:ascii="Songti SC" w:hAnsi="Songti SC" w:eastAsia="Songti SC"/>
        </w:rPr>
        <w:t>登录与功能解锁的代码链路</w:t>
      </w:r>
    </w:p>
    <w:p>
      <w:pPr>
        <w:pStyle w:val="Heading2"/>
      </w:pPr>
      <w:r>
        <w:rPr>
          <w:rFonts w:ascii="Songti SC" w:hAnsi="Songti SC" w:eastAsia="Songti SC"/>
        </w:rPr>
        <w:t>账号认证与角色登录</w:t>
      </w:r>
    </w:p>
    <w:p>
      <w:r>
        <w:t>正常登录先连接接入网关并提交账号认证，由平台返回账号凭证和角色列表；新角色通过游戏服务完成创建，已有角色由游戏服务向平台验证角色登录资格。</w:t>
      </w:r>
    </w:p>
    <w:p>
      <w:r>
        <w:t>角色登录携带账号凭证、角色和服务器身份、客户端及设备信息等。接入服务检查重复登录、服务器状态及可登录条件，再由平台验证。凭证是否严格绑定角色与会话，仍需核对平台实现。</w:t>
      </w:r>
    </w:p>
    <w:p>
      <w:r>
        <w:t>已查到的角色创建和登录接口由游戏服务调用平台，不能由此推断其公网可达或不需要服务身份。渠道授权与微信侧获取凭证的完整前序仍未闭环。</w:t>
      </w:r>
    </w:p>
    <w:p>
      <w:pPr>
        <w:pStyle w:val="Heading2"/>
      </w:pPr>
      <w:r>
        <w:rPr>
          <w:rFonts w:ascii="Songti SC" w:hAnsi="Songti SC" w:eastAsia="Songti SC"/>
        </w:rPr>
        <w:t>城堡升级与联盟入口</w:t>
      </w:r>
    </w:p>
    <w:p>
      <w:r>
        <w:t>当前联盟入口开放条件为城堡达到21级，不是通过第21关；未发现需要单独发送解锁指令。客户端根据城堡等级判断入口是否开放。</w:t>
      </w:r>
    </w:p>
    <w:p>
      <w:r>
        <w:t>城堡支持单次与多次升级。服务端检查升级配置、关卡限制、资源和适用条件；单次主城升级扣材料后立即完成。因此连续升级本身不能认定绕过计时。目标采用哪种升级方式仍缺完整请求明细。</w:t>
      </w:r>
    </w:p>
    <w:p>
      <w:pPr>
        <w:pStyle w:val="Heading2"/>
      </w:pPr>
      <w:r>
        <w:rPr>
          <w:rFonts w:ascii="Songti SC" w:hAnsi="Songti SC" w:eastAsia="Songti SC"/>
        </w:rPr>
        <w:t>客户端可获得的信息</w:t>
      </w:r>
    </w:p>
    <w:p>
      <w:r>
        <w:t>当前客户端源码包含出兵、联盟总动员、邮件附件领取、自动采集及战令等能力，也包含消息定义、编号、编码封装和网络连接实现。正式微信小游戏或网页发布包是否包含这些实现、是否被裁剪以及实际采用的连接方式，仍待核验。</w:t>
      </w:r>
    </w:p>
    <w:p>
      <w:r>
        <w:rPr>
          <w:rFonts w:ascii="Songti SC" w:hAnsi="Songti SC" w:eastAsia="Songti SC"/>
        </w:rPr>
        <w:t>结论：现有业务能力不需要先假设内部泄露。只有发现目标使用客户端、测试包和正常通信均无法取得的信息，才有依据升级为内部资料泄露排查。</w:t>
      </w:r>
    </w:p>
    <w:p>
      <w:r>
        <w:rPr>
          <w:rFonts w:ascii="Songti SC" w:hAnsi="Songti SC" w:eastAsia="Songti SC"/>
        </w:rPr>
        <w:br w:type="page"/>
      </w:r>
    </w:p>
    <w:p>
      <w:pPr>
        <w:pStyle w:val="Heading1"/>
      </w:pPr>
      <w:r>
        <w:rPr>
          <w:rFonts w:ascii="Songti SC" w:hAnsi="Songti SC" w:eastAsia="Songti SC"/>
        </w:rPr>
        <w:t>塔防结算与联盟文本的关键发现</w:t>
      </w:r>
    </w:p>
    <w:p>
      <w:pPr>
        <w:pStyle w:val="Heading2"/>
      </w:pPr>
      <w:r>
        <w:rPr>
          <w:rFonts w:ascii="Songti SC" w:hAnsi="Songti SC" w:eastAsia="Songti SC"/>
        </w:rPr>
        <w:t>异常主要发生在通关结算阶段</w:t>
      </w:r>
    </w:p>
    <w:p>
      <w:r>
        <w:t>当前通关事件记录位于战斗结束请求的成功处理路径。目标380条记录覆盖第1～380关，事件时间连续分布；平台接收时间存在批量到达现象，本文未用它计算速度。应优先核验服务器为何接受如此密集的结算。</w:t>
      </w:r>
    </w:p>
    <w:p>
      <w:r>
        <w:t>章节风险标记来自战力与推荐阈值的比较：0表示未落入两档低战力阈值，1表示警告档，2表示更严格的限制档。它不是耗时告警，也不代表已经封禁。当前实现先处理通关状态，再执行后续反作弊检查；部分失败仅记录或影响后续进入。须结合当日版本、启用范围和奖励事务确认是否存在先发奖后检查的问题。</w:t>
      </w:r>
    </w:p>
    <w:p>
      <w:pPr>
        <w:pStyle w:val="Heading2"/>
      </w:pPr>
      <w:r>
        <w:rPr>
          <w:rFonts w:ascii="Songti SC" w:hAnsi="Songti SC" w:eastAsia="Songti SC"/>
        </w:rPr>
        <w:t>创建联盟已经闭环</w:t>
      </w:r>
    </w:p>
    <w:p>
      <w:r>
        <w:t>创建联盟时，服务端检查角色尚未入盟，校验名称等文本，检查并扣除费用，然后创建联盟和聊天频道，将创建者设为盟主。当前费用为300宝石。目标有扣费、联盟归属变化和在线盟主记录相互印证。</w:t>
      </w:r>
    </w:p>
    <w:p>
      <w:r>
        <w:t>当前已查创建与入盟处理链未见与客户端相同的21级检查，且存在尚未完成的等级及冷却限制提示。这属于需要复核的条件一致性问题；目标创建前已达到32级，不能认定其利用了该差异。</w:t>
      </w:r>
    </w:p>
    <w:p>
      <w:pPr>
        <w:pStyle w:val="Heading2"/>
      </w:pPr>
      <w:r>
        <w:rPr>
          <w:rFonts w:ascii="Songti SC" w:hAnsi="Songti SC" w:eastAsia="Songti SC"/>
        </w:rPr>
        <w:t>公告与宣言必须分开调查</w:t>
      </w:r>
    </w:p>
    <w:p>
      <w:r>
        <w:t>对内公告与对外宣言是两种不同文本。正常客户端创建联盟时可同时提交对外宣言，因此对外文本可能在创建时写入，并不一定发生过单独修改。</w:t>
      </w:r>
    </w:p>
    <w:p>
      <w:r>
        <w:rPr>
          <w:rFonts w:ascii="Songti SC" w:hAnsi="Songti SC" w:eastAsia="Songti SC"/>
        </w:rPr>
        <w:t>修改公告检查联盟归属、职级权限、长度和敏感词；异步检查后再核权限，更新公告及历史、广播并上报内容。创建者为盟主，当前配置具备修改权限。四份材料未提供该角色公告／宣言正文与修改闭环，不能写成“已设置拉人公告”。运营封禁原因“拉人”也不能替代内容证据。</w:t>
      </w:r>
    </w:p>
    <w:p>
      <w:r>
        <w:rPr>
          <w:rFonts w:ascii="Songti SC" w:hAnsi="Songti SC" w:eastAsia="Songti SC"/>
        </w:rPr>
        <w:br w:type="page"/>
      </w:r>
    </w:p>
    <w:p>
      <w:pPr>
        <w:pStyle w:val="Heading1"/>
      </w:pPr>
      <w:r>
        <w:rPr>
          <w:rFonts w:ascii="Songti SC" w:hAnsi="Songti SC" w:eastAsia="Songti SC"/>
        </w:rPr>
        <w:t>处置与修复建议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4252"/>
        <w:gridCol w:w="4195"/>
      </w:tblGrid>
      <w:tr>
        <w:trPr>
          <w:tblHeader/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建议动作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P0 证据保全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保存原日志、当日服务端构建和热更配置；补齐入站请求、结算与资产流水。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能按角色、会话、章节与奖励流水还原一次结算；确认线上与源码差异。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P0 结算核查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核验塔防状态、章节顺序、战斗开始与结束、重复结算、校验与发奖先后。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无有效战斗上下文、重复或不合法结算不推进、不重复发奖；保留失败原因。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P0 风险处置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按现有规则复核目标及同模式账号，必要时采用可撤销限制并留申诉证据。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依据多信号和资产结果，不以单个服务端响应或57毫秒硬阈值批量封禁。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P1 服务端条件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统一建盟与入盟的开放条件；异步创建前再次核对身份、资源与联盟状态。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界面和直连调用的合法条件一致；并发重复请求不会重复扣费或建盟。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P1 兑换治理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核对11个码的渠道、适用范围和单角色次数，补充幂等与频控。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重复、并发兑换只发应得奖励；正常公开码用户不因使用相同码被误伤。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P1 内容闭环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分别记录创建宣言、公告、宣言修改的操作者、前后值及审核结果。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能定位创建即写入和后续修改；核对创建与修改两入口的审核覆盖。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P1 可观测性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补充明确的请求与响应关联与主动推送分类；认证日志不输出原始凭证。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t>主动服务端响应不制造作弊告警；调查能关联结果，日志不含可用登录凭证。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P2 回归与检测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用正常操作、断线重发、批量合法操作、异常速通和跨版本案例回归。</w:t>
            </w:r>
          </w:p>
        </w:tc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同时验证拦截效果、幂等与误报率；通过灰度评估后扩大检测。</w:t>
            </w:r>
          </w:p>
        </w:tc>
      </w:tr>
    </w:tbl>
    <w:p>
      <w:r>
        <w:rPr>
          <w:rFonts w:ascii="Songti SC" w:hAnsi="Songti SC" w:eastAsia="Songti SC"/>
        </w:rPr>
        <w:t>责任建议：服务端负责结算、资产与联盟校验；平台负责渠道认证及兑换码规则；客户端提供发布包与正常操作基线；测试复现及回归；运营核验内容、账号处置及申诉。以上为建议，未对线上系统执行修改或封禁。</w:t>
      </w:r>
    </w:p>
    <w:p>
      <w:r>
        <w:rPr>
          <w:rFonts w:ascii="Songti SC" w:hAnsi="Songti SC" w:eastAsia="Songti SC"/>
        </w:rPr>
        <w:br w:type="page"/>
      </w:r>
    </w:p>
    <w:p>
      <w:pPr>
        <w:pStyle w:val="Heading1"/>
      </w:pPr>
      <w:r>
        <w:rPr>
          <w:rFonts w:ascii="Songti SC" w:hAnsi="Songti SC" w:eastAsia="Songti SC"/>
        </w:rPr>
        <w:t>兑换码明细</w:t>
      </w:r>
    </w:p>
    <w:p>
      <w:r>
        <w:t>角色12324040；日期2026年9月23日。以下11个码来自 礼包兑换记录 字段，保留原始大小写和顺序。均记载100宝石，货币流水 礼包兑换 合计增加1100宝石。是否当前有效及是否允许其他账号使用未验证，也未实际兑换。12329781 本次材料未见兑换事件，不等于其历史从未使用。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871"/>
        <w:gridCol w:w="4876"/>
        <w:gridCol w:w="964"/>
      </w:tblGrid>
      <w:tr>
        <w:trPr>
          <w:tblHeader/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兑换码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事件时间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t>其他奖励道具编号及数量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记录号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zjwg333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04:43:44.203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3000009×4；6001001×1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zjwg555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04:43:44.269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3000010×2；6001001×1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zjwg2025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04:43:44.334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6002002×1；6001002×1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zjwgnb666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04:43:44.400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6002002×1；6003002×1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zjwgzhw888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04:43:44.466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9030001×1；6001002×1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117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zjwg624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04:43:44.533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9030001×1；6002002×1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zjwg777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04:43:44.600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9030001×1；6003002×1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zjwg111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04:43:44.667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3000010×1；3000009×2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zjwgdzt789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04:43:44.733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3000010×1；6002002×1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zjwg123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04:43:44.799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3000010×1；6003002×1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zjwg456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04:43:44.866</w:t>
            </w:r>
          </w:p>
        </w:tc>
        <w:tc>
          <w:tcPr>
            <w:tcW w:type="dxa" w:w="4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3000010×1；3140002×20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110</w:t>
            </w:r>
          </w:p>
        </w:tc>
      </w:tr>
    </w:tbl>
    <w:p>
      <w:r>
        <w:t>每行另含宝石100，资产编号为11151002。道具名称未核实，使用编号避免误译。记录号按日志文件逻辑记录从表头为1计数，不等同于含多行字段时的文本物理行号。</w:t>
      </w:r>
    </w:p>
    <w:p>
      <w:pPr>
        <w:pStyle w:val="Heading2"/>
      </w:pPr>
      <w:r>
        <w:rPr>
          <w:rFonts w:ascii="Songti SC" w:hAnsi="Songti SC" w:eastAsia="Songti SC"/>
        </w:rPr>
        <w:t>与创建联盟的资源关系</w:t>
      </w:r>
    </w:p>
    <w:p>
      <w:r>
        <w:rPr>
          <w:rFonts w:ascii="Songti SC" w:hAnsi="Songti SC" w:eastAsia="Songti SC"/>
        </w:rPr>
        <w:t>礼包兑换贡献1100宝石，但不代表必须靠这些码才能建盟。建盟前流水还包含塔防额外奖励400、新玩法任务100、免费奖励20、神阶奖励50，以及商店等支出。已见增加合计1670、减少合计1250，包含建盟支出300，净额420与建盟后余额一致。</w:t>
      </w:r>
    </w:p>
    <w:p>
      <w:r>
        <w:rPr>
          <w:rFonts w:ascii="Songti SC" w:hAnsi="Songti SC" w:eastAsia="Songti SC"/>
        </w:rPr>
        <w:t>建议按这组码核对兑换规则和异常使用分布，但不要将“使用相同公开码”单独作为关联账号或作弊依据。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="Songti SC" w:hAnsi="Songti SC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="Songti SC" w:hAnsi="Songti SC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Songti SC" w:hAnsi="Songti SC" w:eastAsia="Song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角色异常行为调查与处置建议</dc:title>
  <dc:subject>12324040 与 12329781 日志及代码核查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