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B365D"/>
          <w:sz w:val="48"/>
        </w:rPr>
        <w:t>Statistical Analysis Report: MANOVA of Training Methods and Learning Outcomes</w:t>
      </w:r>
    </w:p>
    <w:p>
      <w:pPr>
        <w:spacing w:after="360"/>
      </w:pPr>
      <w:r>
        <w:rPr>
          <w:i/>
          <w:color w:val="4A5568"/>
          <w:sz w:val="26"/>
        </w:rPr>
        <w:t>Evaluation of Live vs. Recorded Training Delivery on Design Modelling and Technical Expertise</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00" w:type="dxa"/>
              <w:right w:w="100" w:type="dxa"/>
            </w:tcMar>
          </w:tcPr>
          <w:p>
            <w:pPr>
              <w:spacing w:after="0" w:before="0"/>
            </w:pPr>
            <w:r>
              <w:rPr>
                <w:b/>
                <w:color w:val="1B365D"/>
                <w:sz w:val="19"/>
              </w:rPr>
              <w:t>Methodology:</w:t>
            </w:r>
            <w:r>
              <w:rPr>
                <w:sz w:val="19"/>
              </w:rPr>
              <w:t xml:space="preserve"> One-Way MANOVA (IBM SPSS)</w:t>
            </w:r>
          </w:p>
        </w:tc>
        <w:tc>
          <w:tcPr>
            <w:tcW w:type="dxa" w:w="4680"/>
            <w:shd w:fill="F7FAFC"/>
            <w:tcMar>
              <w:top w:w="80" w:type="dxa"/>
              <w:bottom w:w="80" w:type="dxa"/>
              <w:left w:w="100" w:type="dxa"/>
              <w:right w:w="100" w:type="dxa"/>
            </w:tcMar>
          </w:tcPr>
          <w:p>
            <w:pPr>
              <w:spacing w:after="0" w:before="0"/>
            </w:pPr>
            <w:r>
              <w:rPr>
                <w:b/>
                <w:color w:val="1B365D"/>
                <w:sz w:val="19"/>
              </w:rPr>
              <w:t>Dataset:</w:t>
            </w:r>
            <w:r>
              <w:rPr>
                <w:sz w:val="19"/>
              </w:rPr>
              <w:t xml:space="preserve"> manova (1).sav (N = 330)</w:t>
            </w:r>
          </w:p>
        </w:tc>
      </w:tr>
      <w:tr>
        <w:tc>
          <w:tcPr>
            <w:tcW w:type="dxa" w:w="4680"/>
            <w:shd w:fill="F7FAFC"/>
            <w:tcMar>
              <w:top w:w="80" w:type="dxa"/>
              <w:bottom w:w="80" w:type="dxa"/>
              <w:left w:w="100" w:type="dxa"/>
              <w:right w:w="100" w:type="dxa"/>
            </w:tcMar>
          </w:tcPr>
          <w:p>
            <w:pPr>
              <w:spacing w:after="0" w:before="0"/>
            </w:pPr>
            <w:r>
              <w:rPr>
                <w:b/>
                <w:color w:val="1B365D"/>
                <w:sz w:val="19"/>
              </w:rPr>
              <w:t>Status:</w:t>
            </w:r>
            <w:r>
              <w:rPr>
                <w:sz w:val="19"/>
              </w:rPr>
              <w:t xml:space="preserve"> Completed – Portfolio Documentation</w:t>
            </w:r>
          </w:p>
        </w:tc>
        <w:tc>
          <w:tcPr>
            <w:tcW w:type="dxa" w:w="4680"/>
            <w:shd w:fill="F7FAFC"/>
            <w:tcMar>
              <w:top w:w="80" w:type="dxa"/>
              <w:bottom w:w="80" w:type="dxa"/>
              <w:left w:w="100" w:type="dxa"/>
              <w:right w:w="100" w:type="dxa"/>
            </w:tcMar>
          </w:tcPr>
          <w:p>
            <w:pPr>
              <w:spacing w:after="0" w:before="0"/>
            </w:pPr>
            <w:r>
              <w:rPr>
                <w:b/>
                <w:color w:val="1B365D"/>
                <w:sz w:val="19"/>
              </w:rPr>
              <w:t>Design:</w:t>
            </w:r>
            <w:r>
              <w:rPr>
                <w:sz w:val="19"/>
              </w:rPr>
              <w:t xml:space="preserve"> Balanced (110 per condition)</w:t>
            </w:r>
          </w:p>
        </w:tc>
      </w:tr>
    </w:tbl>
    <w:p>
      <w:pPr>
        <w:spacing w:after="240"/>
      </w:pPr>
    </w:p>
    <w:p>
      <w:pPr>
        <w:keepNext/>
        <w:spacing w:before="360" w:after="160"/>
        <w:pBdr>
          <w:bottom w:val="single" w:sz="12" w:space="4" w:color="1B365D"/>
        </w:pBdr>
      </w:pPr>
      <w:r>
        <w:rPr>
          <w:b/>
          <w:color w:val="1B365D"/>
          <w:sz w:val="36"/>
        </w:rPr>
        <w:t>1. Executive Summary</w:t>
      </w:r>
    </w:p>
    <w:p>
      <w:pPr>
        <w:spacing w:before="0" w:after="120" w:line="276" w:lineRule="auto"/>
      </w:pPr>
      <w:r>
        <w:t>This report presents a statistical analysis examining whether different training delivery methods are associated with differences in two learning outcomes: Design Modelling and Technical Expertise.</w:t>
      </w:r>
    </w:p>
    <w:p>
      <w:pPr>
        <w:spacing w:before="0" w:after="120" w:line="276" w:lineRule="auto"/>
      </w:pPr>
      <w:r>
        <w:t>The analysis was conducted using IBM SPSS Statistics and a dataset containing 330 observations distributed equally across three training conditions:</w:t>
      </w:r>
    </w:p>
    <w:p>
      <w:pPr>
        <w:pStyle w:val="ListBullet"/>
        <w:spacing w:before="0" w:after="60" w:line="276" w:lineRule="auto"/>
      </w:pPr>
      <w:r>
        <w:rPr>
          <w:b/>
          <w:color w:val="2D3748"/>
        </w:rPr>
        <w:t xml:space="preserve">Trainer 1: </w:t>
      </w:r>
      <w:r>
        <w:t>Live training delivered by Trainer 1.</w:t>
      </w:r>
    </w:p>
    <w:p>
      <w:pPr>
        <w:pStyle w:val="ListBullet"/>
        <w:spacing w:before="0" w:after="60" w:line="276" w:lineRule="auto"/>
      </w:pPr>
      <w:r>
        <w:rPr>
          <w:b/>
          <w:color w:val="2D3748"/>
        </w:rPr>
        <w:t xml:space="preserve">Trainer 2: </w:t>
      </w:r>
      <w:r>
        <w:t>Live training delivered by Trainer 2.</w:t>
      </w:r>
    </w:p>
    <w:p>
      <w:pPr>
        <w:pStyle w:val="ListBullet"/>
        <w:spacing w:before="0" w:after="60" w:line="276" w:lineRule="auto"/>
      </w:pPr>
      <w:r>
        <w:rPr>
          <w:b/>
          <w:color w:val="2D3748"/>
        </w:rPr>
        <w:t xml:space="preserve">Recorded Sessions by Trainer 1: </w:t>
      </w:r>
      <w:r>
        <w:t>Recorded training sessions delivered by Trainer 1.</w:t>
      </w:r>
    </w:p>
    <w:p>
      <w:pPr>
        <w:spacing w:before="0" w:after="120" w:line="276" w:lineRule="auto"/>
      </w:pPr>
      <w:r>
        <w:t>Each training group contained 110 observations, resulting in a balanced research design.</w:t>
      </w:r>
    </w:p>
    <w:p>
      <w:pPr>
        <w:spacing w:before="0" w:after="120" w:line="276" w:lineRule="auto"/>
      </w:pPr>
      <w:r>
        <w:t>A one-way Multivariate Analysis of Variance (MANOVA) was conducted to evaluate whether the training condition had a statistically significant effect on the combined outcomes of Design Modelling and Technical Expertise. The overall MANOVA was statistically significant, indicating that the combined performance outcomes differed across the three training conditions.</w:t>
      </w:r>
    </w:p>
    <w:p>
      <w:pPr>
        <w:spacing w:before="0" w:after="120" w:line="276" w:lineRule="auto"/>
      </w:pPr>
      <w:r>
        <w:t>Follow-up univariate ANOVAs showed statistically significant differences between training groups for both dependent variables. However, the effect was considerably stronger for Technical Expertise than for Design Modelling.</w:t>
      </w:r>
    </w:p>
    <w:p>
      <w:pPr>
        <w:spacing w:before="0" w:after="120" w:line="276" w:lineRule="auto"/>
      </w:pPr>
      <w:r>
        <w:t>Tukey HSD post-hoc comparisons showed that participants receiving live instruction from Trainer 1 achieved significantly higher Technical Expertise scores than both Trainer 2 and the Recorded Sessions condition. Trainer 1 also produced significantly higher Design Modelling scores than the Recorded Sessions condition.</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b/>
                <w:color w:val="1B365D"/>
              </w:rPr>
              <w:t xml:space="preserve">Key Finding: </w:t>
            </w:r>
            <w:r>
              <w:rPr>
                <w:color w:val="2D3748"/>
              </w:rPr>
              <w:t>Overall, the results indicate that the Trainer 1 live training condition produced the strongest observed performance outcomes, particularly in Technical Expertise.</w:t>
            </w:r>
          </w:p>
        </w:tc>
      </w:tr>
    </w:tbl>
    <w:p>
      <w:pPr>
        <w:spacing w:before="0" w:after="120"/>
      </w:pPr>
    </w:p>
    <w:p>
      <w:pPr>
        <w:keepNext/>
        <w:spacing w:before="360" w:after="160"/>
        <w:pBdr>
          <w:bottom w:val="single" w:sz="12" w:space="4" w:color="1B365D"/>
        </w:pBdr>
      </w:pPr>
      <w:r>
        <w:rPr>
          <w:b/>
          <w:color w:val="1B365D"/>
          <w:sz w:val="36"/>
        </w:rPr>
        <w:t>2. Research Context</w:t>
      </w:r>
    </w:p>
    <w:p>
      <w:pPr>
        <w:spacing w:before="0" w:after="120" w:line="276" w:lineRule="auto"/>
      </w:pPr>
      <w:r>
        <w:t>The purpose of this analysis was to examine whether the method used to deliver training was associated with differences in participant performance.</w:t>
      </w:r>
    </w:p>
    <w:p>
      <w:pPr>
        <w:spacing w:before="0" w:after="120" w:line="276" w:lineRule="auto"/>
      </w:pPr>
      <w:r>
        <w:t>The study compares three training conditions:</w:t>
      </w:r>
    </w:p>
    <w:p>
      <w:pPr>
        <w:pStyle w:val="ListBullet"/>
        <w:spacing w:before="0" w:after="60" w:line="276" w:lineRule="auto"/>
      </w:pPr>
      <w:r>
        <w:t>Trainer 1 – Live training delivered by Trainer 1</w:t>
      </w:r>
    </w:p>
    <w:p>
      <w:pPr>
        <w:pStyle w:val="ListBullet"/>
        <w:spacing w:before="0" w:after="60" w:line="276" w:lineRule="auto"/>
      </w:pPr>
      <w:r>
        <w:t>Trainer 2 – Live training delivered by Trainer 2</w:t>
      </w:r>
    </w:p>
    <w:p>
      <w:pPr>
        <w:pStyle w:val="ListBullet"/>
        <w:spacing w:before="0" w:after="60" w:line="276" w:lineRule="auto"/>
      </w:pPr>
      <w:r>
        <w:t>Recorded Sessions by Trainer 1 – Recorded training sessions delivered by Trainer 1</w:t>
      </w:r>
    </w:p>
    <w:p>
      <w:pPr>
        <w:spacing w:before="0" w:after="120" w:line="276" w:lineRule="auto"/>
      </w:pPr>
      <w:r>
        <w:t>The analysis evaluates performance across two outcome measures: Design Modelling and Technical Expertise. Because the study evaluates multiple dependent variables simultaneously, MANOVA was selected as the primary inferential statistical method.</w:t>
      </w:r>
    </w:p>
    <w:p>
      <w:pPr>
        <w:spacing w:before="0" w:after="120" w:line="276" w:lineRule="auto"/>
      </w:pPr>
      <w:r>
        <w:t>The analysis was conducted as part of a hands-on learning and applied research project using IBM SPSS Statistics.</w:t>
      </w:r>
    </w:p>
    <w:p>
      <w:pPr>
        <w:keepNext/>
        <w:spacing w:before="360" w:after="160"/>
        <w:pBdr>
          <w:bottom w:val="single" w:sz="12" w:space="4" w:color="1B365D"/>
        </w:pBdr>
      </w:pPr>
      <w:r>
        <w:rPr>
          <w:b/>
          <w:color w:val="1B365D"/>
          <w:sz w:val="36"/>
        </w:rPr>
        <w:t>3. Research Objectives</w:t>
      </w:r>
    </w:p>
    <w:p>
      <w:pPr>
        <w:spacing w:before="0" w:after="120" w:line="276" w:lineRule="auto"/>
      </w:pPr>
      <w:r>
        <w:t>The analysis was designed to address the following objectives:</w:t>
      </w:r>
    </w:p>
    <w:p>
      <w:pPr>
        <w:pStyle w:val="ListBullet"/>
        <w:spacing w:before="0" w:after="60" w:line="276" w:lineRule="auto"/>
      </w:pPr>
      <w:r>
        <w:t>To examine the descriptive performance characteristics of participants across the three training conditions.</w:t>
      </w:r>
    </w:p>
    <w:p>
      <w:pPr>
        <w:pStyle w:val="ListBullet"/>
        <w:spacing w:before="0" w:after="60" w:line="276" w:lineRule="auto"/>
      </w:pPr>
      <w:r>
        <w:t>To determine whether training condition has a statistically significant multivariate effect on the combined outcomes of Design Modelling and Technical Expertise.</w:t>
      </w:r>
    </w:p>
    <w:p>
      <w:pPr>
        <w:pStyle w:val="ListBullet"/>
        <w:spacing w:before="0" w:after="60" w:line="276" w:lineRule="auto"/>
      </w:pPr>
      <w:r>
        <w:t>To determine whether training condition has statistically significant individual effects on Design Modelling and Technical Expertise.</w:t>
      </w:r>
    </w:p>
    <w:p>
      <w:pPr>
        <w:pStyle w:val="ListBullet"/>
        <w:spacing w:before="0" w:after="60" w:line="276" w:lineRule="auto"/>
      </w:pPr>
      <w:r>
        <w:t>To identify which specific training groups differ from one another using Tukey HSD post-hoc comparisons.</w:t>
      </w:r>
    </w:p>
    <w:p>
      <w:pPr>
        <w:pStyle w:val="ListBullet"/>
        <w:spacing w:before="0" w:after="60" w:line="276" w:lineRule="auto"/>
      </w:pPr>
      <w:r>
        <w:t>To compare the relative magnitude of the training effect across the two learning outcomes.</w:t>
      </w:r>
    </w:p>
    <w:p>
      <w:pPr>
        <w:pStyle w:val="ListBullet"/>
        <w:spacing w:before="0" w:after="60" w:line="276" w:lineRule="auto"/>
      </w:pPr>
      <w:r>
        <w:t>To interpret the practical implications of the statistical findings for training and development.</w:t>
      </w:r>
    </w:p>
    <w:p>
      <w:pPr>
        <w:keepNext/>
        <w:spacing w:before="360" w:after="160"/>
        <w:pBdr>
          <w:bottom w:val="single" w:sz="12" w:space="4" w:color="1B365D"/>
        </w:pBdr>
      </w:pPr>
      <w:r>
        <w:rPr>
          <w:b/>
          <w:color w:val="1B365D"/>
          <w:sz w:val="36"/>
        </w:rPr>
        <w:t>4. Data and Research Design</w:t>
      </w:r>
    </w:p>
    <w:p>
      <w:pPr>
        <w:spacing w:before="0" w:after="120" w:line="276" w:lineRule="auto"/>
      </w:pPr>
      <w:r>
        <w:t>The original dataset used for the analysis was the SPSS data file: manova (1).sav. The dataset contains 330 observations.</w:t>
      </w:r>
    </w:p>
    <w:p>
      <w:pPr>
        <w:spacing w:before="0" w:after="120" w:line="276" w:lineRule="auto"/>
      </w:pPr>
      <w:r>
        <w:t>The independent variable was Training_Group. This categorical factor contained three groups:</w:t>
      </w:r>
    </w:p>
    <w:tbl>
      <w:tblPr>
        <w:tblW w:type="auto" w:w="0"/>
        <w:jc w:val="center"/>
        <w:tblLook w:firstColumn="1" w:firstRow="1" w:lastColumn="0" w:lastRow="0" w:noHBand="0" w:noVBand="1" w:val="04A0"/>
        <w:tblBorders>
          <w:top w:val="single" w:sz="4" w:space="0" w:color="CBD5E0"/>
          <w:bottom w:val="single" w:sz="6" w:space="0" w:color="1B365D"/>
          <w:left w:val="none"/>
          <w:right w:val="none"/>
          <w:insideH w:val="single" w:sz="4" w:space="0" w:color="CBD5E0"/>
          <w:insideV w:val="none"/>
        </w:tblBorders>
      </w:tblPr>
      <w:tblGrid>
        <w:gridCol w:w="3120"/>
        <w:gridCol w:w="3120"/>
        <w:gridCol w:w="3120"/>
      </w:tblGrid>
      <w:tr>
        <w:trPr>
          <w:cantSplit/>
          <w:tblHeader/>
        </w:trPr>
        <w:tc>
          <w:tcPr>
            <w:tcW w:type="dxa" w:w="3600"/>
            <w:tcMar>
              <w:top w:w="120" w:type="dxa"/>
              <w:bottom w:w="120" w:type="dxa"/>
              <w:left w:w="150" w:type="dxa"/>
              <w:right w:w="150" w:type="dxa"/>
            </w:tcMar>
            <w:shd w:fill="1B365D"/>
          </w:tcPr>
          <w:p>
            <w:pPr>
              <w:jc w:val="left"/>
            </w:pPr>
            <w:r>
              <w:rPr>
                <w:b/>
                <w:color w:val="FFFFFF"/>
              </w:rPr>
              <w:t>Training Group</w:t>
            </w:r>
          </w:p>
        </w:tc>
        <w:tc>
          <w:tcPr>
            <w:tcW w:type="dxa" w:w="4032"/>
            <w:tcMar>
              <w:top w:w="120" w:type="dxa"/>
              <w:bottom w:w="120" w:type="dxa"/>
              <w:left w:w="150" w:type="dxa"/>
              <w:right w:w="150" w:type="dxa"/>
            </w:tcMar>
            <w:shd w:fill="1B365D"/>
          </w:tcPr>
          <w:p>
            <w:pPr>
              <w:jc w:val="left"/>
            </w:pPr>
            <w:r>
              <w:rPr>
                <w:b/>
                <w:color w:val="FFFFFF"/>
              </w:rPr>
              <w:t>Description</w:t>
            </w:r>
          </w:p>
        </w:tc>
        <w:tc>
          <w:tcPr>
            <w:tcW w:type="dxa" w:w="1728"/>
            <w:tcMar>
              <w:top w:w="120" w:type="dxa"/>
              <w:bottom w:w="120" w:type="dxa"/>
              <w:left w:w="150" w:type="dxa"/>
              <w:right w:w="150" w:type="dxa"/>
            </w:tcMar>
            <w:shd w:fill="1B365D"/>
          </w:tcPr>
          <w:p>
            <w:pPr>
              <w:jc w:val="right"/>
            </w:pPr>
            <w:r>
              <w:rPr>
                <w:b/>
                <w:color w:val="FFFFFF"/>
              </w:rPr>
              <w:t>Sample Size</w:t>
            </w:r>
          </w:p>
        </w:tc>
      </w:tr>
      <w:tr>
        <w:trPr>
          <w:cantSplit/>
        </w:trPr>
        <w:tc>
          <w:tcPr>
            <w:tcW w:type="dxa" w:w="3600"/>
            <w:tcMar>
              <w:top w:w="120" w:type="dxa"/>
              <w:bottom w:w="120" w:type="dxa"/>
              <w:left w:w="150" w:type="dxa"/>
              <w:right w:w="150" w:type="dxa"/>
            </w:tcMar>
            <w:shd w:fill="FFFFFF"/>
          </w:tcPr>
          <w:p>
            <w:pPr>
              <w:jc w:val="left"/>
            </w:pPr>
            <w:r>
              <w:t>Trainer 1</w:t>
            </w:r>
          </w:p>
        </w:tc>
        <w:tc>
          <w:tcPr>
            <w:tcW w:type="dxa" w:w="4032"/>
            <w:tcMar>
              <w:top w:w="120" w:type="dxa"/>
              <w:bottom w:w="120" w:type="dxa"/>
              <w:left w:w="150" w:type="dxa"/>
              <w:right w:w="150" w:type="dxa"/>
            </w:tcMar>
            <w:shd w:fill="FFFFFF"/>
          </w:tcPr>
          <w:p>
            <w:pPr>
              <w:jc w:val="left"/>
            </w:pPr>
            <w:r>
              <w:t>Live training by Trainer 1</w:t>
            </w:r>
          </w:p>
        </w:tc>
        <w:tc>
          <w:tcPr>
            <w:tcW w:type="dxa" w:w="1728"/>
            <w:tcMar>
              <w:top w:w="120" w:type="dxa"/>
              <w:bottom w:w="120" w:type="dxa"/>
              <w:left w:w="150" w:type="dxa"/>
              <w:right w:w="150" w:type="dxa"/>
            </w:tcMar>
            <w:shd w:fill="FFFFFF"/>
          </w:tcPr>
          <w:p>
            <w:pPr>
              <w:jc w:val="right"/>
            </w:pPr>
            <w:r>
              <w:t>110</w:t>
            </w:r>
          </w:p>
        </w:tc>
      </w:tr>
      <w:tr>
        <w:trPr>
          <w:cantSplit/>
        </w:trPr>
        <w:tc>
          <w:tcPr>
            <w:tcW w:type="dxa" w:w="3600"/>
            <w:tcMar>
              <w:top w:w="120" w:type="dxa"/>
              <w:bottom w:w="120" w:type="dxa"/>
              <w:left w:w="150" w:type="dxa"/>
              <w:right w:w="150" w:type="dxa"/>
            </w:tcMar>
            <w:shd w:fill="EDF2F7"/>
          </w:tcPr>
          <w:p>
            <w:pPr>
              <w:jc w:val="left"/>
            </w:pPr>
            <w:r>
              <w:t>Trainer 2</w:t>
            </w:r>
          </w:p>
        </w:tc>
        <w:tc>
          <w:tcPr>
            <w:tcW w:type="dxa" w:w="4032"/>
            <w:tcMar>
              <w:top w:w="120" w:type="dxa"/>
              <w:bottom w:w="120" w:type="dxa"/>
              <w:left w:w="150" w:type="dxa"/>
              <w:right w:w="150" w:type="dxa"/>
            </w:tcMar>
            <w:shd w:fill="EDF2F7"/>
          </w:tcPr>
          <w:p>
            <w:pPr>
              <w:jc w:val="left"/>
            </w:pPr>
            <w:r>
              <w:t>Live training by Trainer 2</w:t>
            </w:r>
          </w:p>
        </w:tc>
        <w:tc>
          <w:tcPr>
            <w:tcW w:type="dxa" w:w="1728"/>
            <w:tcMar>
              <w:top w:w="120" w:type="dxa"/>
              <w:bottom w:w="120" w:type="dxa"/>
              <w:left w:w="150" w:type="dxa"/>
              <w:right w:w="150" w:type="dxa"/>
            </w:tcMar>
            <w:shd w:fill="EDF2F7"/>
          </w:tcPr>
          <w:p>
            <w:pPr>
              <w:jc w:val="right"/>
            </w:pPr>
            <w:r>
              <w:t>110</w:t>
            </w:r>
          </w:p>
        </w:tc>
      </w:tr>
      <w:tr>
        <w:trPr>
          <w:cantSplit/>
        </w:trPr>
        <w:tc>
          <w:tcPr>
            <w:tcW w:type="dxa" w:w="3600"/>
            <w:tcMar>
              <w:top w:w="120" w:type="dxa"/>
              <w:bottom w:w="120" w:type="dxa"/>
              <w:left w:w="150" w:type="dxa"/>
              <w:right w:w="150" w:type="dxa"/>
            </w:tcMar>
            <w:shd w:fill="FFFFFF"/>
          </w:tcPr>
          <w:p>
            <w:pPr>
              <w:jc w:val="left"/>
            </w:pPr>
            <w:r>
              <w:t>Recorded Sessions by Trainer 1</w:t>
            </w:r>
          </w:p>
        </w:tc>
        <w:tc>
          <w:tcPr>
            <w:tcW w:type="dxa" w:w="4032"/>
            <w:tcMar>
              <w:top w:w="120" w:type="dxa"/>
              <w:bottom w:w="120" w:type="dxa"/>
              <w:left w:w="150" w:type="dxa"/>
              <w:right w:w="150" w:type="dxa"/>
            </w:tcMar>
            <w:shd w:fill="FFFFFF"/>
          </w:tcPr>
          <w:p>
            <w:pPr>
              <w:jc w:val="left"/>
            </w:pPr>
            <w:r>
              <w:t>Recorded training sessions</w:t>
            </w:r>
          </w:p>
        </w:tc>
        <w:tc>
          <w:tcPr>
            <w:tcW w:type="dxa" w:w="1728"/>
            <w:tcMar>
              <w:top w:w="120" w:type="dxa"/>
              <w:bottom w:w="120" w:type="dxa"/>
              <w:left w:w="150" w:type="dxa"/>
              <w:right w:w="150" w:type="dxa"/>
            </w:tcMar>
            <w:shd w:fill="FFFFFF"/>
          </w:tcPr>
          <w:p>
            <w:pPr>
              <w:jc w:val="right"/>
            </w:pPr>
            <w:r>
              <w:t>110</w:t>
            </w:r>
          </w:p>
        </w:tc>
      </w:tr>
      <w:tr>
        <w:trPr>
          <w:cantSplit/>
        </w:trPr>
        <w:tc>
          <w:tcPr>
            <w:tcW w:type="dxa" w:w="3600"/>
            <w:tcMar>
              <w:top w:w="120" w:type="dxa"/>
              <w:bottom w:w="120" w:type="dxa"/>
              <w:left w:w="150" w:type="dxa"/>
              <w:right w:w="150" w:type="dxa"/>
            </w:tcMar>
            <w:shd w:fill="EDF2F7"/>
          </w:tcPr>
          <w:p>
            <w:pPr>
              <w:jc w:val="left"/>
            </w:pPr>
            <w:r>
              <w:rPr>
                <w:b/>
              </w:rPr>
              <w:t>Total</w:t>
            </w:r>
          </w:p>
        </w:tc>
        <w:tc>
          <w:tcPr>
            <w:tcW w:type="dxa" w:w="4032"/>
            <w:tcMar>
              <w:top w:w="120" w:type="dxa"/>
              <w:bottom w:w="120" w:type="dxa"/>
              <w:left w:w="150" w:type="dxa"/>
              <w:right w:w="150" w:type="dxa"/>
            </w:tcMar>
            <w:shd w:fill="EDF2F7"/>
          </w:tcPr>
          <w:p>
            <w:pPr>
              <w:jc w:val="left"/>
            </w:pPr>
            <w:r>
              <w:rPr>
                <w:b/>
              </w:rPr>
              <w:t>Balanced Design</w:t>
            </w:r>
          </w:p>
        </w:tc>
        <w:tc>
          <w:tcPr>
            <w:tcW w:type="dxa" w:w="1728"/>
            <w:tcMar>
              <w:top w:w="120" w:type="dxa"/>
              <w:bottom w:w="120" w:type="dxa"/>
              <w:left w:w="150" w:type="dxa"/>
              <w:right w:w="150" w:type="dxa"/>
            </w:tcMar>
            <w:shd w:fill="EDF2F7"/>
          </w:tcPr>
          <w:p>
            <w:pPr>
              <w:jc w:val="right"/>
            </w:pPr>
            <w:r>
              <w:rPr>
                <w:b/>
              </w:rPr>
              <w:t>330</w:t>
            </w:r>
          </w:p>
        </w:tc>
      </w:tr>
    </w:tbl>
    <w:p>
      <w:pPr>
        <w:spacing w:before="0" w:after="240" w:line="276" w:lineRule="auto"/>
      </w:pPr>
      <w:r>
        <w:t>The research design is balanced because each training group contains the same number of observations.</w:t>
      </w:r>
    </w:p>
    <w:p>
      <w:pPr>
        <w:keepNext/>
        <w:spacing w:before="360" w:after="160"/>
        <w:pBdr>
          <w:bottom w:val="single" w:sz="12" w:space="4" w:color="1B365D"/>
        </w:pBdr>
      </w:pPr>
      <w:r>
        <w:rPr>
          <w:b/>
          <w:color w:val="1B365D"/>
          <w:sz w:val="36"/>
        </w:rPr>
        <w:t>5. Variables</w:t>
      </w:r>
    </w:p>
    <w:p>
      <w:pPr>
        <w:keepNext/>
        <w:spacing w:before="280" w:after="120"/>
      </w:pPr>
      <w:r>
        <w:rPr>
          <w:b/>
          <w:color w:val="4A5568"/>
          <w:sz w:val="28"/>
        </w:rPr>
        <w:t>5.1 Independent Variable</w:t>
      </w:r>
    </w:p>
    <w:p>
      <w:pPr>
        <w:spacing w:before="0" w:after="120" w:line="276" w:lineRule="auto"/>
      </w:pPr>
      <w:r>
        <w:t>Training_Group represents the training delivery condition. It consists of three categories: Trainer 1, Trainer 2, and Recorded Sessions by Trainer 1.</w:t>
      </w:r>
    </w:p>
    <w:p>
      <w:pPr>
        <w:keepNext/>
        <w:spacing w:before="280" w:after="120"/>
      </w:pPr>
      <w:r>
        <w:rPr>
          <w:b/>
          <w:color w:val="4A5568"/>
          <w:sz w:val="28"/>
        </w:rPr>
        <w:t>5.2 Dependent Variables</w:t>
      </w:r>
    </w:p>
    <w:p>
      <w:pPr>
        <w:spacing w:before="0" w:after="120" w:line="276" w:lineRule="auto"/>
      </w:pPr>
      <w:r>
        <w:rPr>
          <w:b/>
          <w:color w:val="2D3748"/>
        </w:rPr>
        <w:t xml:space="preserve">• </w:t>
      </w:r>
      <w:r>
        <w:t>Design_Modelling: Design Modelling represents one of the measured learning outcomes related to design and modelling performance.</w:t>
      </w:r>
    </w:p>
    <w:p>
      <w:pPr>
        <w:spacing w:before="0" w:after="120" w:line="276" w:lineRule="auto"/>
      </w:pPr>
      <w:r>
        <w:rPr>
          <w:b/>
          <w:color w:val="2D3748"/>
        </w:rPr>
        <w:t xml:space="preserve">• </w:t>
      </w:r>
      <w:r>
        <w:t>Technical_Expertise: Technical Expertise represents the second measured learning outcome related to technical performance or domain expertise.</w:t>
      </w:r>
    </w:p>
    <w:p>
      <w:pPr>
        <w:spacing w:before="0" w:after="120" w:line="276" w:lineRule="auto"/>
      </w:pPr>
      <w:r>
        <w:t>Both variables were treated as continuous dependent variables in the MANOVA.</w:t>
      </w:r>
    </w:p>
    <w:p>
      <w:pPr>
        <w:keepNext/>
        <w:spacing w:before="360" w:after="160"/>
        <w:pBdr>
          <w:bottom w:val="single" w:sz="12" w:space="4" w:color="1B365D"/>
        </w:pBdr>
      </w:pPr>
      <w:r>
        <w:rPr>
          <w:b/>
          <w:color w:val="1B365D"/>
          <w:sz w:val="36"/>
        </w:rPr>
        <w:t>6. Descriptive Statistics</w:t>
      </w:r>
    </w:p>
    <w:p>
      <w:pPr>
        <w:spacing w:before="0" w:after="120" w:line="276" w:lineRule="auto"/>
      </w:pPr>
      <w:r>
        <w:t>Descriptive statistics were examined for each training group before evaluating the inferential statistical results.</w:t>
      </w:r>
    </w:p>
    <w:p>
      <w:pPr>
        <w:keepNext/>
        <w:spacing w:before="280" w:after="120"/>
      </w:pPr>
      <w:r>
        <w:rPr>
          <w:b/>
          <w:color w:val="4A5568"/>
          <w:sz w:val="28"/>
        </w:rPr>
        <w:t>6.1 Design Modelling</w:t>
      </w:r>
    </w:p>
    <w:tbl>
      <w:tblPr>
        <w:tblW w:type="auto" w:w="0"/>
        <w:jc w:val="center"/>
        <w:tblLook w:firstColumn="1" w:firstRow="1" w:lastColumn="0" w:lastRow="0" w:noHBand="0" w:noVBand="1" w:val="04A0"/>
        <w:tblBorders>
          <w:top w:val="single" w:sz="4" w:space="0" w:color="CBD5E0"/>
          <w:bottom w:val="single" w:sz="6" w:space="0" w:color="1B365D"/>
          <w:left w:val="none"/>
          <w:right w:val="none"/>
          <w:insideH w:val="single" w:sz="4" w:space="0" w:color="CBD5E0"/>
          <w:insideV w:val="none"/>
        </w:tblBorders>
      </w:tblPr>
      <w:tblGrid>
        <w:gridCol w:w="2340"/>
        <w:gridCol w:w="2340"/>
        <w:gridCol w:w="2340"/>
        <w:gridCol w:w="2340"/>
      </w:tblGrid>
      <w:tr>
        <w:trPr>
          <w:cantSplit/>
          <w:tblHeader/>
        </w:trPr>
        <w:tc>
          <w:tcPr>
            <w:tcW w:type="dxa" w:w="3600"/>
            <w:tcMar>
              <w:top w:w="120" w:type="dxa"/>
              <w:bottom w:w="120" w:type="dxa"/>
              <w:left w:w="150" w:type="dxa"/>
              <w:right w:w="150" w:type="dxa"/>
            </w:tcMar>
            <w:shd w:fill="1B365D"/>
          </w:tcPr>
          <w:p>
            <w:pPr>
              <w:jc w:val="left"/>
            </w:pPr>
            <w:r>
              <w:rPr>
                <w:b/>
                <w:color w:val="FFFFFF"/>
              </w:rPr>
              <w:t>Training Group</w:t>
            </w:r>
          </w:p>
        </w:tc>
        <w:tc>
          <w:tcPr>
            <w:tcW w:type="dxa" w:w="1440"/>
            <w:tcMar>
              <w:top w:w="120" w:type="dxa"/>
              <w:bottom w:w="120" w:type="dxa"/>
              <w:left w:w="150" w:type="dxa"/>
              <w:right w:w="150" w:type="dxa"/>
            </w:tcMar>
            <w:shd w:fill="1B365D"/>
          </w:tcPr>
          <w:p>
            <w:pPr>
              <w:jc w:val="right"/>
            </w:pPr>
            <w:r>
              <w:rPr>
                <w:b/>
                <w:color w:val="FFFFFF"/>
              </w:rPr>
              <w:t>N</w:t>
            </w:r>
          </w:p>
        </w:tc>
        <w:tc>
          <w:tcPr>
            <w:tcW w:type="dxa" w:w="2160"/>
            <w:tcMar>
              <w:top w:w="120" w:type="dxa"/>
              <w:bottom w:w="120" w:type="dxa"/>
              <w:left w:w="150" w:type="dxa"/>
              <w:right w:w="150" w:type="dxa"/>
            </w:tcMar>
            <w:shd w:fill="1B365D"/>
          </w:tcPr>
          <w:p>
            <w:pPr>
              <w:jc w:val="right"/>
            </w:pPr>
            <w:r>
              <w:rPr>
                <w:b/>
                <w:color w:val="FFFFFF"/>
              </w:rPr>
              <w:t>Mean</w:t>
            </w:r>
          </w:p>
        </w:tc>
        <w:tc>
          <w:tcPr>
            <w:tcW w:type="dxa" w:w="2160"/>
            <w:tcMar>
              <w:top w:w="120" w:type="dxa"/>
              <w:bottom w:w="120" w:type="dxa"/>
              <w:left w:w="150" w:type="dxa"/>
              <w:right w:w="150" w:type="dxa"/>
            </w:tcMar>
            <w:shd w:fill="1B365D"/>
          </w:tcPr>
          <w:p>
            <w:pPr>
              <w:jc w:val="right"/>
            </w:pPr>
            <w:r>
              <w:rPr>
                <w:b/>
                <w:color w:val="FFFFFF"/>
              </w:rPr>
              <w:t>Standard Deviation</w:t>
            </w:r>
          </w:p>
        </w:tc>
      </w:tr>
      <w:tr>
        <w:trPr>
          <w:cantSplit/>
        </w:trPr>
        <w:tc>
          <w:tcPr>
            <w:tcW w:type="dxa" w:w="3600"/>
            <w:tcMar>
              <w:top w:w="120" w:type="dxa"/>
              <w:bottom w:w="120" w:type="dxa"/>
              <w:left w:w="150" w:type="dxa"/>
              <w:right w:w="150" w:type="dxa"/>
            </w:tcMar>
            <w:shd w:fill="FFFFFF"/>
          </w:tcPr>
          <w:p>
            <w:pPr>
              <w:jc w:val="left"/>
            </w:pPr>
            <w:r>
              <w:t>Trainer 1</w:t>
            </w:r>
          </w:p>
        </w:tc>
        <w:tc>
          <w:tcPr>
            <w:tcW w:type="dxa" w:w="1440"/>
            <w:tcMar>
              <w:top w:w="120" w:type="dxa"/>
              <w:bottom w:w="120" w:type="dxa"/>
              <w:left w:w="150" w:type="dxa"/>
              <w:right w:w="150" w:type="dxa"/>
            </w:tcMar>
            <w:shd w:fill="FFFFFF"/>
          </w:tcPr>
          <w:p>
            <w:pPr>
              <w:jc w:val="right"/>
            </w:pPr>
            <w:r>
              <w:t>110</w:t>
            </w:r>
          </w:p>
        </w:tc>
        <w:tc>
          <w:tcPr>
            <w:tcW w:type="dxa" w:w="2160"/>
            <w:tcMar>
              <w:top w:w="120" w:type="dxa"/>
              <w:bottom w:w="120" w:type="dxa"/>
              <w:left w:w="150" w:type="dxa"/>
              <w:right w:w="150" w:type="dxa"/>
            </w:tcMar>
            <w:shd w:fill="FFFFFF"/>
          </w:tcPr>
          <w:p>
            <w:pPr>
              <w:jc w:val="right"/>
            </w:pPr>
            <w:r>
              <w:t>6.1909</w:t>
            </w:r>
          </w:p>
        </w:tc>
        <w:tc>
          <w:tcPr>
            <w:tcW w:type="dxa" w:w="2160"/>
            <w:tcMar>
              <w:top w:w="120" w:type="dxa"/>
              <w:bottom w:w="120" w:type="dxa"/>
              <w:left w:w="150" w:type="dxa"/>
              <w:right w:w="150" w:type="dxa"/>
            </w:tcMar>
            <w:shd w:fill="FFFFFF"/>
          </w:tcPr>
          <w:p>
            <w:pPr>
              <w:jc w:val="right"/>
            </w:pPr>
            <w:r>
              <w:t>1.8196</w:t>
            </w:r>
          </w:p>
        </w:tc>
      </w:tr>
      <w:tr>
        <w:trPr>
          <w:cantSplit/>
        </w:trPr>
        <w:tc>
          <w:tcPr>
            <w:tcW w:type="dxa" w:w="3600"/>
            <w:tcMar>
              <w:top w:w="120" w:type="dxa"/>
              <w:bottom w:w="120" w:type="dxa"/>
              <w:left w:w="150" w:type="dxa"/>
              <w:right w:w="150" w:type="dxa"/>
            </w:tcMar>
            <w:shd w:fill="EDF2F7"/>
          </w:tcPr>
          <w:p>
            <w:pPr>
              <w:jc w:val="left"/>
            </w:pPr>
            <w:r>
              <w:t>Trainer 2</w:t>
            </w:r>
          </w:p>
        </w:tc>
        <w:tc>
          <w:tcPr>
            <w:tcW w:type="dxa" w:w="1440"/>
            <w:tcMar>
              <w:top w:w="120" w:type="dxa"/>
              <w:bottom w:w="120" w:type="dxa"/>
              <w:left w:w="150" w:type="dxa"/>
              <w:right w:w="150" w:type="dxa"/>
            </w:tcMar>
            <w:shd w:fill="EDF2F7"/>
          </w:tcPr>
          <w:p>
            <w:pPr>
              <w:jc w:val="right"/>
            </w:pPr>
            <w:r>
              <w:t>110</w:t>
            </w:r>
          </w:p>
        </w:tc>
        <w:tc>
          <w:tcPr>
            <w:tcW w:type="dxa" w:w="2160"/>
            <w:tcMar>
              <w:top w:w="120" w:type="dxa"/>
              <w:bottom w:w="120" w:type="dxa"/>
              <w:left w:w="150" w:type="dxa"/>
              <w:right w:w="150" w:type="dxa"/>
            </w:tcMar>
            <w:shd w:fill="EDF2F7"/>
          </w:tcPr>
          <w:p>
            <w:pPr>
              <w:jc w:val="right"/>
            </w:pPr>
            <w:r>
              <w:t>5.5818</w:t>
            </w:r>
          </w:p>
        </w:tc>
        <w:tc>
          <w:tcPr>
            <w:tcW w:type="dxa" w:w="2160"/>
            <w:tcMar>
              <w:top w:w="120" w:type="dxa"/>
              <w:bottom w:w="120" w:type="dxa"/>
              <w:left w:w="150" w:type="dxa"/>
              <w:right w:w="150" w:type="dxa"/>
            </w:tcMar>
            <w:shd w:fill="EDF2F7"/>
          </w:tcPr>
          <w:p>
            <w:pPr>
              <w:jc w:val="right"/>
            </w:pPr>
            <w:r>
              <w:t>2.3316</w:t>
            </w:r>
          </w:p>
        </w:tc>
      </w:tr>
      <w:tr>
        <w:trPr>
          <w:cantSplit/>
        </w:trPr>
        <w:tc>
          <w:tcPr>
            <w:tcW w:type="dxa" w:w="3600"/>
            <w:tcMar>
              <w:top w:w="120" w:type="dxa"/>
              <w:bottom w:w="120" w:type="dxa"/>
              <w:left w:w="150" w:type="dxa"/>
              <w:right w:w="150" w:type="dxa"/>
            </w:tcMar>
            <w:shd w:fill="FFFFFF"/>
          </w:tcPr>
          <w:p>
            <w:pPr>
              <w:jc w:val="left"/>
            </w:pPr>
            <w:r>
              <w:t>Recorded Sessions by Trainer 1</w:t>
            </w:r>
          </w:p>
        </w:tc>
        <w:tc>
          <w:tcPr>
            <w:tcW w:type="dxa" w:w="1440"/>
            <w:tcMar>
              <w:top w:w="120" w:type="dxa"/>
              <w:bottom w:w="120" w:type="dxa"/>
              <w:left w:w="150" w:type="dxa"/>
              <w:right w:w="150" w:type="dxa"/>
            </w:tcMar>
            <w:shd w:fill="FFFFFF"/>
          </w:tcPr>
          <w:p>
            <w:pPr>
              <w:jc w:val="right"/>
            </w:pPr>
            <w:r>
              <w:t>110</w:t>
            </w:r>
          </w:p>
        </w:tc>
        <w:tc>
          <w:tcPr>
            <w:tcW w:type="dxa" w:w="2160"/>
            <w:tcMar>
              <w:top w:w="120" w:type="dxa"/>
              <w:bottom w:w="120" w:type="dxa"/>
              <w:left w:w="150" w:type="dxa"/>
              <w:right w:w="150" w:type="dxa"/>
            </w:tcMar>
            <w:shd w:fill="FFFFFF"/>
          </w:tcPr>
          <w:p>
            <w:pPr>
              <w:jc w:val="right"/>
            </w:pPr>
            <w:r>
              <w:t>5.3727</w:t>
            </w:r>
          </w:p>
        </w:tc>
        <w:tc>
          <w:tcPr>
            <w:tcW w:type="dxa" w:w="2160"/>
            <w:tcMar>
              <w:top w:w="120" w:type="dxa"/>
              <w:bottom w:w="120" w:type="dxa"/>
              <w:left w:w="150" w:type="dxa"/>
              <w:right w:w="150" w:type="dxa"/>
            </w:tcMar>
            <w:shd w:fill="FFFFFF"/>
          </w:tcPr>
          <w:p>
            <w:pPr>
              <w:jc w:val="right"/>
            </w:pPr>
            <w:r>
              <w:t>1.6848</w:t>
            </w:r>
          </w:p>
        </w:tc>
      </w:tr>
      <w:tr>
        <w:trPr>
          <w:cantSplit/>
        </w:trPr>
        <w:tc>
          <w:tcPr>
            <w:tcW w:type="dxa" w:w="3600"/>
            <w:tcMar>
              <w:top w:w="120" w:type="dxa"/>
              <w:bottom w:w="120" w:type="dxa"/>
              <w:left w:w="150" w:type="dxa"/>
              <w:right w:w="150" w:type="dxa"/>
            </w:tcMar>
            <w:shd w:fill="EDF2F7"/>
          </w:tcPr>
          <w:p>
            <w:pPr>
              <w:jc w:val="left"/>
            </w:pPr>
            <w:r>
              <w:rPr>
                <w:b/>
              </w:rPr>
              <w:t>Overall</w:t>
            </w:r>
          </w:p>
        </w:tc>
        <w:tc>
          <w:tcPr>
            <w:tcW w:type="dxa" w:w="1440"/>
            <w:tcMar>
              <w:top w:w="120" w:type="dxa"/>
              <w:bottom w:w="120" w:type="dxa"/>
              <w:left w:w="150" w:type="dxa"/>
              <w:right w:w="150" w:type="dxa"/>
            </w:tcMar>
            <w:shd w:fill="EDF2F7"/>
          </w:tcPr>
          <w:p>
            <w:pPr>
              <w:jc w:val="right"/>
            </w:pPr>
            <w:r>
              <w:rPr>
                <w:b/>
              </w:rPr>
              <w:t>330</w:t>
            </w:r>
          </w:p>
        </w:tc>
        <w:tc>
          <w:tcPr>
            <w:tcW w:type="dxa" w:w="2160"/>
            <w:tcMar>
              <w:top w:w="120" w:type="dxa"/>
              <w:bottom w:w="120" w:type="dxa"/>
              <w:left w:w="150" w:type="dxa"/>
              <w:right w:w="150" w:type="dxa"/>
            </w:tcMar>
            <w:shd w:fill="EDF2F7"/>
          </w:tcPr>
          <w:p>
            <w:pPr>
              <w:jc w:val="right"/>
            </w:pPr>
            <w:r>
              <w:rPr>
                <w:b/>
              </w:rPr>
              <w:t>5.7152</w:t>
            </w:r>
          </w:p>
        </w:tc>
        <w:tc>
          <w:tcPr>
            <w:tcW w:type="dxa" w:w="2160"/>
            <w:tcMar>
              <w:top w:w="120" w:type="dxa"/>
              <w:bottom w:w="120" w:type="dxa"/>
              <w:left w:w="150" w:type="dxa"/>
              <w:right w:w="150" w:type="dxa"/>
            </w:tcMar>
            <w:shd w:fill="EDF2F7"/>
          </w:tcPr>
          <w:p>
            <w:pPr>
              <w:jc w:val="right"/>
            </w:pPr>
            <w:r>
              <w:rPr>
                <w:b/>
              </w:rPr>
              <w:t>1.9898</w:t>
            </w:r>
          </w:p>
        </w:tc>
      </w:tr>
    </w:tbl>
    <w:p>
      <w:pPr>
        <w:spacing w:before="0" w:after="120" w:line="276" w:lineRule="auto"/>
      </w:pPr>
      <w:r>
        <w:t>Trainer 1 recorded the highest mean Design Modelling score at 6.1909. Trainer 2 recorded a mean of 5.5818, while the Recorded Sessions group had the lowest mean of 5.3727.</w:t>
      </w:r>
    </w:p>
    <w:p>
      <w:pPr>
        <w:spacing w:before="0" w:after="120" w:line="276" w:lineRule="auto"/>
      </w:pPr>
      <w:r>
        <w:t>The descriptive results therefore suggest a performance advantage for Trainer 1, although the differences between the groups are relatively modest compared with those observed for Technical Expertise.</w:t>
      </w:r>
    </w:p>
    <w:p>
      <w:pPr>
        <w:keepNext/>
        <w:spacing w:before="280" w:after="120"/>
      </w:pPr>
      <w:r>
        <w:rPr>
          <w:b/>
          <w:color w:val="4A5568"/>
          <w:sz w:val="28"/>
        </w:rPr>
        <w:t>6.2 Technical Expertise</w:t>
      </w:r>
    </w:p>
    <w:tbl>
      <w:tblPr>
        <w:tblW w:type="auto" w:w="0"/>
        <w:jc w:val="center"/>
        <w:tblLook w:firstColumn="1" w:firstRow="1" w:lastColumn="0" w:lastRow="0" w:noHBand="0" w:noVBand="1" w:val="04A0"/>
        <w:tblBorders>
          <w:top w:val="single" w:sz="4" w:space="0" w:color="CBD5E0"/>
          <w:bottom w:val="single" w:sz="6" w:space="0" w:color="1B365D"/>
          <w:left w:val="none"/>
          <w:right w:val="none"/>
          <w:insideH w:val="single" w:sz="4" w:space="0" w:color="CBD5E0"/>
          <w:insideV w:val="none"/>
        </w:tblBorders>
      </w:tblPr>
      <w:tblGrid>
        <w:gridCol w:w="2340"/>
        <w:gridCol w:w="2340"/>
        <w:gridCol w:w="2340"/>
        <w:gridCol w:w="2340"/>
      </w:tblGrid>
      <w:tr>
        <w:trPr>
          <w:cantSplit/>
          <w:tblHeader/>
        </w:trPr>
        <w:tc>
          <w:tcPr>
            <w:tcW w:type="dxa" w:w="3600"/>
            <w:tcMar>
              <w:top w:w="120" w:type="dxa"/>
              <w:bottom w:w="120" w:type="dxa"/>
              <w:left w:w="150" w:type="dxa"/>
              <w:right w:w="150" w:type="dxa"/>
            </w:tcMar>
            <w:shd w:fill="1B365D"/>
          </w:tcPr>
          <w:p>
            <w:pPr>
              <w:jc w:val="left"/>
            </w:pPr>
            <w:r>
              <w:rPr>
                <w:b/>
                <w:color w:val="FFFFFF"/>
              </w:rPr>
              <w:t>Training Group</w:t>
            </w:r>
          </w:p>
        </w:tc>
        <w:tc>
          <w:tcPr>
            <w:tcW w:type="dxa" w:w="1440"/>
            <w:tcMar>
              <w:top w:w="120" w:type="dxa"/>
              <w:bottom w:w="120" w:type="dxa"/>
              <w:left w:w="150" w:type="dxa"/>
              <w:right w:w="150" w:type="dxa"/>
            </w:tcMar>
            <w:shd w:fill="1B365D"/>
          </w:tcPr>
          <w:p>
            <w:pPr>
              <w:jc w:val="right"/>
            </w:pPr>
            <w:r>
              <w:rPr>
                <w:b/>
                <w:color w:val="FFFFFF"/>
              </w:rPr>
              <w:t>N</w:t>
            </w:r>
          </w:p>
        </w:tc>
        <w:tc>
          <w:tcPr>
            <w:tcW w:type="dxa" w:w="2160"/>
            <w:tcMar>
              <w:top w:w="120" w:type="dxa"/>
              <w:bottom w:w="120" w:type="dxa"/>
              <w:left w:w="150" w:type="dxa"/>
              <w:right w:w="150" w:type="dxa"/>
            </w:tcMar>
            <w:shd w:fill="1B365D"/>
          </w:tcPr>
          <w:p>
            <w:pPr>
              <w:jc w:val="right"/>
            </w:pPr>
            <w:r>
              <w:rPr>
                <w:b/>
                <w:color w:val="FFFFFF"/>
              </w:rPr>
              <w:t>Mean</w:t>
            </w:r>
          </w:p>
        </w:tc>
        <w:tc>
          <w:tcPr>
            <w:tcW w:type="dxa" w:w="2160"/>
            <w:tcMar>
              <w:top w:w="120" w:type="dxa"/>
              <w:bottom w:w="120" w:type="dxa"/>
              <w:left w:w="150" w:type="dxa"/>
              <w:right w:w="150" w:type="dxa"/>
            </w:tcMar>
            <w:shd w:fill="1B365D"/>
          </w:tcPr>
          <w:p>
            <w:pPr>
              <w:jc w:val="right"/>
            </w:pPr>
            <w:r>
              <w:rPr>
                <w:b/>
                <w:color w:val="FFFFFF"/>
              </w:rPr>
              <w:t>Standard Deviation</w:t>
            </w:r>
          </w:p>
        </w:tc>
      </w:tr>
      <w:tr>
        <w:trPr>
          <w:cantSplit/>
        </w:trPr>
        <w:tc>
          <w:tcPr>
            <w:tcW w:type="dxa" w:w="3600"/>
            <w:tcMar>
              <w:top w:w="120" w:type="dxa"/>
              <w:bottom w:w="120" w:type="dxa"/>
              <w:left w:w="150" w:type="dxa"/>
              <w:right w:w="150" w:type="dxa"/>
            </w:tcMar>
            <w:shd w:fill="FFFFFF"/>
          </w:tcPr>
          <w:p>
            <w:pPr>
              <w:jc w:val="left"/>
            </w:pPr>
            <w:r>
              <w:t>Trainer 1</w:t>
            </w:r>
          </w:p>
        </w:tc>
        <w:tc>
          <w:tcPr>
            <w:tcW w:type="dxa" w:w="1440"/>
            <w:tcMar>
              <w:top w:w="120" w:type="dxa"/>
              <w:bottom w:w="120" w:type="dxa"/>
              <w:left w:w="150" w:type="dxa"/>
              <w:right w:w="150" w:type="dxa"/>
            </w:tcMar>
            <w:shd w:fill="FFFFFF"/>
          </w:tcPr>
          <w:p>
            <w:pPr>
              <w:jc w:val="right"/>
            </w:pPr>
            <w:r>
              <w:t>110</w:t>
            </w:r>
          </w:p>
        </w:tc>
        <w:tc>
          <w:tcPr>
            <w:tcW w:type="dxa" w:w="2160"/>
            <w:tcMar>
              <w:top w:w="120" w:type="dxa"/>
              <w:bottom w:w="120" w:type="dxa"/>
              <w:left w:w="150" w:type="dxa"/>
              <w:right w:w="150" w:type="dxa"/>
            </w:tcMar>
            <w:shd w:fill="FFFFFF"/>
          </w:tcPr>
          <w:p>
            <w:pPr>
              <w:jc w:val="right"/>
            </w:pPr>
            <w:r>
              <w:t>8.6818</w:t>
            </w:r>
          </w:p>
        </w:tc>
        <w:tc>
          <w:tcPr>
            <w:tcW w:type="dxa" w:w="2160"/>
            <w:tcMar>
              <w:top w:w="120" w:type="dxa"/>
              <w:bottom w:w="120" w:type="dxa"/>
              <w:left w:w="150" w:type="dxa"/>
              <w:right w:w="150" w:type="dxa"/>
            </w:tcMar>
            <w:shd w:fill="FFFFFF"/>
          </w:tcPr>
          <w:p>
            <w:pPr>
              <w:jc w:val="right"/>
            </w:pPr>
            <w:r>
              <w:t>4.6580</w:t>
            </w:r>
          </w:p>
        </w:tc>
      </w:tr>
      <w:tr>
        <w:trPr>
          <w:cantSplit/>
        </w:trPr>
        <w:tc>
          <w:tcPr>
            <w:tcW w:type="dxa" w:w="3600"/>
            <w:tcMar>
              <w:top w:w="120" w:type="dxa"/>
              <w:bottom w:w="120" w:type="dxa"/>
              <w:left w:w="150" w:type="dxa"/>
              <w:right w:w="150" w:type="dxa"/>
            </w:tcMar>
            <w:shd w:fill="EDF2F7"/>
          </w:tcPr>
          <w:p>
            <w:pPr>
              <w:jc w:val="left"/>
            </w:pPr>
            <w:r>
              <w:t>Trainer 2</w:t>
            </w:r>
          </w:p>
        </w:tc>
        <w:tc>
          <w:tcPr>
            <w:tcW w:type="dxa" w:w="1440"/>
            <w:tcMar>
              <w:top w:w="120" w:type="dxa"/>
              <w:bottom w:w="120" w:type="dxa"/>
              <w:left w:w="150" w:type="dxa"/>
              <w:right w:w="150" w:type="dxa"/>
            </w:tcMar>
            <w:shd w:fill="EDF2F7"/>
          </w:tcPr>
          <w:p>
            <w:pPr>
              <w:jc w:val="right"/>
            </w:pPr>
            <w:r>
              <w:t>110</w:t>
            </w:r>
          </w:p>
        </w:tc>
        <w:tc>
          <w:tcPr>
            <w:tcW w:type="dxa" w:w="2160"/>
            <w:tcMar>
              <w:top w:w="120" w:type="dxa"/>
              <w:bottom w:w="120" w:type="dxa"/>
              <w:left w:w="150" w:type="dxa"/>
              <w:right w:w="150" w:type="dxa"/>
            </w:tcMar>
            <w:shd w:fill="EDF2F7"/>
          </w:tcPr>
          <w:p>
            <w:pPr>
              <w:jc w:val="right"/>
            </w:pPr>
            <w:r>
              <w:t>5.1091</w:t>
            </w:r>
          </w:p>
        </w:tc>
        <w:tc>
          <w:tcPr>
            <w:tcW w:type="dxa" w:w="2160"/>
            <w:tcMar>
              <w:top w:w="120" w:type="dxa"/>
              <w:bottom w:w="120" w:type="dxa"/>
              <w:left w:w="150" w:type="dxa"/>
              <w:right w:w="150" w:type="dxa"/>
            </w:tcMar>
            <w:shd w:fill="EDF2F7"/>
          </w:tcPr>
          <w:p>
            <w:pPr>
              <w:jc w:val="right"/>
            </w:pPr>
            <w:r>
              <w:t>2.4244</w:t>
            </w:r>
          </w:p>
        </w:tc>
      </w:tr>
      <w:tr>
        <w:trPr>
          <w:cantSplit/>
        </w:trPr>
        <w:tc>
          <w:tcPr>
            <w:tcW w:type="dxa" w:w="3600"/>
            <w:tcMar>
              <w:top w:w="120" w:type="dxa"/>
              <w:bottom w:w="120" w:type="dxa"/>
              <w:left w:w="150" w:type="dxa"/>
              <w:right w:w="150" w:type="dxa"/>
            </w:tcMar>
            <w:shd w:fill="FFFFFF"/>
          </w:tcPr>
          <w:p>
            <w:pPr>
              <w:jc w:val="left"/>
            </w:pPr>
            <w:r>
              <w:t>Recorded Sessions by Trainer 1</w:t>
            </w:r>
          </w:p>
        </w:tc>
        <w:tc>
          <w:tcPr>
            <w:tcW w:type="dxa" w:w="1440"/>
            <w:tcMar>
              <w:top w:w="120" w:type="dxa"/>
              <w:bottom w:w="120" w:type="dxa"/>
              <w:left w:w="150" w:type="dxa"/>
              <w:right w:w="150" w:type="dxa"/>
            </w:tcMar>
            <w:shd w:fill="FFFFFF"/>
          </w:tcPr>
          <w:p>
            <w:pPr>
              <w:jc w:val="right"/>
            </w:pPr>
            <w:r>
              <w:t>110</w:t>
            </w:r>
          </w:p>
        </w:tc>
        <w:tc>
          <w:tcPr>
            <w:tcW w:type="dxa" w:w="2160"/>
            <w:tcMar>
              <w:top w:w="120" w:type="dxa"/>
              <w:bottom w:w="120" w:type="dxa"/>
              <w:left w:w="150" w:type="dxa"/>
              <w:right w:w="150" w:type="dxa"/>
            </w:tcMar>
            <w:shd w:fill="FFFFFF"/>
          </w:tcPr>
          <w:p>
            <w:pPr>
              <w:jc w:val="right"/>
            </w:pPr>
            <w:r>
              <w:t>5.6364</w:t>
            </w:r>
          </w:p>
        </w:tc>
        <w:tc>
          <w:tcPr>
            <w:tcW w:type="dxa" w:w="2160"/>
            <w:tcMar>
              <w:top w:w="120" w:type="dxa"/>
              <w:bottom w:w="120" w:type="dxa"/>
              <w:left w:w="150" w:type="dxa"/>
              <w:right w:w="150" w:type="dxa"/>
            </w:tcMar>
            <w:shd w:fill="FFFFFF"/>
          </w:tcPr>
          <w:p>
            <w:pPr>
              <w:jc w:val="right"/>
            </w:pPr>
            <w:r>
              <w:t>3.3973</w:t>
            </w:r>
          </w:p>
        </w:tc>
      </w:tr>
      <w:tr>
        <w:trPr>
          <w:cantSplit/>
        </w:trPr>
        <w:tc>
          <w:tcPr>
            <w:tcW w:type="dxa" w:w="3600"/>
            <w:tcMar>
              <w:top w:w="120" w:type="dxa"/>
              <w:bottom w:w="120" w:type="dxa"/>
              <w:left w:w="150" w:type="dxa"/>
              <w:right w:w="150" w:type="dxa"/>
            </w:tcMar>
            <w:shd w:fill="EDF2F7"/>
          </w:tcPr>
          <w:p>
            <w:pPr>
              <w:jc w:val="left"/>
            </w:pPr>
            <w:r>
              <w:rPr>
                <w:b/>
              </w:rPr>
              <w:t>Overall</w:t>
            </w:r>
          </w:p>
        </w:tc>
        <w:tc>
          <w:tcPr>
            <w:tcW w:type="dxa" w:w="1440"/>
            <w:tcMar>
              <w:top w:w="120" w:type="dxa"/>
              <w:bottom w:w="120" w:type="dxa"/>
              <w:left w:w="150" w:type="dxa"/>
              <w:right w:w="150" w:type="dxa"/>
            </w:tcMar>
            <w:shd w:fill="EDF2F7"/>
          </w:tcPr>
          <w:p>
            <w:pPr>
              <w:jc w:val="right"/>
            </w:pPr>
            <w:r>
              <w:rPr>
                <w:b/>
              </w:rPr>
              <w:t>330</w:t>
            </w:r>
          </w:p>
        </w:tc>
        <w:tc>
          <w:tcPr>
            <w:tcW w:type="dxa" w:w="2160"/>
            <w:tcMar>
              <w:top w:w="120" w:type="dxa"/>
              <w:bottom w:w="120" w:type="dxa"/>
              <w:left w:w="150" w:type="dxa"/>
              <w:right w:w="150" w:type="dxa"/>
            </w:tcMar>
            <w:shd w:fill="EDF2F7"/>
          </w:tcPr>
          <w:p>
            <w:pPr>
              <w:jc w:val="right"/>
            </w:pPr>
            <w:r>
              <w:rPr>
                <w:b/>
              </w:rPr>
              <w:t>6.4758</w:t>
            </w:r>
          </w:p>
        </w:tc>
        <w:tc>
          <w:tcPr>
            <w:tcW w:type="dxa" w:w="2160"/>
            <w:tcMar>
              <w:top w:w="120" w:type="dxa"/>
              <w:bottom w:w="120" w:type="dxa"/>
              <w:left w:w="150" w:type="dxa"/>
              <w:right w:w="150" w:type="dxa"/>
            </w:tcMar>
            <w:shd w:fill="EDF2F7"/>
          </w:tcPr>
          <w:p>
            <w:pPr>
              <w:jc w:val="right"/>
            </w:pPr>
            <w:r>
              <w:rPr>
                <w:b/>
              </w:rPr>
              <w:t>3.9303</w:t>
            </w:r>
          </w:p>
        </w:tc>
      </w:tr>
    </w:tbl>
    <w:p>
      <w:pPr>
        <w:spacing w:before="0" w:after="120" w:line="276" w:lineRule="auto"/>
      </w:pPr>
      <w:r>
        <w:t>Trainer 1 recorded a substantially higher mean Technical Expertise score of 8.6818. Trainer 2 recorded the lowest mean at 5.1091, while the Recorded Sessions group recorded a mean of 5.6364.</w:t>
      </w:r>
    </w:p>
    <w:p>
      <w:pPr>
        <w:spacing w:before="0" w:after="120" w:line="276" w:lineRule="auto"/>
      </w:pPr>
      <w:r>
        <w:t>The descriptive results suggest that the difference between training conditions is considerably more pronounced for Technical Expertise than for Design Modelling.</w:t>
      </w:r>
    </w:p>
    <w:p>
      <w:pPr>
        <w:keepNext/>
        <w:spacing w:before="360" w:after="160"/>
        <w:pBdr>
          <w:bottom w:val="single" w:sz="12" w:space="4" w:color="1B365D"/>
        </w:pBdr>
      </w:pPr>
      <w:r>
        <w:rPr>
          <w:b/>
          <w:color w:val="1B365D"/>
          <w:sz w:val="36"/>
        </w:rPr>
        <w:t>7. Multivariate Analysis of Variance (MANOVA)</w:t>
      </w:r>
    </w:p>
    <w:p>
      <w:pPr>
        <w:spacing w:before="0" w:after="120" w:line="276" w:lineRule="auto"/>
      </w:pPr>
      <w:r>
        <w:t>A one-way MANOVA was conducted to determine whether the three training conditions differed significantly when the two dependent variables were considered together.</w:t>
      </w:r>
    </w:p>
    <w:p>
      <w:pPr>
        <w:spacing w:before="0" w:after="120" w:line="276" w:lineRule="auto"/>
      </w:pPr>
      <w:r>
        <w:t>The dependent variable vector consisted of Design Modelling and Technical Expertise. The multivariate tests produced statistically significant results across all four commonly reported MANOVA statistics:</w:t>
      </w:r>
    </w:p>
    <w:tbl>
      <w:tblPr>
        <w:tblW w:type="auto" w:w="0"/>
        <w:jc w:val="center"/>
        <w:tblLook w:firstColumn="1" w:firstRow="1" w:lastColumn="0" w:lastRow="0" w:noHBand="0" w:noVBand="1" w:val="04A0"/>
        <w:tblBorders>
          <w:top w:val="single" w:sz="4" w:space="0" w:color="CBD5E0"/>
          <w:bottom w:val="single" w:sz="6" w:space="0" w:color="1B365D"/>
          <w:left w:val="none"/>
          <w:right w:val="none"/>
          <w:insideH w:val="single" w:sz="4" w:space="0" w:color="CBD5E0"/>
          <w:insideV w:val="none"/>
        </w:tblBorders>
      </w:tblPr>
      <w:tblGrid>
        <w:gridCol w:w="1872"/>
        <w:gridCol w:w="1872"/>
        <w:gridCol w:w="1872"/>
        <w:gridCol w:w="1872"/>
        <w:gridCol w:w="1872"/>
      </w:tblGrid>
      <w:tr>
        <w:trPr>
          <w:cantSplit/>
          <w:tblHeader/>
        </w:trPr>
        <w:tc>
          <w:tcPr>
            <w:tcW w:type="dxa" w:w="3168"/>
            <w:tcMar>
              <w:top w:w="120" w:type="dxa"/>
              <w:bottom w:w="120" w:type="dxa"/>
              <w:left w:w="150" w:type="dxa"/>
              <w:right w:w="150" w:type="dxa"/>
            </w:tcMar>
            <w:shd w:fill="1B365D"/>
          </w:tcPr>
          <w:p>
            <w:pPr>
              <w:jc w:val="left"/>
            </w:pPr>
            <w:r>
              <w:rPr>
                <w:b/>
                <w:color w:val="FFFFFF"/>
              </w:rPr>
              <w:t>Multivariate Test</w:t>
            </w:r>
          </w:p>
        </w:tc>
        <w:tc>
          <w:tcPr>
            <w:tcW w:type="dxa" w:w="1440"/>
            <w:tcMar>
              <w:top w:w="120" w:type="dxa"/>
              <w:bottom w:w="120" w:type="dxa"/>
              <w:left w:w="150" w:type="dxa"/>
              <w:right w:w="150" w:type="dxa"/>
            </w:tcMar>
            <w:shd w:fill="1B365D"/>
          </w:tcPr>
          <w:p>
            <w:pPr>
              <w:jc w:val="right"/>
            </w:pPr>
            <w:r>
              <w:rPr>
                <w:b/>
                <w:color w:val="FFFFFF"/>
              </w:rPr>
              <w:t>Value</w:t>
            </w:r>
          </w:p>
        </w:tc>
        <w:tc>
          <w:tcPr>
            <w:tcW w:type="dxa" w:w="1584"/>
            <w:tcMar>
              <w:top w:w="120" w:type="dxa"/>
              <w:bottom w:w="120" w:type="dxa"/>
              <w:left w:w="150" w:type="dxa"/>
              <w:right w:w="150" w:type="dxa"/>
            </w:tcMar>
            <w:shd w:fill="1B365D"/>
          </w:tcPr>
          <w:p>
            <w:pPr>
              <w:jc w:val="right"/>
            </w:pPr>
            <w:r>
              <w:rPr>
                <w:b/>
                <w:color w:val="FFFFFF"/>
              </w:rPr>
              <w:t>F</w:t>
            </w:r>
          </w:p>
        </w:tc>
        <w:tc>
          <w:tcPr>
            <w:tcW w:type="dxa" w:w="1440"/>
            <w:tcMar>
              <w:top w:w="120" w:type="dxa"/>
              <w:bottom w:w="120" w:type="dxa"/>
              <w:left w:w="150" w:type="dxa"/>
              <w:right w:w="150" w:type="dxa"/>
            </w:tcMar>
            <w:shd w:fill="1B365D"/>
          </w:tcPr>
          <w:p>
            <w:pPr>
              <w:jc w:val="center"/>
            </w:pPr>
            <w:r>
              <w:rPr>
                <w:b/>
                <w:color w:val="FFFFFF"/>
              </w:rPr>
              <w:t>df</w:t>
            </w:r>
          </w:p>
        </w:tc>
        <w:tc>
          <w:tcPr>
            <w:tcW w:type="dxa" w:w="1728"/>
            <w:tcMar>
              <w:top w:w="120" w:type="dxa"/>
              <w:bottom w:w="120" w:type="dxa"/>
              <w:left w:w="150" w:type="dxa"/>
              <w:right w:w="150" w:type="dxa"/>
            </w:tcMar>
            <w:shd w:fill="1B365D"/>
          </w:tcPr>
          <w:p>
            <w:pPr>
              <w:jc w:val="right"/>
            </w:pPr>
            <w:r>
              <w:rPr>
                <w:b/>
                <w:color w:val="FFFFFF"/>
              </w:rPr>
              <w:t>Significance</w:t>
            </w:r>
          </w:p>
        </w:tc>
      </w:tr>
      <w:tr>
        <w:trPr>
          <w:cantSplit/>
        </w:trPr>
        <w:tc>
          <w:tcPr>
            <w:tcW w:type="dxa" w:w="3168"/>
            <w:tcMar>
              <w:top w:w="120" w:type="dxa"/>
              <w:bottom w:w="120" w:type="dxa"/>
              <w:left w:w="150" w:type="dxa"/>
              <w:right w:w="150" w:type="dxa"/>
            </w:tcMar>
            <w:shd w:fill="FFFFFF"/>
          </w:tcPr>
          <w:p>
            <w:pPr>
              <w:jc w:val="left"/>
            </w:pPr>
            <w:r>
              <w:t>Pillai's Trace</w:t>
            </w:r>
          </w:p>
        </w:tc>
        <w:tc>
          <w:tcPr>
            <w:tcW w:type="dxa" w:w="1440"/>
            <w:tcMar>
              <w:top w:w="120" w:type="dxa"/>
              <w:bottom w:w="120" w:type="dxa"/>
              <w:left w:w="150" w:type="dxa"/>
              <w:right w:w="150" w:type="dxa"/>
            </w:tcMar>
            <w:shd w:fill="FFFFFF"/>
          </w:tcPr>
          <w:p>
            <w:pPr>
              <w:jc w:val="right"/>
            </w:pPr>
            <w:r>
              <w:t>0.173</w:t>
            </w:r>
          </w:p>
        </w:tc>
        <w:tc>
          <w:tcPr>
            <w:tcW w:type="dxa" w:w="1584"/>
            <w:tcMar>
              <w:top w:w="120" w:type="dxa"/>
              <w:bottom w:w="120" w:type="dxa"/>
              <w:left w:w="150" w:type="dxa"/>
              <w:right w:w="150" w:type="dxa"/>
            </w:tcMar>
            <w:shd w:fill="FFFFFF"/>
          </w:tcPr>
          <w:p>
            <w:pPr>
              <w:jc w:val="right"/>
            </w:pPr>
            <w:r>
              <w:t>15.442</w:t>
            </w:r>
          </w:p>
        </w:tc>
        <w:tc>
          <w:tcPr>
            <w:tcW w:type="dxa" w:w="1440"/>
            <w:tcMar>
              <w:top w:w="120" w:type="dxa"/>
              <w:bottom w:w="120" w:type="dxa"/>
              <w:left w:w="150" w:type="dxa"/>
              <w:right w:w="150" w:type="dxa"/>
            </w:tcMar>
            <w:shd w:fill="FFFFFF"/>
          </w:tcPr>
          <w:p>
            <w:pPr>
              <w:jc w:val="center"/>
            </w:pPr>
            <w:r>
              <w:t>4, 654</w:t>
            </w:r>
          </w:p>
        </w:tc>
        <w:tc>
          <w:tcPr>
            <w:tcW w:type="dxa" w:w="1728"/>
            <w:tcMar>
              <w:top w:w="120" w:type="dxa"/>
              <w:bottom w:w="120" w:type="dxa"/>
              <w:left w:w="150" w:type="dxa"/>
              <w:right w:w="150" w:type="dxa"/>
            </w:tcMar>
            <w:shd w:fill="FFFFFF"/>
          </w:tcPr>
          <w:p>
            <w:pPr>
              <w:jc w:val="right"/>
            </w:pPr>
            <w:r>
              <w:t>p &lt; .001</w:t>
            </w:r>
          </w:p>
        </w:tc>
      </w:tr>
      <w:tr>
        <w:trPr>
          <w:cantSplit/>
        </w:trPr>
        <w:tc>
          <w:tcPr>
            <w:tcW w:type="dxa" w:w="3168"/>
            <w:tcMar>
              <w:top w:w="120" w:type="dxa"/>
              <w:bottom w:w="120" w:type="dxa"/>
              <w:left w:w="150" w:type="dxa"/>
              <w:right w:w="150" w:type="dxa"/>
            </w:tcMar>
            <w:shd w:fill="EDF2F7"/>
          </w:tcPr>
          <w:p>
            <w:pPr>
              <w:jc w:val="left"/>
            </w:pPr>
            <w:r>
              <w:t>Wilks' Lambda</w:t>
            </w:r>
          </w:p>
        </w:tc>
        <w:tc>
          <w:tcPr>
            <w:tcW w:type="dxa" w:w="1440"/>
            <w:tcMar>
              <w:top w:w="120" w:type="dxa"/>
              <w:bottom w:w="120" w:type="dxa"/>
              <w:left w:w="150" w:type="dxa"/>
              <w:right w:w="150" w:type="dxa"/>
            </w:tcMar>
            <w:shd w:fill="EDF2F7"/>
          </w:tcPr>
          <w:p>
            <w:pPr>
              <w:jc w:val="right"/>
            </w:pPr>
            <w:r>
              <w:t>0.828</w:t>
            </w:r>
          </w:p>
        </w:tc>
        <w:tc>
          <w:tcPr>
            <w:tcW w:type="dxa" w:w="1584"/>
            <w:tcMar>
              <w:top w:w="120" w:type="dxa"/>
              <w:bottom w:w="120" w:type="dxa"/>
              <w:left w:w="150" w:type="dxa"/>
              <w:right w:w="150" w:type="dxa"/>
            </w:tcMar>
            <w:shd w:fill="EDF2F7"/>
          </w:tcPr>
          <w:p>
            <w:pPr>
              <w:jc w:val="right"/>
            </w:pPr>
            <w:r>
              <w:t>16.117</w:t>
            </w:r>
          </w:p>
        </w:tc>
        <w:tc>
          <w:tcPr>
            <w:tcW w:type="dxa" w:w="1440"/>
            <w:tcMar>
              <w:top w:w="120" w:type="dxa"/>
              <w:bottom w:w="120" w:type="dxa"/>
              <w:left w:w="150" w:type="dxa"/>
              <w:right w:w="150" w:type="dxa"/>
            </w:tcMar>
            <w:shd w:fill="EDF2F7"/>
          </w:tcPr>
          <w:p>
            <w:pPr>
              <w:jc w:val="center"/>
            </w:pPr>
            <w:r>
              <w:t>4, 652</w:t>
            </w:r>
          </w:p>
        </w:tc>
        <w:tc>
          <w:tcPr>
            <w:tcW w:type="dxa" w:w="1728"/>
            <w:tcMar>
              <w:top w:w="120" w:type="dxa"/>
              <w:bottom w:w="120" w:type="dxa"/>
              <w:left w:w="150" w:type="dxa"/>
              <w:right w:w="150" w:type="dxa"/>
            </w:tcMar>
            <w:shd w:fill="EDF2F7"/>
          </w:tcPr>
          <w:p>
            <w:pPr>
              <w:jc w:val="right"/>
            </w:pPr>
            <w:r>
              <w:t>p &lt; .001</w:t>
            </w:r>
          </w:p>
        </w:tc>
      </w:tr>
      <w:tr>
        <w:trPr>
          <w:cantSplit/>
        </w:trPr>
        <w:tc>
          <w:tcPr>
            <w:tcW w:type="dxa" w:w="3168"/>
            <w:tcMar>
              <w:top w:w="120" w:type="dxa"/>
              <w:bottom w:w="120" w:type="dxa"/>
              <w:left w:w="150" w:type="dxa"/>
              <w:right w:w="150" w:type="dxa"/>
            </w:tcMar>
            <w:shd w:fill="FFFFFF"/>
          </w:tcPr>
          <w:p>
            <w:pPr>
              <w:jc w:val="left"/>
            </w:pPr>
            <w:r>
              <w:t>Hotelling's Trace</w:t>
            </w:r>
          </w:p>
        </w:tc>
        <w:tc>
          <w:tcPr>
            <w:tcW w:type="dxa" w:w="1440"/>
            <w:tcMar>
              <w:top w:w="120" w:type="dxa"/>
              <w:bottom w:w="120" w:type="dxa"/>
              <w:left w:w="150" w:type="dxa"/>
              <w:right w:w="150" w:type="dxa"/>
            </w:tcMar>
            <w:shd w:fill="FFFFFF"/>
          </w:tcPr>
          <w:p>
            <w:pPr>
              <w:jc w:val="right"/>
            </w:pPr>
            <w:r>
              <w:t>0.207</w:t>
            </w:r>
          </w:p>
        </w:tc>
        <w:tc>
          <w:tcPr>
            <w:tcW w:type="dxa" w:w="1584"/>
            <w:tcMar>
              <w:top w:w="120" w:type="dxa"/>
              <w:bottom w:w="120" w:type="dxa"/>
              <w:left w:w="150" w:type="dxa"/>
              <w:right w:w="150" w:type="dxa"/>
            </w:tcMar>
            <w:shd w:fill="FFFFFF"/>
          </w:tcPr>
          <w:p>
            <w:pPr>
              <w:jc w:val="right"/>
            </w:pPr>
            <w:r>
              <w:t>16.791</w:t>
            </w:r>
          </w:p>
        </w:tc>
        <w:tc>
          <w:tcPr>
            <w:tcW w:type="dxa" w:w="1440"/>
            <w:tcMar>
              <w:top w:w="120" w:type="dxa"/>
              <w:bottom w:w="120" w:type="dxa"/>
              <w:left w:w="150" w:type="dxa"/>
              <w:right w:w="150" w:type="dxa"/>
            </w:tcMar>
            <w:shd w:fill="FFFFFF"/>
          </w:tcPr>
          <w:p>
            <w:pPr>
              <w:jc w:val="center"/>
            </w:pPr>
            <w:r>
              <w:t>4, 650</w:t>
            </w:r>
          </w:p>
        </w:tc>
        <w:tc>
          <w:tcPr>
            <w:tcW w:type="dxa" w:w="1728"/>
            <w:tcMar>
              <w:top w:w="120" w:type="dxa"/>
              <w:bottom w:w="120" w:type="dxa"/>
              <w:left w:w="150" w:type="dxa"/>
              <w:right w:w="150" w:type="dxa"/>
            </w:tcMar>
            <w:shd w:fill="FFFFFF"/>
          </w:tcPr>
          <w:p>
            <w:pPr>
              <w:jc w:val="right"/>
            </w:pPr>
            <w:r>
              <w:t>p &lt; .001</w:t>
            </w:r>
          </w:p>
        </w:tc>
      </w:tr>
      <w:tr>
        <w:trPr>
          <w:cantSplit/>
        </w:trPr>
        <w:tc>
          <w:tcPr>
            <w:tcW w:type="dxa" w:w="3168"/>
            <w:tcMar>
              <w:top w:w="120" w:type="dxa"/>
              <w:bottom w:w="120" w:type="dxa"/>
              <w:left w:w="150" w:type="dxa"/>
              <w:right w:w="150" w:type="dxa"/>
            </w:tcMar>
            <w:shd w:fill="EDF2F7"/>
          </w:tcPr>
          <w:p>
            <w:pPr>
              <w:jc w:val="left"/>
            </w:pPr>
            <w:r>
              <w:t>Roy's Largest Root</w:t>
            </w:r>
          </w:p>
        </w:tc>
        <w:tc>
          <w:tcPr>
            <w:tcW w:type="dxa" w:w="1440"/>
            <w:tcMar>
              <w:top w:w="120" w:type="dxa"/>
              <w:bottom w:w="120" w:type="dxa"/>
              <w:left w:w="150" w:type="dxa"/>
              <w:right w:w="150" w:type="dxa"/>
            </w:tcMar>
            <w:shd w:fill="EDF2F7"/>
          </w:tcPr>
          <w:p>
            <w:pPr>
              <w:jc w:val="right"/>
            </w:pPr>
            <w:r>
              <w:t>0.202</w:t>
            </w:r>
          </w:p>
        </w:tc>
        <w:tc>
          <w:tcPr>
            <w:tcW w:type="dxa" w:w="1584"/>
            <w:tcMar>
              <w:top w:w="120" w:type="dxa"/>
              <w:bottom w:w="120" w:type="dxa"/>
              <w:left w:w="150" w:type="dxa"/>
              <w:right w:w="150" w:type="dxa"/>
            </w:tcMar>
            <w:shd w:fill="EDF2F7"/>
          </w:tcPr>
          <w:p>
            <w:pPr>
              <w:jc w:val="right"/>
            </w:pPr>
            <w:r>
              <w:t>33.084</w:t>
            </w:r>
          </w:p>
        </w:tc>
        <w:tc>
          <w:tcPr>
            <w:tcW w:type="dxa" w:w="1440"/>
            <w:tcMar>
              <w:top w:w="120" w:type="dxa"/>
              <w:bottom w:w="120" w:type="dxa"/>
              <w:left w:w="150" w:type="dxa"/>
              <w:right w:w="150" w:type="dxa"/>
            </w:tcMar>
            <w:shd w:fill="EDF2F7"/>
          </w:tcPr>
          <w:p>
            <w:pPr>
              <w:jc w:val="center"/>
            </w:pPr>
            <w:r>
              <w:t>2, 327</w:t>
            </w:r>
          </w:p>
        </w:tc>
        <w:tc>
          <w:tcPr>
            <w:tcW w:type="dxa" w:w="1728"/>
            <w:tcMar>
              <w:top w:w="120" w:type="dxa"/>
              <w:bottom w:w="120" w:type="dxa"/>
              <w:left w:w="150" w:type="dxa"/>
              <w:right w:w="150" w:type="dxa"/>
            </w:tcMar>
            <w:shd w:fill="EDF2F7"/>
          </w:tcPr>
          <w:p>
            <w:pPr>
              <w:jc w:val="right"/>
            </w:pPr>
            <w:r>
              <w:t>p &lt; .001</w:t>
            </w:r>
          </w:p>
        </w:tc>
      </w:tr>
    </w:tbl>
    <w:p>
      <w:pPr>
        <w:spacing w:before="0" w:after="120" w:line="276" w:lineRule="auto"/>
      </w:pPr>
      <w:r>
        <w:t>The results consistently indicate a statistically significant multivariate effect of Training_Group on the combined dependent variables.</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b/>
                <w:color w:val="1B365D"/>
              </w:rPr>
              <w:t xml:space="preserve">Wilks' Lambda Primary Statistic: </w:t>
            </w:r>
            <w:r>
              <w:rPr>
                <w:color w:val="2D3748"/>
              </w:rPr>
              <w:t>Wilks' Λ = 0.828, F(4, 652) = 16.117, p &lt; .001</w:t>
            </w:r>
          </w:p>
        </w:tc>
      </w:tr>
    </w:tbl>
    <w:p>
      <w:pPr>
        <w:spacing w:before="0" w:after="120"/>
      </w:pPr>
    </w:p>
    <w:p>
      <w:pPr>
        <w:spacing w:before="0" w:after="120" w:line="276" w:lineRule="auto"/>
      </w:pPr>
      <w:r>
        <w:t>Therefore, the null hypothesis that the three training groups have equal mean vectors across Design Modelling and Technical Expertise is rejected. The MANOVA results provide evidence that the overall pattern of learning outcomes differs significantly across the three training conditions.</w:t>
      </w:r>
    </w:p>
    <w:p>
      <w:pPr>
        <w:keepNext/>
        <w:spacing w:before="360" w:after="160"/>
        <w:pBdr>
          <w:bottom w:val="single" w:sz="12" w:space="4" w:color="1B365D"/>
        </w:pBdr>
      </w:pPr>
      <w:r>
        <w:rPr>
          <w:b/>
          <w:color w:val="1B365D"/>
          <w:sz w:val="36"/>
        </w:rPr>
        <w:t>8. Follow-Up Univariate ANOVA</w:t>
      </w:r>
    </w:p>
    <w:p>
      <w:pPr>
        <w:spacing w:before="0" w:after="120" w:line="276" w:lineRule="auto"/>
      </w:pPr>
      <w:r>
        <w:t>Because the overall MANOVA was statistically significant, follow-up univariate ANOVAs were examined to determine which individual dependent variables contributed to the overall multivariate effect.</w:t>
      </w:r>
    </w:p>
    <w:p>
      <w:pPr>
        <w:keepNext/>
        <w:spacing w:before="280" w:after="120"/>
      </w:pPr>
      <w:r>
        <w:rPr>
          <w:b/>
          <w:color w:val="4A5568"/>
          <w:sz w:val="28"/>
        </w:rPr>
        <w:t>8.1 Design Modelling</w:t>
      </w:r>
    </w:p>
    <w:p>
      <w:pPr>
        <w:spacing w:before="0" w:after="120" w:line="276" w:lineRule="auto"/>
      </w:pPr>
      <w:r>
        <w:t>The univariate ANOVA for Design Modelling produced F(2, 327) = 5.146, p = .006. The result is statistically significant at the .05 significance level.</w:t>
      </w:r>
    </w:p>
    <w:p>
      <w:pPr>
        <w:spacing w:before="0" w:after="120" w:line="276" w:lineRule="auto"/>
      </w:pPr>
      <w:r>
        <w:t>The partial eta squared effect size was ηp² = .031, indicating that approximately 3.1% of the variance in Design Modelling scores is associated with the Training_Group factor within this model.</w:t>
      </w:r>
    </w:p>
    <w:p>
      <w:pPr>
        <w:spacing w:before="0" w:after="120" w:line="276" w:lineRule="auto"/>
      </w:pPr>
      <w:r>
        <w:t>The effect is relatively small compared with the effect observed for Technical Expertise. Therefore, while training condition has a statistically significant relationship with Design Modelling performance, the magnitude of the group effect is comparatively limited.</w:t>
      </w:r>
    </w:p>
    <w:p>
      <w:pPr>
        <w:keepNext/>
        <w:spacing w:before="280" w:after="120"/>
      </w:pPr>
      <w:r>
        <w:rPr>
          <w:b/>
          <w:color w:val="4A5568"/>
          <w:sz w:val="28"/>
        </w:rPr>
        <w:t>8.2 Technical Expertise</w:t>
      </w:r>
    </w:p>
    <w:p>
      <w:pPr>
        <w:spacing w:before="0" w:after="120" w:line="276" w:lineRule="auto"/>
      </w:pPr>
      <w:r>
        <w:t>The univariate ANOVA for Technical Expertise produced F(2, 327) = 31.379, p &lt; .001. This result is highly statistically significant.</w:t>
      </w:r>
    </w:p>
    <w:p>
      <w:pPr>
        <w:spacing w:before="0" w:after="120" w:line="276" w:lineRule="auto"/>
      </w:pPr>
      <w:r>
        <w:t>The partial eta squared effect size was ηp² = .161, indicating that approximately 16.1% of the variance in Technical Expertise scores is associated with the Training_Group factor within this model.</w:t>
      </w:r>
    </w:p>
    <w:p>
      <w:pPr>
        <w:spacing w:before="0" w:after="120" w:line="276" w:lineRule="auto"/>
      </w:pPr>
      <w:r>
        <w:t>The effect size is substantially larger than that observed for Design Modelling. The results therefore suggest that the training condition has a considerably stronger association with Technical Expertise performance than with Design Modelling performance.</w:t>
      </w:r>
    </w:p>
    <w:tbl>
      <w:tblPr>
        <w:tblW w:type="auto" w:w="0"/>
        <w:jc w:val="center"/>
        <w:tblLook w:firstColumn="1" w:firstRow="1" w:lastColumn="0" w:lastRow="0" w:noHBand="0" w:noVBand="1" w:val="04A0"/>
        <w:tblBorders>
          <w:top w:val="single" w:sz="4" w:space="0" w:color="CBD5E0"/>
          <w:bottom w:val="single" w:sz="6" w:space="0" w:color="1B365D"/>
          <w:left w:val="none"/>
          <w:right w:val="none"/>
          <w:insideH w:val="single" w:sz="4" w:space="0" w:color="CBD5E0"/>
          <w:insideV w:val="none"/>
        </w:tblBorders>
      </w:tblPr>
      <w:tblGrid>
        <w:gridCol w:w="1560"/>
        <w:gridCol w:w="1560"/>
        <w:gridCol w:w="1560"/>
        <w:gridCol w:w="1560"/>
        <w:gridCol w:w="1560"/>
        <w:gridCol w:w="1560"/>
      </w:tblGrid>
      <w:tr>
        <w:trPr>
          <w:cantSplit/>
          <w:tblHeader/>
        </w:trPr>
        <w:tc>
          <w:tcPr>
            <w:tcW w:type="dxa" w:w="2592"/>
            <w:tcMar>
              <w:top w:w="120" w:type="dxa"/>
              <w:bottom w:w="120" w:type="dxa"/>
              <w:left w:w="150" w:type="dxa"/>
              <w:right w:w="150" w:type="dxa"/>
            </w:tcMar>
            <w:shd w:fill="1B365D"/>
          </w:tcPr>
          <w:p>
            <w:pPr>
              <w:jc w:val="left"/>
            </w:pPr>
            <w:r>
              <w:rPr>
                <w:b/>
                <w:color w:val="FFFFFF"/>
              </w:rPr>
              <w:t>Outcome Measure</w:t>
            </w:r>
          </w:p>
        </w:tc>
        <w:tc>
          <w:tcPr>
            <w:tcW w:type="dxa" w:w="1296"/>
            <w:tcMar>
              <w:top w:w="120" w:type="dxa"/>
              <w:bottom w:w="120" w:type="dxa"/>
              <w:left w:w="150" w:type="dxa"/>
              <w:right w:w="150" w:type="dxa"/>
            </w:tcMar>
            <w:shd w:fill="1B365D"/>
          </w:tcPr>
          <w:p>
            <w:pPr>
              <w:jc w:val="center"/>
            </w:pPr>
            <w:r>
              <w:rPr>
                <w:b/>
                <w:color w:val="FFFFFF"/>
              </w:rPr>
              <w:t>df</w:t>
            </w:r>
          </w:p>
        </w:tc>
        <w:tc>
          <w:tcPr>
            <w:tcW w:type="dxa" w:w="1296"/>
            <w:tcMar>
              <w:top w:w="120" w:type="dxa"/>
              <w:bottom w:w="120" w:type="dxa"/>
              <w:left w:w="150" w:type="dxa"/>
              <w:right w:w="150" w:type="dxa"/>
            </w:tcMar>
            <w:shd w:fill="1B365D"/>
          </w:tcPr>
          <w:p>
            <w:pPr>
              <w:jc w:val="right"/>
            </w:pPr>
            <w:r>
              <w:rPr>
                <w:b/>
                <w:color w:val="FFFFFF"/>
              </w:rPr>
              <w:t>F Value</w:t>
            </w:r>
          </w:p>
        </w:tc>
        <w:tc>
          <w:tcPr>
            <w:tcW w:type="dxa" w:w="1296"/>
            <w:tcMar>
              <w:top w:w="120" w:type="dxa"/>
              <w:bottom w:w="120" w:type="dxa"/>
              <w:left w:w="150" w:type="dxa"/>
              <w:right w:w="150" w:type="dxa"/>
            </w:tcMar>
            <w:shd w:fill="1B365D"/>
          </w:tcPr>
          <w:p>
            <w:pPr>
              <w:jc w:val="right"/>
            </w:pPr>
            <w:r>
              <w:rPr>
                <w:b/>
                <w:color w:val="FFFFFF"/>
              </w:rPr>
              <w:t>p-value</w:t>
            </w:r>
          </w:p>
        </w:tc>
        <w:tc>
          <w:tcPr>
            <w:tcW w:type="dxa" w:w="1440"/>
            <w:tcMar>
              <w:top w:w="120" w:type="dxa"/>
              <w:bottom w:w="120" w:type="dxa"/>
              <w:left w:w="150" w:type="dxa"/>
              <w:right w:w="150" w:type="dxa"/>
            </w:tcMar>
            <w:shd w:fill="1B365D"/>
          </w:tcPr>
          <w:p>
            <w:pPr>
              <w:jc w:val="right"/>
            </w:pPr>
            <w:r>
              <w:rPr>
                <w:b/>
                <w:color w:val="FFFFFF"/>
              </w:rPr>
              <w:t>ηp²</w:t>
            </w:r>
          </w:p>
        </w:tc>
        <w:tc>
          <w:tcPr>
            <w:tcW w:type="dxa" w:w="1440"/>
            <w:tcMar>
              <w:top w:w="120" w:type="dxa"/>
              <w:bottom w:w="120" w:type="dxa"/>
              <w:left w:w="150" w:type="dxa"/>
              <w:right w:w="150" w:type="dxa"/>
            </w:tcMar>
            <w:shd w:fill="1B365D"/>
          </w:tcPr>
          <w:p>
            <w:pPr>
              <w:jc w:val="right"/>
            </w:pPr>
            <w:r>
              <w:rPr>
                <w:b/>
                <w:color w:val="FFFFFF"/>
              </w:rPr>
              <w:t>Effect Size</w:t>
            </w:r>
          </w:p>
        </w:tc>
      </w:tr>
      <w:tr>
        <w:trPr>
          <w:cantSplit/>
        </w:trPr>
        <w:tc>
          <w:tcPr>
            <w:tcW w:type="dxa" w:w="2592"/>
            <w:tcMar>
              <w:top w:w="120" w:type="dxa"/>
              <w:bottom w:w="120" w:type="dxa"/>
              <w:left w:w="150" w:type="dxa"/>
              <w:right w:w="150" w:type="dxa"/>
            </w:tcMar>
            <w:shd w:fill="FFFFFF"/>
          </w:tcPr>
          <w:p>
            <w:pPr>
              <w:jc w:val="left"/>
            </w:pPr>
            <w:r>
              <w:t>Design Modelling</w:t>
            </w:r>
          </w:p>
        </w:tc>
        <w:tc>
          <w:tcPr>
            <w:tcW w:type="dxa" w:w="1296"/>
            <w:tcMar>
              <w:top w:w="120" w:type="dxa"/>
              <w:bottom w:w="120" w:type="dxa"/>
              <w:left w:w="150" w:type="dxa"/>
              <w:right w:w="150" w:type="dxa"/>
            </w:tcMar>
            <w:shd w:fill="FFFFFF"/>
          </w:tcPr>
          <w:p>
            <w:pPr>
              <w:jc w:val="center"/>
            </w:pPr>
            <w:r>
              <w:t>2, 327</w:t>
            </w:r>
          </w:p>
        </w:tc>
        <w:tc>
          <w:tcPr>
            <w:tcW w:type="dxa" w:w="1296"/>
            <w:tcMar>
              <w:top w:w="120" w:type="dxa"/>
              <w:bottom w:w="120" w:type="dxa"/>
              <w:left w:w="150" w:type="dxa"/>
              <w:right w:w="150" w:type="dxa"/>
            </w:tcMar>
            <w:shd w:fill="FFFFFF"/>
          </w:tcPr>
          <w:p>
            <w:pPr>
              <w:jc w:val="right"/>
            </w:pPr>
            <w:r>
              <w:t>5.146</w:t>
            </w:r>
          </w:p>
        </w:tc>
        <w:tc>
          <w:tcPr>
            <w:tcW w:type="dxa" w:w="1296"/>
            <w:tcMar>
              <w:top w:w="120" w:type="dxa"/>
              <w:bottom w:w="120" w:type="dxa"/>
              <w:left w:w="150" w:type="dxa"/>
              <w:right w:w="150" w:type="dxa"/>
            </w:tcMar>
            <w:shd w:fill="FFFFFF"/>
          </w:tcPr>
          <w:p>
            <w:pPr>
              <w:jc w:val="right"/>
            </w:pPr>
            <w:r>
              <w:t>.006</w:t>
            </w:r>
          </w:p>
        </w:tc>
        <w:tc>
          <w:tcPr>
            <w:tcW w:type="dxa" w:w="1440"/>
            <w:tcMar>
              <w:top w:w="120" w:type="dxa"/>
              <w:bottom w:w="120" w:type="dxa"/>
              <w:left w:w="150" w:type="dxa"/>
              <w:right w:w="150" w:type="dxa"/>
            </w:tcMar>
            <w:shd w:fill="FFFFFF"/>
          </w:tcPr>
          <w:p>
            <w:pPr>
              <w:jc w:val="right"/>
            </w:pPr>
            <w:r>
              <w:t>.031</w:t>
            </w:r>
          </w:p>
        </w:tc>
        <w:tc>
          <w:tcPr>
            <w:tcW w:type="dxa" w:w="1440"/>
            <w:tcMar>
              <w:top w:w="120" w:type="dxa"/>
              <w:bottom w:w="120" w:type="dxa"/>
              <w:left w:w="150" w:type="dxa"/>
              <w:right w:w="150" w:type="dxa"/>
            </w:tcMar>
            <w:shd w:fill="FFFFFF"/>
          </w:tcPr>
          <w:p>
            <w:pPr>
              <w:jc w:val="right"/>
            </w:pPr>
            <w:r>
              <w:t>Small (3.1%)</w:t>
            </w:r>
          </w:p>
        </w:tc>
      </w:tr>
      <w:tr>
        <w:trPr>
          <w:cantSplit/>
        </w:trPr>
        <w:tc>
          <w:tcPr>
            <w:tcW w:type="dxa" w:w="2592"/>
            <w:tcMar>
              <w:top w:w="120" w:type="dxa"/>
              <w:bottom w:w="120" w:type="dxa"/>
              <w:left w:w="150" w:type="dxa"/>
              <w:right w:w="150" w:type="dxa"/>
            </w:tcMar>
            <w:shd w:fill="EDF2F7"/>
          </w:tcPr>
          <w:p>
            <w:pPr>
              <w:jc w:val="left"/>
            </w:pPr>
            <w:r>
              <w:t>Technical Expertise</w:t>
            </w:r>
          </w:p>
        </w:tc>
        <w:tc>
          <w:tcPr>
            <w:tcW w:type="dxa" w:w="1296"/>
            <w:tcMar>
              <w:top w:w="120" w:type="dxa"/>
              <w:bottom w:w="120" w:type="dxa"/>
              <w:left w:w="150" w:type="dxa"/>
              <w:right w:w="150" w:type="dxa"/>
            </w:tcMar>
            <w:shd w:fill="EDF2F7"/>
          </w:tcPr>
          <w:p>
            <w:pPr>
              <w:jc w:val="center"/>
            </w:pPr>
            <w:r>
              <w:t>2, 327</w:t>
            </w:r>
          </w:p>
        </w:tc>
        <w:tc>
          <w:tcPr>
            <w:tcW w:type="dxa" w:w="1296"/>
            <w:tcMar>
              <w:top w:w="120" w:type="dxa"/>
              <w:bottom w:w="120" w:type="dxa"/>
              <w:left w:w="150" w:type="dxa"/>
              <w:right w:w="150" w:type="dxa"/>
            </w:tcMar>
            <w:shd w:fill="EDF2F7"/>
          </w:tcPr>
          <w:p>
            <w:pPr>
              <w:jc w:val="right"/>
            </w:pPr>
            <w:r>
              <w:t>31.379</w:t>
            </w:r>
          </w:p>
        </w:tc>
        <w:tc>
          <w:tcPr>
            <w:tcW w:type="dxa" w:w="1296"/>
            <w:tcMar>
              <w:top w:w="120" w:type="dxa"/>
              <w:bottom w:w="120" w:type="dxa"/>
              <w:left w:w="150" w:type="dxa"/>
              <w:right w:w="150" w:type="dxa"/>
            </w:tcMar>
            <w:shd w:fill="EDF2F7"/>
          </w:tcPr>
          <w:p>
            <w:pPr>
              <w:jc w:val="right"/>
            </w:pPr>
            <w:r>
              <w:t>&lt; .001</w:t>
            </w:r>
          </w:p>
        </w:tc>
        <w:tc>
          <w:tcPr>
            <w:tcW w:type="dxa" w:w="1440"/>
            <w:tcMar>
              <w:top w:w="120" w:type="dxa"/>
              <w:bottom w:w="120" w:type="dxa"/>
              <w:left w:w="150" w:type="dxa"/>
              <w:right w:w="150" w:type="dxa"/>
            </w:tcMar>
            <w:shd w:fill="EDF2F7"/>
          </w:tcPr>
          <w:p>
            <w:pPr>
              <w:jc w:val="right"/>
            </w:pPr>
            <w:r>
              <w:t>.161</w:t>
            </w:r>
          </w:p>
        </w:tc>
        <w:tc>
          <w:tcPr>
            <w:tcW w:type="dxa" w:w="1440"/>
            <w:tcMar>
              <w:top w:w="120" w:type="dxa"/>
              <w:bottom w:w="120" w:type="dxa"/>
              <w:left w:w="150" w:type="dxa"/>
              <w:right w:w="150" w:type="dxa"/>
            </w:tcMar>
            <w:shd w:fill="EDF2F7"/>
          </w:tcPr>
          <w:p>
            <w:pPr>
              <w:jc w:val="right"/>
            </w:pPr>
            <w:r>
              <w:t>Large (16.1%)</w:t>
            </w:r>
          </w:p>
        </w:tc>
      </w:tr>
    </w:tbl>
    <w:p>
      <w:pPr>
        <w:spacing w:after="120"/>
      </w:pPr>
    </w:p>
    <w:p>
      <w:pPr>
        <w:keepNext/>
        <w:spacing w:before="360" w:after="160"/>
        <w:pBdr>
          <w:bottom w:val="single" w:sz="12" w:space="4" w:color="1B365D"/>
        </w:pBdr>
      </w:pPr>
      <w:r>
        <w:rPr>
          <w:b/>
          <w:color w:val="1B365D"/>
          <w:sz w:val="36"/>
        </w:rPr>
        <w:t>9. Estimated Marginal Means</w:t>
      </w:r>
    </w:p>
    <w:p>
      <w:pPr>
        <w:spacing w:before="0" w:after="120" w:line="276" w:lineRule="auto"/>
      </w:pPr>
      <w:r>
        <w:t>The estimated marginal means provide adjusted group-level estimates for each dependent variable.</w:t>
      </w:r>
    </w:p>
    <w:p>
      <w:pPr>
        <w:keepNext/>
        <w:spacing w:before="280" w:after="120"/>
      </w:pPr>
      <w:r>
        <w:rPr>
          <w:b/>
          <w:color w:val="4A5568"/>
          <w:sz w:val="28"/>
        </w:rPr>
        <w:t>9.1 Design Modelling</w:t>
      </w:r>
    </w:p>
    <w:tbl>
      <w:tblPr>
        <w:tblW w:type="auto" w:w="0"/>
        <w:jc w:val="center"/>
        <w:tblLook w:firstColumn="1" w:firstRow="1" w:lastColumn="0" w:lastRow="0" w:noHBand="0" w:noVBand="1" w:val="04A0"/>
        <w:tblBorders>
          <w:top w:val="single" w:sz="4" w:space="0" w:color="CBD5E0"/>
          <w:bottom w:val="single" w:sz="6" w:space="0" w:color="1B365D"/>
          <w:left w:val="none"/>
          <w:right w:val="none"/>
          <w:insideH w:val="single" w:sz="4" w:space="0" w:color="CBD5E0"/>
          <w:insideV w:val="none"/>
        </w:tblBorders>
      </w:tblPr>
      <w:tblGrid>
        <w:gridCol w:w="2340"/>
        <w:gridCol w:w="2340"/>
        <w:gridCol w:w="2340"/>
        <w:gridCol w:w="2340"/>
      </w:tblGrid>
      <w:tr>
        <w:trPr>
          <w:cantSplit/>
          <w:tblHeader/>
        </w:trPr>
        <w:tc>
          <w:tcPr>
            <w:tcW w:type="dxa" w:w="3600"/>
            <w:tcMar>
              <w:top w:w="120" w:type="dxa"/>
              <w:bottom w:w="120" w:type="dxa"/>
              <w:left w:w="150" w:type="dxa"/>
              <w:right w:w="150" w:type="dxa"/>
            </w:tcMar>
            <w:shd w:fill="1B365D"/>
          </w:tcPr>
          <w:p>
            <w:pPr>
              <w:jc w:val="left"/>
            </w:pPr>
            <w:r>
              <w:rPr>
                <w:b/>
                <w:color w:val="FFFFFF"/>
              </w:rPr>
              <w:t>Training Group</w:t>
            </w:r>
          </w:p>
        </w:tc>
        <w:tc>
          <w:tcPr>
            <w:tcW w:type="dxa" w:w="1728"/>
            <w:tcMar>
              <w:top w:w="120" w:type="dxa"/>
              <w:bottom w:w="120" w:type="dxa"/>
              <w:left w:w="150" w:type="dxa"/>
              <w:right w:w="150" w:type="dxa"/>
            </w:tcMar>
            <w:shd w:fill="1B365D"/>
          </w:tcPr>
          <w:p>
            <w:pPr>
              <w:jc w:val="right"/>
            </w:pPr>
            <w:r>
              <w:rPr>
                <w:b/>
                <w:color w:val="FFFFFF"/>
              </w:rPr>
              <w:t>Mean</w:t>
            </w:r>
          </w:p>
        </w:tc>
        <w:tc>
          <w:tcPr>
            <w:tcW w:type="dxa" w:w="1872"/>
            <w:tcMar>
              <w:top w:w="120" w:type="dxa"/>
              <w:bottom w:w="120" w:type="dxa"/>
              <w:left w:w="150" w:type="dxa"/>
              <w:right w:w="150" w:type="dxa"/>
            </w:tcMar>
            <w:shd w:fill="1B365D"/>
          </w:tcPr>
          <w:p>
            <w:pPr>
              <w:jc w:val="right"/>
            </w:pPr>
            <w:r>
              <w:rPr>
                <w:b/>
                <w:color w:val="FFFFFF"/>
              </w:rPr>
              <w:t>Standard Error</w:t>
            </w:r>
          </w:p>
        </w:tc>
        <w:tc>
          <w:tcPr>
            <w:tcW w:type="dxa" w:w="2160"/>
            <w:tcMar>
              <w:top w:w="120" w:type="dxa"/>
              <w:bottom w:w="120" w:type="dxa"/>
              <w:left w:w="150" w:type="dxa"/>
              <w:right w:w="150" w:type="dxa"/>
            </w:tcMar>
            <w:shd w:fill="1B365D"/>
          </w:tcPr>
          <w:p>
            <w:pPr>
              <w:jc w:val="center"/>
            </w:pPr>
            <w:r>
              <w:rPr>
                <w:b/>
                <w:color w:val="FFFFFF"/>
              </w:rPr>
              <w:t>95% Conf. Interval</w:t>
            </w:r>
          </w:p>
        </w:tc>
      </w:tr>
      <w:tr>
        <w:trPr>
          <w:cantSplit/>
        </w:trPr>
        <w:tc>
          <w:tcPr>
            <w:tcW w:type="dxa" w:w="3600"/>
            <w:tcMar>
              <w:top w:w="120" w:type="dxa"/>
              <w:bottom w:w="120" w:type="dxa"/>
              <w:left w:w="150" w:type="dxa"/>
              <w:right w:w="150" w:type="dxa"/>
            </w:tcMar>
            <w:shd w:fill="FFFFFF"/>
          </w:tcPr>
          <w:p>
            <w:pPr>
              <w:jc w:val="left"/>
            </w:pPr>
            <w:r>
              <w:t>Trainer 1</w:t>
            </w:r>
          </w:p>
        </w:tc>
        <w:tc>
          <w:tcPr>
            <w:tcW w:type="dxa" w:w="1728"/>
            <w:tcMar>
              <w:top w:w="120" w:type="dxa"/>
              <w:bottom w:w="120" w:type="dxa"/>
              <w:left w:w="150" w:type="dxa"/>
              <w:right w:w="150" w:type="dxa"/>
            </w:tcMar>
            <w:shd w:fill="FFFFFF"/>
          </w:tcPr>
          <w:p>
            <w:pPr>
              <w:jc w:val="right"/>
            </w:pPr>
            <w:r>
              <w:t>6.191</w:t>
            </w:r>
          </w:p>
        </w:tc>
        <w:tc>
          <w:tcPr>
            <w:tcW w:type="dxa" w:w="1872"/>
            <w:tcMar>
              <w:top w:w="120" w:type="dxa"/>
              <w:bottom w:w="120" w:type="dxa"/>
              <w:left w:w="150" w:type="dxa"/>
              <w:right w:w="150" w:type="dxa"/>
            </w:tcMar>
            <w:shd w:fill="FFFFFF"/>
          </w:tcPr>
          <w:p>
            <w:pPr>
              <w:jc w:val="right"/>
            </w:pPr>
            <w:r>
              <w:t>0.187</w:t>
            </w:r>
          </w:p>
        </w:tc>
        <w:tc>
          <w:tcPr>
            <w:tcW w:type="dxa" w:w="2160"/>
            <w:tcMar>
              <w:top w:w="120" w:type="dxa"/>
              <w:bottom w:w="120" w:type="dxa"/>
              <w:left w:w="150" w:type="dxa"/>
              <w:right w:w="150" w:type="dxa"/>
            </w:tcMar>
            <w:shd w:fill="FFFFFF"/>
          </w:tcPr>
          <w:p>
            <w:pPr>
              <w:jc w:val="center"/>
            </w:pPr>
            <w:r>
              <w:t>5.822 – 6.560</w:t>
            </w:r>
          </w:p>
        </w:tc>
      </w:tr>
      <w:tr>
        <w:trPr>
          <w:cantSplit/>
        </w:trPr>
        <w:tc>
          <w:tcPr>
            <w:tcW w:type="dxa" w:w="3600"/>
            <w:tcMar>
              <w:top w:w="120" w:type="dxa"/>
              <w:bottom w:w="120" w:type="dxa"/>
              <w:left w:w="150" w:type="dxa"/>
              <w:right w:w="150" w:type="dxa"/>
            </w:tcMar>
            <w:shd w:fill="EDF2F7"/>
          </w:tcPr>
          <w:p>
            <w:pPr>
              <w:jc w:val="left"/>
            </w:pPr>
            <w:r>
              <w:t>Trainer 2</w:t>
            </w:r>
          </w:p>
        </w:tc>
        <w:tc>
          <w:tcPr>
            <w:tcW w:type="dxa" w:w="1728"/>
            <w:tcMar>
              <w:top w:w="120" w:type="dxa"/>
              <w:bottom w:w="120" w:type="dxa"/>
              <w:left w:w="150" w:type="dxa"/>
              <w:right w:w="150" w:type="dxa"/>
            </w:tcMar>
            <w:shd w:fill="EDF2F7"/>
          </w:tcPr>
          <w:p>
            <w:pPr>
              <w:jc w:val="right"/>
            </w:pPr>
            <w:r>
              <w:t>5.582</w:t>
            </w:r>
          </w:p>
        </w:tc>
        <w:tc>
          <w:tcPr>
            <w:tcW w:type="dxa" w:w="1872"/>
            <w:tcMar>
              <w:top w:w="120" w:type="dxa"/>
              <w:bottom w:w="120" w:type="dxa"/>
              <w:left w:w="150" w:type="dxa"/>
              <w:right w:w="150" w:type="dxa"/>
            </w:tcMar>
            <w:shd w:fill="EDF2F7"/>
          </w:tcPr>
          <w:p>
            <w:pPr>
              <w:jc w:val="right"/>
            </w:pPr>
            <w:r>
              <w:t>0.187</w:t>
            </w:r>
          </w:p>
        </w:tc>
        <w:tc>
          <w:tcPr>
            <w:tcW w:type="dxa" w:w="2160"/>
            <w:tcMar>
              <w:top w:w="120" w:type="dxa"/>
              <w:bottom w:w="120" w:type="dxa"/>
              <w:left w:w="150" w:type="dxa"/>
              <w:right w:w="150" w:type="dxa"/>
            </w:tcMar>
            <w:shd w:fill="EDF2F7"/>
          </w:tcPr>
          <w:p>
            <w:pPr>
              <w:jc w:val="center"/>
            </w:pPr>
            <w:r>
              <w:t>5.213 – 5.950</w:t>
            </w:r>
          </w:p>
        </w:tc>
      </w:tr>
      <w:tr>
        <w:trPr>
          <w:cantSplit/>
        </w:trPr>
        <w:tc>
          <w:tcPr>
            <w:tcW w:type="dxa" w:w="3600"/>
            <w:tcMar>
              <w:top w:w="120" w:type="dxa"/>
              <w:bottom w:w="120" w:type="dxa"/>
              <w:left w:w="150" w:type="dxa"/>
              <w:right w:w="150" w:type="dxa"/>
            </w:tcMar>
            <w:shd w:fill="FFFFFF"/>
          </w:tcPr>
          <w:p>
            <w:pPr>
              <w:jc w:val="left"/>
            </w:pPr>
            <w:r>
              <w:t>Recorded Sessions by Trainer 1</w:t>
            </w:r>
          </w:p>
        </w:tc>
        <w:tc>
          <w:tcPr>
            <w:tcW w:type="dxa" w:w="1728"/>
            <w:tcMar>
              <w:top w:w="120" w:type="dxa"/>
              <w:bottom w:w="120" w:type="dxa"/>
              <w:left w:w="150" w:type="dxa"/>
              <w:right w:w="150" w:type="dxa"/>
            </w:tcMar>
            <w:shd w:fill="FFFFFF"/>
          </w:tcPr>
          <w:p>
            <w:pPr>
              <w:jc w:val="right"/>
            </w:pPr>
            <w:r>
              <w:t>5.373</w:t>
            </w:r>
          </w:p>
        </w:tc>
        <w:tc>
          <w:tcPr>
            <w:tcW w:type="dxa" w:w="1872"/>
            <w:tcMar>
              <w:top w:w="120" w:type="dxa"/>
              <w:bottom w:w="120" w:type="dxa"/>
              <w:left w:w="150" w:type="dxa"/>
              <w:right w:w="150" w:type="dxa"/>
            </w:tcMar>
            <w:shd w:fill="FFFFFF"/>
          </w:tcPr>
          <w:p>
            <w:pPr>
              <w:jc w:val="right"/>
            </w:pPr>
            <w:r>
              <w:t>0.187</w:t>
            </w:r>
          </w:p>
        </w:tc>
        <w:tc>
          <w:tcPr>
            <w:tcW w:type="dxa" w:w="2160"/>
            <w:tcMar>
              <w:top w:w="120" w:type="dxa"/>
              <w:bottom w:w="120" w:type="dxa"/>
              <w:left w:w="150" w:type="dxa"/>
              <w:right w:w="150" w:type="dxa"/>
            </w:tcMar>
            <w:shd w:fill="FFFFFF"/>
          </w:tcPr>
          <w:p>
            <w:pPr>
              <w:jc w:val="center"/>
            </w:pPr>
            <w:r>
              <w:t>5.004 – 5.741</w:t>
            </w:r>
          </w:p>
        </w:tc>
      </w:tr>
    </w:tbl>
    <w:p>
      <w:pPr>
        <w:spacing w:before="0" w:after="120" w:line="276" w:lineRule="auto"/>
      </w:pPr>
      <w:r>
        <w:t>Trainer 1 recorded the highest estimated marginal mean. The difference between Trainer 1 and Recorded Sessions was larger than the difference between Trainer 1 and Trainer 2.</w:t>
      </w:r>
    </w:p>
    <w:p>
      <w:pPr>
        <w:keepNext/>
        <w:spacing w:before="280" w:after="120"/>
      </w:pPr>
      <w:r>
        <w:rPr>
          <w:b/>
          <w:color w:val="4A5568"/>
          <w:sz w:val="28"/>
        </w:rPr>
        <w:t>9.2 Technical Expertise</w:t>
      </w:r>
    </w:p>
    <w:tbl>
      <w:tblPr>
        <w:tblW w:type="auto" w:w="0"/>
        <w:jc w:val="center"/>
        <w:tblLook w:firstColumn="1" w:firstRow="1" w:lastColumn="0" w:lastRow="0" w:noHBand="0" w:noVBand="1" w:val="04A0"/>
        <w:tblBorders>
          <w:top w:val="single" w:sz="4" w:space="0" w:color="CBD5E0"/>
          <w:bottom w:val="single" w:sz="6" w:space="0" w:color="1B365D"/>
          <w:left w:val="none"/>
          <w:right w:val="none"/>
          <w:insideH w:val="single" w:sz="4" w:space="0" w:color="CBD5E0"/>
          <w:insideV w:val="none"/>
        </w:tblBorders>
      </w:tblPr>
      <w:tblGrid>
        <w:gridCol w:w="2340"/>
        <w:gridCol w:w="2340"/>
        <w:gridCol w:w="2340"/>
        <w:gridCol w:w="2340"/>
      </w:tblGrid>
      <w:tr>
        <w:trPr>
          <w:cantSplit/>
          <w:tblHeader/>
        </w:trPr>
        <w:tc>
          <w:tcPr>
            <w:tcW w:type="dxa" w:w="3600"/>
            <w:tcMar>
              <w:top w:w="120" w:type="dxa"/>
              <w:bottom w:w="120" w:type="dxa"/>
              <w:left w:w="150" w:type="dxa"/>
              <w:right w:w="150" w:type="dxa"/>
            </w:tcMar>
            <w:shd w:fill="1B365D"/>
          </w:tcPr>
          <w:p>
            <w:pPr>
              <w:jc w:val="left"/>
            </w:pPr>
            <w:r>
              <w:rPr>
                <w:b/>
                <w:color w:val="FFFFFF"/>
              </w:rPr>
              <w:t>Training Group</w:t>
            </w:r>
          </w:p>
        </w:tc>
        <w:tc>
          <w:tcPr>
            <w:tcW w:type="dxa" w:w="1728"/>
            <w:tcMar>
              <w:top w:w="120" w:type="dxa"/>
              <w:bottom w:w="120" w:type="dxa"/>
              <w:left w:w="150" w:type="dxa"/>
              <w:right w:w="150" w:type="dxa"/>
            </w:tcMar>
            <w:shd w:fill="1B365D"/>
          </w:tcPr>
          <w:p>
            <w:pPr>
              <w:jc w:val="right"/>
            </w:pPr>
            <w:r>
              <w:rPr>
                <w:b/>
                <w:color w:val="FFFFFF"/>
              </w:rPr>
              <w:t>Mean</w:t>
            </w:r>
          </w:p>
        </w:tc>
        <w:tc>
          <w:tcPr>
            <w:tcW w:type="dxa" w:w="1872"/>
            <w:tcMar>
              <w:top w:w="120" w:type="dxa"/>
              <w:bottom w:w="120" w:type="dxa"/>
              <w:left w:w="150" w:type="dxa"/>
              <w:right w:w="150" w:type="dxa"/>
            </w:tcMar>
            <w:shd w:fill="1B365D"/>
          </w:tcPr>
          <w:p>
            <w:pPr>
              <w:jc w:val="right"/>
            </w:pPr>
            <w:r>
              <w:rPr>
                <w:b/>
                <w:color w:val="FFFFFF"/>
              </w:rPr>
              <w:t>Standard Error</w:t>
            </w:r>
          </w:p>
        </w:tc>
        <w:tc>
          <w:tcPr>
            <w:tcW w:type="dxa" w:w="2160"/>
            <w:tcMar>
              <w:top w:w="120" w:type="dxa"/>
              <w:bottom w:w="120" w:type="dxa"/>
              <w:left w:w="150" w:type="dxa"/>
              <w:right w:w="150" w:type="dxa"/>
            </w:tcMar>
            <w:shd w:fill="1B365D"/>
          </w:tcPr>
          <w:p>
            <w:pPr>
              <w:jc w:val="center"/>
            </w:pPr>
            <w:r>
              <w:rPr>
                <w:b/>
                <w:color w:val="FFFFFF"/>
              </w:rPr>
              <w:t>95% Conf. Interval</w:t>
            </w:r>
          </w:p>
        </w:tc>
      </w:tr>
      <w:tr>
        <w:trPr>
          <w:cantSplit/>
        </w:trPr>
        <w:tc>
          <w:tcPr>
            <w:tcW w:type="dxa" w:w="3600"/>
            <w:tcMar>
              <w:top w:w="120" w:type="dxa"/>
              <w:bottom w:w="120" w:type="dxa"/>
              <w:left w:w="150" w:type="dxa"/>
              <w:right w:w="150" w:type="dxa"/>
            </w:tcMar>
            <w:shd w:fill="FFFFFF"/>
          </w:tcPr>
          <w:p>
            <w:pPr>
              <w:jc w:val="left"/>
            </w:pPr>
            <w:r>
              <w:t>Trainer 1</w:t>
            </w:r>
          </w:p>
        </w:tc>
        <w:tc>
          <w:tcPr>
            <w:tcW w:type="dxa" w:w="1728"/>
            <w:tcMar>
              <w:top w:w="120" w:type="dxa"/>
              <w:bottom w:w="120" w:type="dxa"/>
              <w:left w:w="150" w:type="dxa"/>
              <w:right w:w="150" w:type="dxa"/>
            </w:tcMar>
            <w:shd w:fill="FFFFFF"/>
          </w:tcPr>
          <w:p>
            <w:pPr>
              <w:jc w:val="right"/>
            </w:pPr>
            <w:r>
              <w:t>8.682</w:t>
            </w:r>
          </w:p>
        </w:tc>
        <w:tc>
          <w:tcPr>
            <w:tcW w:type="dxa" w:w="1872"/>
            <w:tcMar>
              <w:top w:w="120" w:type="dxa"/>
              <w:bottom w:w="120" w:type="dxa"/>
              <w:left w:w="150" w:type="dxa"/>
              <w:right w:w="150" w:type="dxa"/>
            </w:tcMar>
            <w:shd w:fill="FFFFFF"/>
          </w:tcPr>
          <w:p>
            <w:pPr>
              <w:jc w:val="right"/>
            </w:pPr>
            <w:r>
              <w:t>0.344</w:t>
            </w:r>
          </w:p>
        </w:tc>
        <w:tc>
          <w:tcPr>
            <w:tcW w:type="dxa" w:w="2160"/>
            <w:tcMar>
              <w:top w:w="120" w:type="dxa"/>
              <w:bottom w:w="120" w:type="dxa"/>
              <w:left w:w="150" w:type="dxa"/>
              <w:right w:w="150" w:type="dxa"/>
            </w:tcMar>
            <w:shd w:fill="FFFFFF"/>
          </w:tcPr>
          <w:p>
            <w:pPr>
              <w:jc w:val="center"/>
            </w:pPr>
            <w:r>
              <w:t>8.005 – 9.359</w:t>
            </w:r>
          </w:p>
        </w:tc>
      </w:tr>
      <w:tr>
        <w:trPr>
          <w:cantSplit/>
        </w:trPr>
        <w:tc>
          <w:tcPr>
            <w:tcW w:type="dxa" w:w="3600"/>
            <w:tcMar>
              <w:top w:w="120" w:type="dxa"/>
              <w:bottom w:w="120" w:type="dxa"/>
              <w:left w:w="150" w:type="dxa"/>
              <w:right w:w="150" w:type="dxa"/>
            </w:tcMar>
            <w:shd w:fill="EDF2F7"/>
          </w:tcPr>
          <w:p>
            <w:pPr>
              <w:jc w:val="left"/>
            </w:pPr>
            <w:r>
              <w:t>Trainer 2</w:t>
            </w:r>
          </w:p>
        </w:tc>
        <w:tc>
          <w:tcPr>
            <w:tcW w:type="dxa" w:w="1728"/>
            <w:tcMar>
              <w:top w:w="120" w:type="dxa"/>
              <w:bottom w:w="120" w:type="dxa"/>
              <w:left w:w="150" w:type="dxa"/>
              <w:right w:w="150" w:type="dxa"/>
            </w:tcMar>
            <w:shd w:fill="EDF2F7"/>
          </w:tcPr>
          <w:p>
            <w:pPr>
              <w:jc w:val="right"/>
            </w:pPr>
            <w:r>
              <w:t>5.109</w:t>
            </w:r>
          </w:p>
        </w:tc>
        <w:tc>
          <w:tcPr>
            <w:tcW w:type="dxa" w:w="1872"/>
            <w:tcMar>
              <w:top w:w="120" w:type="dxa"/>
              <w:bottom w:w="120" w:type="dxa"/>
              <w:left w:w="150" w:type="dxa"/>
              <w:right w:w="150" w:type="dxa"/>
            </w:tcMar>
            <w:shd w:fill="EDF2F7"/>
          </w:tcPr>
          <w:p>
            <w:pPr>
              <w:jc w:val="right"/>
            </w:pPr>
            <w:r>
              <w:t>0.344</w:t>
            </w:r>
          </w:p>
        </w:tc>
        <w:tc>
          <w:tcPr>
            <w:tcW w:type="dxa" w:w="2160"/>
            <w:tcMar>
              <w:top w:w="120" w:type="dxa"/>
              <w:bottom w:w="120" w:type="dxa"/>
              <w:left w:w="150" w:type="dxa"/>
              <w:right w:w="150" w:type="dxa"/>
            </w:tcMar>
            <w:shd w:fill="EDF2F7"/>
          </w:tcPr>
          <w:p>
            <w:pPr>
              <w:jc w:val="center"/>
            </w:pPr>
            <w:r>
              <w:t>4.432 – 5.786</w:t>
            </w:r>
          </w:p>
        </w:tc>
      </w:tr>
      <w:tr>
        <w:trPr>
          <w:cantSplit/>
        </w:trPr>
        <w:tc>
          <w:tcPr>
            <w:tcW w:type="dxa" w:w="3600"/>
            <w:tcMar>
              <w:top w:w="120" w:type="dxa"/>
              <w:bottom w:w="120" w:type="dxa"/>
              <w:left w:w="150" w:type="dxa"/>
              <w:right w:w="150" w:type="dxa"/>
            </w:tcMar>
            <w:shd w:fill="FFFFFF"/>
          </w:tcPr>
          <w:p>
            <w:pPr>
              <w:jc w:val="left"/>
            </w:pPr>
            <w:r>
              <w:t>Recorded Sessions by Trainer 1</w:t>
            </w:r>
          </w:p>
        </w:tc>
        <w:tc>
          <w:tcPr>
            <w:tcW w:type="dxa" w:w="1728"/>
            <w:tcMar>
              <w:top w:w="120" w:type="dxa"/>
              <w:bottom w:w="120" w:type="dxa"/>
              <w:left w:w="150" w:type="dxa"/>
              <w:right w:w="150" w:type="dxa"/>
            </w:tcMar>
            <w:shd w:fill="FFFFFF"/>
          </w:tcPr>
          <w:p>
            <w:pPr>
              <w:jc w:val="right"/>
            </w:pPr>
            <w:r>
              <w:t>5.636</w:t>
            </w:r>
          </w:p>
        </w:tc>
        <w:tc>
          <w:tcPr>
            <w:tcW w:type="dxa" w:w="1872"/>
            <w:tcMar>
              <w:top w:w="120" w:type="dxa"/>
              <w:bottom w:w="120" w:type="dxa"/>
              <w:left w:w="150" w:type="dxa"/>
              <w:right w:w="150" w:type="dxa"/>
            </w:tcMar>
            <w:shd w:fill="FFFFFF"/>
          </w:tcPr>
          <w:p>
            <w:pPr>
              <w:jc w:val="right"/>
            </w:pPr>
            <w:r>
              <w:t>0.344</w:t>
            </w:r>
          </w:p>
        </w:tc>
        <w:tc>
          <w:tcPr>
            <w:tcW w:type="dxa" w:w="2160"/>
            <w:tcMar>
              <w:top w:w="120" w:type="dxa"/>
              <w:bottom w:w="120" w:type="dxa"/>
              <w:left w:w="150" w:type="dxa"/>
              <w:right w:w="150" w:type="dxa"/>
            </w:tcMar>
            <w:shd w:fill="FFFFFF"/>
          </w:tcPr>
          <w:p>
            <w:pPr>
              <w:jc w:val="center"/>
            </w:pPr>
            <w:r>
              <w:t>4.959 – 6.314</w:t>
            </w:r>
          </w:p>
        </w:tc>
      </w:tr>
    </w:tbl>
    <w:p>
      <w:pPr>
        <w:spacing w:before="0" w:after="120" w:line="276" w:lineRule="auto"/>
      </w:pPr>
      <w:r>
        <w:t>Trainer 1 recorded a substantially higher estimated marginal mean than both Trainer 2 and Recorded Sessions. The difference between Trainer 1 and the other two conditions is visually and statistically much larger for Technical Expertise than for Design Modelling.</w:t>
      </w:r>
    </w:p>
    <w:p>
      <w:pPr>
        <w:keepNext/>
        <w:spacing w:before="360" w:after="160"/>
        <w:pBdr>
          <w:bottom w:val="single" w:sz="12" w:space="4" w:color="1B365D"/>
        </w:pBdr>
      </w:pPr>
      <w:r>
        <w:rPr>
          <w:b/>
          <w:color w:val="1B365D"/>
          <w:sz w:val="36"/>
        </w:rPr>
        <w:t>10. Tukey HSD Post-Hoc Analysis</w:t>
      </w:r>
    </w:p>
    <w:p>
      <w:pPr>
        <w:spacing w:before="0" w:after="120" w:line="276" w:lineRule="auto"/>
      </w:pPr>
      <w:r>
        <w:t>Tukey's Honestly Significant Difference (HSD) procedure was used to identify which specific pairs of training conditions differed significantly (α = .05).</w:t>
      </w:r>
    </w:p>
    <w:p>
      <w:pPr>
        <w:keepNext/>
        <w:spacing w:before="280" w:after="120"/>
      </w:pPr>
      <w:r>
        <w:rPr>
          <w:b/>
          <w:color w:val="4A5568"/>
          <w:sz w:val="28"/>
        </w:rPr>
        <w:t>10.1 Design Modelling Pairwise Comparisons</w:t>
      </w:r>
    </w:p>
    <w:p>
      <w:pPr>
        <w:pStyle w:val="ListBullet"/>
        <w:spacing w:before="0" w:after="60" w:line="276" w:lineRule="auto"/>
      </w:pPr>
      <w:r>
        <w:rPr>
          <w:b/>
          <w:color w:val="2D3748"/>
        </w:rPr>
        <w:t xml:space="preserve">Trainer 1 vs. Trainer 2: </w:t>
      </w:r>
      <w:r>
        <w:t>Mean Difference = 0.6091, p = .057 (Not Statistically Significant). Although Trainer 1 had a higher observed mean, the evidence was insufficient to conclude that the two groups differed significantly in Design Modelling performance.</w:t>
      </w:r>
    </w:p>
    <w:p>
      <w:pPr>
        <w:pStyle w:val="ListBullet"/>
        <w:spacing w:before="0" w:after="60" w:line="276" w:lineRule="auto"/>
      </w:pPr>
      <w:r>
        <w:rPr>
          <w:b/>
          <w:color w:val="2D3748"/>
        </w:rPr>
        <w:t xml:space="preserve">Trainer 1 vs. Recorded Sessions: </w:t>
      </w:r>
      <w:r>
        <w:t>Mean Difference = 0.8182, p = .006 (Statistically Significant). Participants in the Trainer 1 live training condition achieved significantly higher Design Modelling scores than participants who received Recorded Sessions by Trainer 1.</w:t>
      </w:r>
    </w:p>
    <w:p>
      <w:pPr>
        <w:pStyle w:val="ListBullet"/>
        <w:spacing w:before="0" w:after="60" w:line="276" w:lineRule="auto"/>
      </w:pPr>
      <w:r>
        <w:rPr>
          <w:b/>
          <w:color w:val="2D3748"/>
        </w:rPr>
        <w:t xml:space="preserve">Trainer 2 vs. Recorded Sessions: </w:t>
      </w:r>
      <w:r>
        <w:t>Mean Difference = 0.2091, p = .710 (Not Statistically Significant). There was no statistically significant evidence of a difference in Design Modelling performance between Trainer 2 and the Recorded Sessions condition.</w:t>
      </w:r>
    </w:p>
    <w:p>
      <w:pPr>
        <w:keepNext/>
        <w:spacing w:before="280" w:after="120"/>
      </w:pPr>
      <w:r>
        <w:rPr>
          <w:b/>
          <w:color w:val="4A5568"/>
          <w:sz w:val="28"/>
        </w:rPr>
        <w:t>10.2 Technical Expertise Pairwise Comparisons</w:t>
      </w:r>
    </w:p>
    <w:p>
      <w:pPr>
        <w:pStyle w:val="ListBullet"/>
        <w:spacing w:before="0" w:after="60" w:line="276" w:lineRule="auto"/>
      </w:pPr>
      <w:r>
        <w:rPr>
          <w:b/>
          <w:color w:val="2D3748"/>
        </w:rPr>
        <w:t xml:space="preserve">Trainer 1 vs. Trainer 2: </w:t>
      </w:r>
      <w:r>
        <w:t>Mean Difference = 3.5727, p &lt; .001 (Highly Statistically Significant). Participants trained by Trainer 1 achieved substantially higher Technical Expertise scores than participants trained by Trainer 2.</w:t>
      </w:r>
    </w:p>
    <w:p>
      <w:pPr>
        <w:pStyle w:val="ListBullet"/>
        <w:spacing w:before="0" w:after="60" w:line="276" w:lineRule="auto"/>
      </w:pPr>
      <w:r>
        <w:rPr>
          <w:b/>
          <w:color w:val="2D3748"/>
        </w:rPr>
        <w:t xml:space="preserve">Trainer 1 vs. Recorded Sessions: </w:t>
      </w:r>
      <w:r>
        <w:t>Mean Difference = 3.0455, p &lt; .001 (Highly Statistically Significant). Participants receiving live training from Trainer 1 achieved substantially higher Technical Expertise scores than participants receiving Recorded Sessions by Trainer 1.</w:t>
      </w:r>
    </w:p>
    <w:p>
      <w:pPr>
        <w:pStyle w:val="ListBullet"/>
        <w:spacing w:before="0" w:after="60" w:line="276" w:lineRule="auto"/>
      </w:pPr>
      <w:r>
        <w:rPr>
          <w:b/>
          <w:color w:val="2D3748"/>
        </w:rPr>
        <w:t xml:space="preserve">Trainer 2 vs. Recorded Sessions: </w:t>
      </w:r>
      <w:r>
        <w:t>Mean Difference = -0.5273, p = .525 (Not Statistically Significant). There was no statistically significant evidence that Trainer 2 and Recorded Sessions produced different Technical Expertise outcomes.</w:t>
      </w:r>
    </w:p>
    <w:p>
      <w:pPr>
        <w:keepNext/>
        <w:spacing w:before="360" w:after="160"/>
        <w:pBdr>
          <w:bottom w:val="single" w:sz="12" w:space="4" w:color="1B365D"/>
        </w:pBdr>
      </w:pPr>
      <w:r>
        <w:rPr>
          <w:b/>
          <w:color w:val="1B365D"/>
          <w:sz w:val="36"/>
        </w:rPr>
        <w:t>11. Homogeneous Subsets</w:t>
      </w:r>
    </w:p>
    <w:p>
      <w:pPr>
        <w:spacing w:before="0" w:after="120" w:line="276" w:lineRule="auto"/>
      </w:pPr>
      <w:r>
        <w:t>The Tukey HSD homogeneous subset analysis provides an additional way to interpret the pairwise comparisons.</w:t>
      </w:r>
    </w:p>
    <w:p>
      <w:pPr>
        <w:keepNext/>
        <w:spacing w:before="280" w:after="120"/>
      </w:pPr>
      <w:r>
        <w:rPr>
          <w:b/>
          <w:color w:val="4A5568"/>
          <w:sz w:val="28"/>
        </w:rPr>
        <w:t>11.1 Design Modelling</w:t>
      </w:r>
    </w:p>
    <w:p>
      <w:pPr>
        <w:spacing w:before="0" w:after="120" w:line="276" w:lineRule="auto"/>
      </w:pPr>
      <w:r>
        <w:t>The results indicated two overlapping subsets. The Recorded Sessions group and Trainer 2 appeared together in Subset 1, indicating no statistically significant difference between these conditions.</w:t>
      </w:r>
    </w:p>
    <w:p>
      <w:pPr>
        <w:spacing w:before="0" w:after="120" w:line="276" w:lineRule="auto"/>
      </w:pPr>
      <w:r>
        <w:t>Trainer 2 also appeared in Subset 2 with Trainer 1, indicating that the difference between Trainer 2 and Trainer 1 did not reach statistical significance at the .05 level. Trainer 2 therefore acts as a statistical bridge between the two groups.</w:t>
      </w:r>
    </w:p>
    <w:p>
      <w:pPr>
        <w:spacing w:before="0" w:after="120" w:line="276" w:lineRule="auto"/>
      </w:pPr>
      <w:r>
        <w:t>However, Trainer 1 and Recorded Sessions did not share the same homogeneous subset, consistent with the significant pairwise difference identified by the Tukey HSD test. This indicates a gradual pattern in Design Modelling performance: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b/>
                <w:color w:val="1B365D"/>
              </w:rPr>
              <w:t xml:space="preserve">Design Modelling Pattern: </w:t>
            </w:r>
            <w:r>
              <w:rPr>
                <w:color w:val="2D3748"/>
              </w:rPr>
              <w:t>Trainer 1 &gt; Trainer 2 &gt; Recorded Sessions  (Only Trainer 1 vs. Recorded Sessions is significant)</w:t>
            </w:r>
          </w:p>
        </w:tc>
      </w:tr>
    </w:tbl>
    <w:p>
      <w:pPr>
        <w:spacing w:before="0" w:after="120"/>
      </w:pPr>
    </w:p>
    <w:p>
      <w:pPr>
        <w:keepNext/>
        <w:spacing w:before="280" w:after="120"/>
      </w:pPr>
      <w:r>
        <w:rPr>
          <w:b/>
          <w:color w:val="4A5568"/>
          <w:sz w:val="28"/>
        </w:rPr>
        <w:t>11.2 Technical Expertise</w:t>
      </w:r>
    </w:p>
    <w:p>
      <w:pPr>
        <w:spacing w:before="0" w:after="120" w:line="276" w:lineRule="auto"/>
      </w:pPr>
      <w:r>
        <w:t>The Technical Expertise results produced a clearer separation. Trainer 2 and Recorded Sessions appeared together in Subset 1, indicating that their Technical Expertise scores were not statistically significantly different.</w:t>
      </w:r>
    </w:p>
    <w:p>
      <w:pPr>
        <w:spacing w:before="0" w:after="120" w:line="276" w:lineRule="auto"/>
      </w:pPr>
      <w:r>
        <w:t>Trainer 1 appeared separately in Subset 2 as a higher-performing group. The results show a clear pattern:</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b/>
                <w:color w:val="1B365D"/>
              </w:rPr>
              <w:t xml:space="preserve">Technical Expertise Pattern: </w:t>
            </w:r>
            <w:r>
              <w:rPr>
                <w:color w:val="2D3748"/>
              </w:rPr>
              <w:t>Trainer 1 &gt; Recorded Sessions ≈ Trainer 2  (Trainer 1 significantly outperforms both)</w:t>
            </w:r>
          </w:p>
        </w:tc>
      </w:tr>
    </w:tbl>
    <w:p>
      <w:pPr>
        <w:spacing w:before="0" w:after="120"/>
      </w:pPr>
    </w:p>
    <w:p>
      <w:pPr>
        <w:keepNext/>
        <w:spacing w:before="360" w:after="160"/>
        <w:pBdr>
          <w:bottom w:val="single" w:sz="12" w:space="4" w:color="1B365D"/>
        </w:pBdr>
      </w:pPr>
      <w:r>
        <w:rPr>
          <w:b/>
          <w:color w:val="1B365D"/>
          <w:sz w:val="36"/>
        </w:rPr>
        <w:t>12. Profile Plot Interpretation</w:t>
      </w:r>
    </w:p>
    <w:p>
      <w:pPr>
        <w:spacing w:before="0" w:after="120" w:line="276" w:lineRule="auto"/>
      </w:pPr>
      <w:r>
        <w:t>The SPSS profile plots provide a visual representation of the estimated marginal means across the three training conditions.</w:t>
      </w:r>
    </w:p>
    <w:p>
      <w:pPr>
        <w:keepNext/>
        <w:spacing w:before="280" w:after="120"/>
      </w:pPr>
      <w:r>
        <w:rPr>
          <w:b/>
          <w:color w:val="4A5568"/>
          <w:sz w:val="28"/>
        </w:rPr>
        <w:t>12.1 Design Modelling Profile</w:t>
      </w:r>
    </w:p>
    <w:p>
      <w:pPr>
        <w:spacing w:before="0" w:after="120" w:line="276" w:lineRule="auto"/>
      </w:pPr>
      <w:r>
        <w:t>The Design Modelling profile plot shows a gradual decline in observed performance from Trainer 1 (6.19) to Trainer 2 (5.58) and then to Recorded Sessions (5.37). This visual pattern is consistent with the descriptive statistics and post-hoc analysis. However, the relatively small effect size indicates that the practical difference between the groups is limited compared with Technical Expertise.</w:t>
      </w:r>
    </w:p>
    <w:p>
      <w:pPr>
        <w:keepNext/>
        <w:spacing w:before="280" w:after="120"/>
      </w:pPr>
      <w:r>
        <w:rPr>
          <w:b/>
          <w:color w:val="4A5568"/>
          <w:sz w:val="28"/>
        </w:rPr>
        <w:t>12.2 Technical Expertise Profile</w:t>
      </w:r>
    </w:p>
    <w:p>
      <w:pPr>
        <w:spacing w:before="0" w:after="120" w:line="276" w:lineRule="auto"/>
      </w:pPr>
      <w:r>
        <w:t>The Technical Expertise profile plot shows a much larger separation between the training conditions. Estimated means were approximately 8.68 for Trainer 1, 5.11 for Trainer 2, and 5.64 for Recorded Sessions. Trainer 1 is clearly separated from the other two conditions, which remain comparatively close together. This visually reinforces the statistical conclusion that the strongest training-related differences occur in Technical Expertise.</w:t>
      </w:r>
    </w:p>
    <w:p>
      <w:pPr>
        <w:keepNext/>
        <w:spacing w:before="360" w:after="160"/>
        <w:pBdr>
          <w:bottom w:val="single" w:sz="12" w:space="4" w:color="1B365D"/>
        </w:pBdr>
      </w:pPr>
      <w:r>
        <w:rPr>
          <w:b/>
          <w:color w:val="1B365D"/>
          <w:sz w:val="36"/>
        </w:rPr>
        <w:t>13. Key Findings</w:t>
      </w:r>
    </w:p>
    <w:p>
      <w:pPr>
        <w:pStyle w:val="ListBullet"/>
        <w:spacing w:before="0" w:after="60" w:line="276" w:lineRule="auto"/>
      </w:pPr>
      <w:r>
        <w:rPr>
          <w:b/>
          <w:color w:val="2D3748"/>
        </w:rPr>
        <w:t xml:space="preserve">Finding 1: Significant Multivariate Effect. </w:t>
      </w:r>
      <w:r>
        <w:t>The MANOVA demonstrated a statistically significant difference in the combined performance outcomes of Design Modelling and Technical Expertise across the three training conditions.</w:t>
      </w:r>
    </w:p>
    <w:p>
      <w:pPr>
        <w:pStyle w:val="ListBullet"/>
        <w:spacing w:before="0" w:after="60" w:line="276" w:lineRule="auto"/>
      </w:pPr>
      <w:r>
        <w:rPr>
          <w:b/>
          <w:color w:val="2D3748"/>
        </w:rPr>
        <w:t xml:space="preserve">Finding 2: Effect is Stronger for Technical Expertise. </w:t>
      </w:r>
      <w:r>
        <w:t>The training condition explained 16.1% of variance in Technical Expertise (ηp² = .161) compared to 3.1% in Design Modelling (ηp² = .031). Training delivery was far more strongly associated with technical competency.</w:t>
      </w:r>
    </w:p>
    <w:p>
      <w:pPr>
        <w:pStyle w:val="ListBullet"/>
        <w:spacing w:before="0" w:after="60" w:line="276" w:lineRule="auto"/>
      </w:pPr>
      <w:r>
        <w:rPr>
          <w:b/>
          <w:color w:val="2D3748"/>
        </w:rPr>
        <w:t xml:space="preserve">Finding 3: Trainer 1 Peak Performance. </w:t>
      </w:r>
      <w:r>
        <w:t>Trainer 1 recorded the highest mean scores for both Design Modelling (6.1909) and Technical Expertise (8.6818).</w:t>
      </w:r>
    </w:p>
    <w:p>
      <w:pPr>
        <w:pStyle w:val="ListBullet"/>
        <w:spacing w:before="0" w:after="60" w:line="276" w:lineRule="auto"/>
      </w:pPr>
      <w:r>
        <w:rPr>
          <w:b/>
          <w:color w:val="2D3748"/>
        </w:rPr>
        <w:t xml:space="preserve">Finding 4: Strong Technical Advantage for Trainer 1. </w:t>
      </w:r>
      <w:r>
        <w:t>Trainer 1 significantly outperformed Trainer 2 by 3.57 points and Recorded Sessions by 3.05 points in Technical Expertise (both p &lt; .001).</w:t>
      </w:r>
    </w:p>
    <w:p>
      <w:pPr>
        <w:pStyle w:val="ListBullet"/>
        <w:spacing w:before="0" w:after="60" w:line="276" w:lineRule="auto"/>
      </w:pPr>
      <w:r>
        <w:rPr>
          <w:b/>
          <w:color w:val="2D3748"/>
        </w:rPr>
        <w:t xml:space="preserve">Finding 5: Live Outperformed Recorded Format. </w:t>
      </w:r>
      <w:r>
        <w:t>Trainer 1 live instruction produced significantly higher results than Recorded Sessions by Trainer 1 for both Design Modelling (p = .006) and Technical Expertise (p &lt; .001).</w:t>
      </w:r>
    </w:p>
    <w:p>
      <w:pPr>
        <w:pStyle w:val="ListBullet"/>
        <w:spacing w:before="0" w:after="60" w:line="276" w:lineRule="auto"/>
      </w:pPr>
      <w:r>
        <w:rPr>
          <w:b/>
          <w:color w:val="2D3748"/>
        </w:rPr>
        <w:t xml:space="preserve">Finding 6: Trainer 2 Equals Recorded Sessions. </w:t>
      </w:r>
      <w:r>
        <w:t>No statistically significant differences were found between Trainer 2 and Recorded Sessions for either Design Modelling (p = .710) or Technical Expertise (p = .525).</w:t>
      </w:r>
    </w:p>
    <w:p>
      <w:pPr>
        <w:keepNext/>
        <w:spacing w:before="360" w:after="160"/>
        <w:pBdr>
          <w:bottom w:val="single" w:sz="12" w:space="4" w:color="1B365D"/>
        </w:pBdr>
      </w:pPr>
      <w:r>
        <w:rPr>
          <w:b/>
          <w:color w:val="1B365D"/>
          <w:sz w:val="36"/>
        </w:rPr>
        <w:t>14. Practical Interpretation</w:t>
      </w:r>
    </w:p>
    <w:p>
      <w:pPr>
        <w:spacing w:before="0" w:after="120" w:line="276" w:lineRule="auto"/>
      </w:pPr>
      <w:r>
        <w:t>From a training and development perspective, the findings suggest that training delivery method and instructor may be important factors to consider when designing learning programs.</w:t>
      </w:r>
    </w:p>
    <w:p>
      <w:pPr>
        <w:spacing w:before="0" w:after="120" w:line="276" w:lineRule="auto"/>
      </w:pPr>
      <w:r>
        <w:t>The strongest differences were observed in Technical Expertise, where participants in the Trainer 1 condition achieved substantially higher scores than participants in the other two conditions.</w:t>
      </w:r>
    </w:p>
    <w:p>
      <w:pPr>
        <w:spacing w:before="0" w:after="120" w:line="276" w:lineRule="auto"/>
      </w:pPr>
      <w:r>
        <w:t>One possible interpretation is that live instruction may provide opportunities for interaction, immediate clarification, feedback, and guided practice that are particularly valuable when developing technical competencies.</w:t>
      </w:r>
    </w:p>
    <w:p>
      <w:pPr>
        <w:spacing w:before="0" w:after="120" w:line="276" w:lineRule="auto"/>
      </w:pPr>
      <w:r>
        <w:t>The results also indicate that recorded training may not necessarily produce the same outcomes as live instruction, even when the recorded content is delivered by the same trainer.</w:t>
      </w:r>
    </w:p>
    <w:p>
      <w:pPr>
        <w:spacing w:before="0" w:after="120" w:line="276" w:lineRule="auto"/>
      </w:pPr>
      <w:r>
        <w:t>However, these findings should be interpreted as associations observed within this dataset rather than definitive evidence that one training method causes better performance. Further research would be required to establish causal relationships.</w:t>
      </w:r>
    </w:p>
    <w:p>
      <w:pPr>
        <w:keepNext/>
        <w:spacing w:before="360" w:after="160"/>
        <w:pBdr>
          <w:bottom w:val="single" w:sz="12" w:space="4" w:color="1B365D"/>
        </w:pBdr>
      </w:pPr>
      <w:r>
        <w:rPr>
          <w:b/>
          <w:color w:val="1B365D"/>
          <w:sz w:val="36"/>
        </w:rPr>
        <w:t>15. Limitations</w:t>
      </w:r>
    </w:p>
    <w:p>
      <w:pPr>
        <w:pStyle w:val="ListBullet"/>
        <w:spacing w:before="0" w:after="60" w:line="276" w:lineRule="auto"/>
      </w:pPr>
      <w:r>
        <w:rPr>
          <w:b/>
          <w:color w:val="2D3748"/>
        </w:rPr>
        <w:t xml:space="preserve">15.1 Observational Interpretation: </w:t>
      </w:r>
      <w:r>
        <w:t>The statistical results demonstrate associations between training condition and performance outcomes. They do not, by themselves, establish that the training method caused the observed differences.</w:t>
      </w:r>
    </w:p>
    <w:p>
      <w:pPr>
        <w:pStyle w:val="ListBullet"/>
        <w:spacing w:before="0" w:after="60" w:line="276" w:lineRule="auto"/>
      </w:pPr>
      <w:r>
        <w:rPr>
          <w:b/>
          <w:color w:val="2D3748"/>
        </w:rPr>
        <w:t xml:space="preserve">15.2 Generalizability: </w:t>
      </w:r>
      <w:r>
        <w:t>The analysis is based on a dataset of 330 observations. The findings may not generalize to other populations, organizations, industries, or training environments.</w:t>
      </w:r>
    </w:p>
    <w:p>
      <w:pPr>
        <w:pStyle w:val="ListBullet"/>
        <w:spacing w:before="0" w:after="60" w:line="276" w:lineRule="auto"/>
      </w:pPr>
      <w:r>
        <w:rPr>
          <w:b/>
          <w:color w:val="2D3748"/>
        </w:rPr>
        <w:t xml:space="preserve">15.3 Limited Outcome Measures: </w:t>
      </w:r>
      <w:r>
        <w:t>The analysis focuses on two outcomes: Design Modelling and Technical Expertise. Other factors such as participant satisfaction, engagement, knowledge retention, or long-term job performance were not evaluated.</w:t>
      </w:r>
    </w:p>
    <w:p>
      <w:pPr>
        <w:pStyle w:val="ListBullet"/>
        <w:spacing w:before="0" w:after="60" w:line="276" w:lineRule="auto"/>
      </w:pPr>
      <w:r>
        <w:rPr>
          <w:b/>
          <w:color w:val="2D3748"/>
        </w:rPr>
        <w:t xml:space="preserve">15.4 Potential Confounding Factors: </w:t>
      </w:r>
      <w:r>
        <w:t>Differences between training groups may be influenced by unmeasured factors such as prior experience, individual ability, motivation, learning preferences, or training environment.</w:t>
      </w:r>
    </w:p>
    <w:p>
      <w:pPr>
        <w:pStyle w:val="ListBullet"/>
        <w:spacing w:before="0" w:after="60" w:line="276" w:lineRule="auto"/>
      </w:pPr>
      <w:r>
        <w:rPr>
          <w:b/>
          <w:color w:val="2D3748"/>
        </w:rPr>
        <w:t xml:space="preserve">15.5 Statistical Assumptions: </w:t>
      </w:r>
      <w:r>
        <w:t>MANOVA relies on several statistical assumptions (normality, homogeneity of covariance matrices). Conclusions should be interpreted within the scope of diagnostic procedures performed in the SPSS workflow.</w:t>
      </w:r>
    </w:p>
    <w:p>
      <w:pPr>
        <w:keepNext/>
        <w:spacing w:before="360" w:after="160"/>
        <w:pBdr>
          <w:bottom w:val="single" w:sz="12" w:space="4" w:color="1B365D"/>
        </w:pBdr>
      </w:pPr>
      <w:r>
        <w:rPr>
          <w:b/>
          <w:color w:val="1B365D"/>
          <w:sz w:val="36"/>
        </w:rPr>
        <w:t>16. Overall Conclusion</w:t>
      </w:r>
    </w:p>
    <w:p>
      <w:pPr>
        <w:spacing w:before="0" w:after="120" w:line="276" w:lineRule="auto"/>
      </w:pPr>
      <w:r>
        <w:t>The MANOVA analysis provides evidence that the three training conditions differ significantly in their combined effects on Design Modelling and Technical Expertise performance. Follow-up analyses demonstrate that the overall multivariate effect is driven particularly strongly by differences in Technical Expertise.</w:t>
      </w:r>
    </w:p>
    <w:p>
      <w:pPr>
        <w:spacing w:before="0" w:after="120" w:line="276" w:lineRule="auto"/>
      </w:pPr>
      <w:r>
        <w:t>Trainer 1 produced the highest mean performance for both dependent variables and demonstrated statistically significant advantages over both Trainer 2 and Recorded Sessions in Technical Expertise.</w:t>
      </w:r>
    </w:p>
    <w:p>
      <w:pPr>
        <w:spacing w:before="0" w:after="120" w:line="276" w:lineRule="auto"/>
      </w:pPr>
      <w:r>
        <w:t>The overall pattern can be summarized as follows:</w:t>
      </w:r>
    </w:p>
    <w:p>
      <w:pPr>
        <w:pStyle w:val="ListBullet"/>
        <w:spacing w:before="0" w:after="60" w:line="276" w:lineRule="auto"/>
      </w:pPr>
      <w:r>
        <w:rPr>
          <w:b/>
          <w:color w:val="2D3748"/>
        </w:rPr>
        <w:t xml:space="preserve">Design Modelling: </w:t>
      </w:r>
      <w:r>
        <w:t>Trainer 1 &gt; Trainer 2 &gt; Recorded Sessions (with only Trainer 1 vs. Recorded Sessions reaching statistical significance).</w:t>
      </w:r>
    </w:p>
    <w:p>
      <w:pPr>
        <w:pStyle w:val="ListBullet"/>
        <w:spacing w:before="0" w:after="60" w:line="276" w:lineRule="auto"/>
      </w:pPr>
      <w:r>
        <w:rPr>
          <w:b/>
          <w:color w:val="2D3748"/>
        </w:rPr>
        <w:t xml:space="preserve">Technical Expertise: </w:t>
      </w:r>
      <w:r>
        <w:t>Trainer 1 &gt; Recorded Sessions ≈ Trainer 2 (with Trainer 1 significantly outperforming both other conditions).</w:t>
      </w:r>
    </w:p>
    <w:p>
      <w:pPr>
        <w:spacing w:before="0" w:after="120" w:line="276" w:lineRule="auto"/>
      </w:pPr>
      <w:r>
        <w:t>The findings suggest that live training delivered by Trainer 1 was associated with the strongest observed learning outcomes, particularly for Technical Expertise. Highlighting the potential value of interactive instructor-led training for developing technical competencies.</w:t>
      </w:r>
    </w:p>
    <w:p>
      <w:pPr>
        <w:keepNext/>
        <w:spacing w:before="360" w:after="160"/>
        <w:pBdr>
          <w:bottom w:val="single" w:sz="12" w:space="4" w:color="1B365D"/>
        </w:pBdr>
      </w:pPr>
      <w:r>
        <w:rPr>
          <w:b/>
          <w:color w:val="1B365D"/>
          <w:sz w:val="36"/>
        </w:rPr>
        <w:t>17. Evidence and Project Files</w:t>
      </w:r>
    </w:p>
    <w:p>
      <w:pPr>
        <w:spacing w:before="0" w:after="120" w:line="276" w:lineRule="auto"/>
      </w:pPr>
      <w:r>
        <w:t>The statistical analysis is supported by the following project files:</w:t>
      </w:r>
    </w:p>
    <w:p>
      <w:pPr>
        <w:pStyle w:val="ListBullet"/>
        <w:spacing w:before="0" w:after="60" w:line="276" w:lineRule="auto"/>
      </w:pPr>
      <w:r>
        <w:t>Data/manova (1).sav — The original SPSS dataset used for the statistical analysis.</w:t>
      </w:r>
    </w:p>
    <w:p>
      <w:pPr>
        <w:pStyle w:val="ListBullet"/>
        <w:spacing w:before="0" w:after="60" w:line="276" w:lineRule="auto"/>
      </w:pPr>
      <w:r>
        <w:t>Output/Output1manova.spv — The original IBM SPSS Statistics Viewer output containing statistical results.</w:t>
      </w:r>
    </w:p>
    <w:p>
      <w:pPr>
        <w:pStyle w:val="ListBullet"/>
        <w:spacing w:before="0" w:after="60" w:line="276" w:lineRule="auto"/>
      </w:pPr>
      <w:r>
        <w:t>Documentation/Screenshots/ — Visual documentation of SPSS output (Between-Subjects Factors, Descriptive Statistics, Multivariate Tests, Tests of Between-Subjects Effects, Marginal Means, Tukey HSD, Homogeneous Subsets, Profile Plots).</w:t>
      </w:r>
    </w:p>
    <w:p>
      <w:pPr>
        <w:keepNext/>
        <w:spacing w:before="360" w:after="160"/>
        <w:pBdr>
          <w:bottom w:val="single" w:sz="12" w:space="4" w:color="1B365D"/>
        </w:pBdr>
      </w:pPr>
      <w:r>
        <w:rPr>
          <w:b/>
          <w:color w:val="1B365D"/>
          <w:sz w:val="36"/>
        </w:rPr>
        <w:t>18. Learning and Attribution Note</w:t>
      </w:r>
    </w:p>
    <w:p>
      <w:pPr>
        <w:spacing w:before="0" w:after="120" w:line="276" w:lineRule="auto"/>
      </w:pPr>
      <w:r>
        <w:t>This project was completed as part of a hands-on learning and applied research workflow using IBM SPSS Statistics. The project was developed using a structured tutorial-based learning process.</w:t>
      </w:r>
    </w:p>
    <w:p>
      <w:pPr>
        <w:spacing w:before="0" w:after="120" w:line="276" w:lineRule="auto"/>
      </w:pPr>
      <w:r>
        <w:t>The project is presented transparently as a learning and portfolio project demonstrating practical exposure to research data analysis, IBM SPSS Statistics, MANOVA, Univariate ANOVA, Tukey HSD post-hoc testing, estimated marginal means, effect sizes, and data-driven research reporting.</w:t>
      </w:r>
    </w:p>
    <w:p>
      <w:pPr>
        <w:spacing w:before="0" w:after="120" w:line="276" w:lineRule="auto"/>
      </w:pPr>
      <w:r>
        <w:t>An Excel version of the dataset was created separately for analysis assistance and is not treated as the original project dataset or primary source of reported SPSS results.</w:t>
      </w:r>
    </w:p>
    <w:p>
      <w:pPr>
        <w:keepNext/>
        <w:spacing w:before="360" w:after="160"/>
        <w:pBdr>
          <w:bottom w:val="single" w:sz="12" w:space="4" w:color="1B365D"/>
        </w:pBdr>
      </w:pPr>
      <w:r>
        <w:rPr>
          <w:b/>
          <w:color w:val="1B365D"/>
          <w:sz w:val="36"/>
        </w:rPr>
        <w:t>19. Project Status</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b/>
                <w:color w:val="1B365D"/>
              </w:rPr>
              <w:t xml:space="preserve">Project Status: </w:t>
            </w:r>
            <w:r>
              <w:rPr>
                <w:color w:val="2D3748"/>
              </w:rPr>
              <w:t>Status: Completed – Portfolio Documentation</w:t>
              <w:br/>
              <w:t>The MANOVA research project has been organized into a structured GitHub repository containing dataset, output files, documentation, and screenshots, demonstrating an end-to-end research workflow.</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