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1B365D"/>
          <w:sz w:val="52"/>
        </w:rPr>
        <w:t>HR Analytics Pipeline Project Report</w:t>
      </w:r>
    </w:p>
    <w:p>
      <w:pPr>
        <w:spacing w:after="400"/>
      </w:pPr>
      <w:r>
        <w:rPr>
          <w:rFonts w:ascii="Calibri" w:hAnsi="Calibri"/>
          <w:i/>
          <w:color w:val="0096A6"/>
          <w:sz w:val="28"/>
        </w:rPr>
        <w:t>Employee Attrition, Workforce Analysis, and Business Intelligence Dashboard Development</w:t>
      </w:r>
    </w:p>
    <w:tbl>
      <w:tblPr>
        <w:tblW w:type="auto" w:w="0"/>
        <w:jc w:val="center"/>
        <w:tblLook w:firstColumn="1" w:firstRow="1" w:lastColumn="0" w:lastRow="0" w:noHBand="0" w:noVBand="1" w:val="04A0"/>
        <w:tblBorders>
          <w:top w:val="single" w:sz="4" w:space="0" w:color="E0E0E0"/>
          <w:bottom w:val="single" w:sz="4" w:space="0" w:color="E0E0E0"/>
          <w:left w:val="none"/>
          <w:right w:val="none"/>
          <w:insideH w:val="single" w:sz="4" w:space="0" w:color="E0E0E0"/>
          <w:insideV w:val="none"/>
        </w:tblBorders>
      </w:tblPr>
      <w:tblGrid>
        <w:gridCol w:w="4680"/>
        <w:gridCol w:w="4680"/>
      </w:tblGrid>
      <w:tr>
        <w:tc>
          <w:tcPr>
            <w:tcW w:type="dxa" w:w="3168"/>
            <w:shd w:fill="F9FAFB"/>
            <w:tcMar>
              <w:top w:w="100" w:type="dxa"/>
              <w:bottom w:w="100" w:type="dxa"/>
              <w:left w:w="150" w:type="dxa"/>
              <w:right w:w="150" w:type="dxa"/>
            </w:tcMar>
          </w:tcPr>
          <w:p>
            <w:pPr>
              <w:spacing w:after="0"/>
            </w:pPr>
            <w:r>
              <w:rPr>
                <w:b/>
                <w:color w:val="1B365D"/>
                <w:sz w:val="20"/>
              </w:rPr>
              <w:t>Project:</w:t>
            </w:r>
          </w:p>
        </w:tc>
        <w:tc>
          <w:tcPr>
            <w:tcW w:type="dxa" w:w="6192"/>
            <w:tcMar>
              <w:top w:w="100" w:type="dxa"/>
              <w:bottom w:w="100" w:type="dxa"/>
              <w:left w:w="150" w:type="dxa"/>
              <w:right w:w="150" w:type="dxa"/>
            </w:tcMar>
          </w:tcPr>
          <w:p>
            <w:pPr>
              <w:spacing w:after="0"/>
            </w:pPr>
            <w:r>
              <w:rPr>
                <w:color w:val="333333"/>
                <w:sz w:val="20"/>
              </w:rPr>
              <w:t>HR Analytics Pipeline</w:t>
            </w:r>
          </w:p>
        </w:tc>
      </w:tr>
      <w:tr>
        <w:tc>
          <w:tcPr>
            <w:tcW w:type="dxa" w:w="3168"/>
            <w:shd w:fill="F9FAFB"/>
            <w:tcMar>
              <w:top w:w="100" w:type="dxa"/>
              <w:bottom w:w="100" w:type="dxa"/>
              <w:left w:w="150" w:type="dxa"/>
              <w:right w:w="150" w:type="dxa"/>
            </w:tcMar>
          </w:tcPr>
          <w:p>
            <w:pPr>
              <w:spacing w:after="0"/>
            </w:pPr>
            <w:r>
              <w:rPr>
                <w:b/>
                <w:color w:val="1B365D"/>
                <w:sz w:val="20"/>
              </w:rPr>
              <w:t>Project Type:</w:t>
            </w:r>
          </w:p>
        </w:tc>
        <w:tc>
          <w:tcPr>
            <w:tcW w:type="dxa" w:w="6192"/>
            <w:tcMar>
              <w:top w:w="100" w:type="dxa"/>
              <w:bottom w:w="100" w:type="dxa"/>
              <w:left w:w="150" w:type="dxa"/>
              <w:right w:w="150" w:type="dxa"/>
            </w:tcMar>
          </w:tcPr>
          <w:p>
            <w:pPr>
              <w:spacing w:after="0"/>
            </w:pPr>
            <w:r>
              <w:rPr>
                <w:color w:val="333333"/>
                <w:sz w:val="20"/>
              </w:rPr>
              <w:t>Data Analytics &amp; Business Intelligence Portfolio Project</w:t>
            </w:r>
          </w:p>
        </w:tc>
      </w:tr>
      <w:tr>
        <w:tc>
          <w:tcPr>
            <w:tcW w:type="dxa" w:w="3168"/>
            <w:shd w:fill="F9FAFB"/>
            <w:tcMar>
              <w:top w:w="100" w:type="dxa"/>
              <w:bottom w:w="100" w:type="dxa"/>
              <w:left w:w="150" w:type="dxa"/>
              <w:right w:w="150" w:type="dxa"/>
            </w:tcMar>
          </w:tcPr>
          <w:p>
            <w:pPr>
              <w:spacing w:after="0"/>
            </w:pPr>
            <w:r>
              <w:rPr>
                <w:b/>
                <w:color w:val="1B365D"/>
                <w:sz w:val="20"/>
              </w:rPr>
              <w:t>Dataset Size:</w:t>
            </w:r>
          </w:p>
        </w:tc>
        <w:tc>
          <w:tcPr>
            <w:tcW w:type="dxa" w:w="6192"/>
            <w:tcMar>
              <w:top w:w="100" w:type="dxa"/>
              <w:bottom w:w="100" w:type="dxa"/>
              <w:left w:w="150" w:type="dxa"/>
              <w:right w:w="150" w:type="dxa"/>
            </w:tcMar>
          </w:tcPr>
          <w:p>
            <w:pPr>
              <w:spacing w:after="0"/>
            </w:pPr>
            <w:r>
              <w:rPr>
                <w:color w:val="333333"/>
                <w:sz w:val="20"/>
              </w:rPr>
              <w:t>1,470 Employee Records</w:t>
            </w:r>
          </w:p>
        </w:tc>
      </w:tr>
      <w:tr>
        <w:tc>
          <w:tcPr>
            <w:tcW w:type="dxa" w:w="3168"/>
            <w:shd w:fill="F9FAFB"/>
            <w:tcMar>
              <w:top w:w="100" w:type="dxa"/>
              <w:bottom w:w="100" w:type="dxa"/>
              <w:left w:w="150" w:type="dxa"/>
              <w:right w:w="150" w:type="dxa"/>
            </w:tcMar>
          </w:tcPr>
          <w:p>
            <w:pPr>
              <w:spacing w:after="0"/>
            </w:pPr>
            <w:r>
              <w:rPr>
                <w:b/>
                <w:color w:val="1B365D"/>
                <w:sz w:val="20"/>
              </w:rPr>
              <w:t>Primary Tools:</w:t>
            </w:r>
          </w:p>
        </w:tc>
        <w:tc>
          <w:tcPr>
            <w:tcW w:type="dxa" w:w="6192"/>
            <w:tcMar>
              <w:top w:w="100" w:type="dxa"/>
              <w:bottom w:w="100" w:type="dxa"/>
              <w:left w:w="150" w:type="dxa"/>
              <w:right w:w="150" w:type="dxa"/>
            </w:tcMar>
          </w:tcPr>
          <w:p>
            <w:pPr>
              <w:spacing w:after="0"/>
            </w:pPr>
            <w:r>
              <w:rPr>
                <w:color w:val="333333"/>
                <w:sz w:val="20"/>
              </w:rPr>
              <w:t>Microsoft Excel, PostgreSQL, SQL, Microsoft Power BI, Tableau</w:t>
            </w:r>
          </w:p>
        </w:tc>
      </w:tr>
      <w:tr>
        <w:tc>
          <w:tcPr>
            <w:tcW w:type="dxa" w:w="3168"/>
            <w:shd w:fill="F9FAFB"/>
            <w:tcMar>
              <w:top w:w="100" w:type="dxa"/>
              <w:bottom w:w="100" w:type="dxa"/>
              <w:left w:w="150" w:type="dxa"/>
              <w:right w:w="150" w:type="dxa"/>
            </w:tcMar>
          </w:tcPr>
          <w:p>
            <w:pPr>
              <w:spacing w:after="0"/>
            </w:pPr>
            <w:r>
              <w:rPr>
                <w:b/>
                <w:color w:val="1B365D"/>
                <w:sz w:val="20"/>
              </w:rPr>
              <w:t>Documentation &amp; Version Control:</w:t>
            </w:r>
          </w:p>
        </w:tc>
        <w:tc>
          <w:tcPr>
            <w:tcW w:type="dxa" w:w="6192"/>
            <w:tcMar>
              <w:top w:w="100" w:type="dxa"/>
              <w:bottom w:w="100" w:type="dxa"/>
              <w:left w:w="150" w:type="dxa"/>
              <w:right w:w="150" w:type="dxa"/>
            </w:tcMar>
          </w:tcPr>
          <w:p>
            <w:pPr>
              <w:spacing w:after="0"/>
            </w:pPr>
            <w:r>
              <w:rPr>
                <w:color w:val="333333"/>
                <w:sz w:val="20"/>
              </w:rPr>
              <w:t>Microsoft Word, PDF, GitHub, GitHub Desktop</w:t>
            </w:r>
          </w:p>
        </w:tc>
      </w:tr>
    </w:tbl>
    <w:p>
      <w:pPr>
        <w:spacing w:after="360"/>
      </w:pPr>
    </w:p>
    <w:p>
      <w:pPr>
        <w:keepNext/>
        <w:spacing w:before="360" w:after="120"/>
      </w:pPr>
      <w:r>
        <w:rPr>
          <w:rFonts w:ascii="Calibri" w:hAnsi="Calibri"/>
          <w:b/>
          <w:color w:val="1B365D"/>
          <w:sz w:val="32"/>
        </w:rPr>
        <w:t>1. Executive Summary</w:t>
      </w:r>
    </w:p>
    <w:p>
      <w:pPr>
        <w:spacing w:after="120" w:line="276" w:lineRule="auto"/>
      </w:pPr>
      <w:r>
        <w:rPr>
          <w:rFonts w:ascii="Calibri" w:hAnsi="Calibri"/>
          <w:b w:val="0"/>
          <w:i w:val="0"/>
          <w:color w:val="333333"/>
          <w:sz w:val="22"/>
        </w:rPr>
        <w:t>This project presents an end-to-end Human Resources (HR) analytics workflow designed to explore workforce characteristics, employee attrition, job satisfaction, and potential retention risk factors.</w:t>
      </w:r>
    </w:p>
    <w:p>
      <w:pPr>
        <w:spacing w:after="120" w:line="276" w:lineRule="auto"/>
      </w:pPr>
      <w:r>
        <w:rPr>
          <w:rFonts w:ascii="Calibri" w:hAnsi="Calibri"/>
          <w:b w:val="0"/>
          <w:i w:val="0"/>
          <w:color w:val="333333"/>
          <w:sz w:val="22"/>
        </w:rPr>
        <w:t>The project analyzes a dataset containing 1,470 employee records and examines workforce demographics, departmental characteristics, job roles, education backgrounds, compensation, employee satisfaction, overtime, business travel, and attrition outcomes.</w:t>
      </w:r>
    </w:p>
    <w:p>
      <w:pPr>
        <w:spacing w:after="120" w:line="276" w:lineRule="auto"/>
      </w:pPr>
      <w:r>
        <w:rPr>
          <w:rFonts w:ascii="Calibri" w:hAnsi="Calibri"/>
          <w:b w:val="0"/>
          <w:i w:val="0"/>
          <w:color w:val="333333"/>
          <w:sz w:val="22"/>
        </w:rPr>
        <w:t>The analytical workflow was developed across multiple tools, including Microsoft Excel, PostgreSQL and SQL, Microsoft Power BI, and Tableau. Each tool was used for a different stage of the analytical process, ranging from initial data exploration and dashboard development to SQL-based metric analysis, interactive business intelligence reporting, and quality assurance validation.</w:t>
      </w:r>
    </w:p>
    <w:p>
      <w:pPr>
        <w:spacing w:after="120" w:line="276" w:lineRule="auto"/>
      </w:pPr>
      <w:r>
        <w:rPr>
          <w:rFonts w:ascii="Calibri" w:hAnsi="Calibri"/>
          <w:b w:val="0"/>
          <w:i w:val="0"/>
          <w:color w:val="333333"/>
          <w:sz w:val="22"/>
        </w:rPr>
        <w:t>The analysis identified an overall employee attrition rate of 16.12%, with 237 employees classified as having left the organization and 1,233 active employees. Several workforce segments showed substantially higher observed attrition rates than the overall organizational baseline.</w:t>
      </w:r>
    </w:p>
    <w:p>
      <w:pPr>
        <w:spacing w:after="120" w:line="276" w:lineRule="auto"/>
      </w:pPr>
      <w:r>
        <w:rPr>
          <w:rFonts w:ascii="Calibri" w:hAnsi="Calibri"/>
          <w:b w:val="0"/>
          <w:i w:val="0"/>
          <w:color w:val="333333"/>
          <w:sz w:val="22"/>
        </w:rPr>
        <w:t>The most notable patterns included higher observed attrition among younger employees, employees working overtime, single employees, selected operational and sales-oriented job roles, and employees with lower average compensation and satisfaction scores among those who had departed.</w:t>
      </w:r>
    </w:p>
    <w:p>
      <w:pPr>
        <w:spacing w:after="120" w:line="276" w:lineRule="auto"/>
      </w:pPr>
      <w:r>
        <w:rPr>
          <w:rFonts w:ascii="Calibri" w:hAnsi="Calibri"/>
          <w:b w:val="0"/>
          <w:i w:val="0"/>
          <w:color w:val="333333"/>
          <w:sz w:val="22"/>
        </w:rPr>
        <w:t>The project also demonstrated how the same underlying dataset can be analyzed and presented through multiple analytical technologies. SQL queries were used to calculate and validate key metrics, while Power BI and Tableau dashboards provided interactive exploration of demographic, departmental, educational, and job-role dimensions.</w:t>
      </w:r>
    </w:p>
    <w:p>
      <w:pPr>
        <w:spacing w:after="120" w:line="276" w:lineRule="auto"/>
      </w:pPr>
      <w:r>
        <w:rPr>
          <w:rFonts w:ascii="Calibri" w:hAnsi="Calibri"/>
          <w:b w:val="0"/>
          <w:i w:val="0"/>
          <w:color w:val="333333"/>
          <w:sz w:val="22"/>
        </w:rPr>
        <w:t>A structured quality assurance process was also implemented. Eleven analytical metrics were validated against SQL-based reference results for the reporting workflows, with all 11 tests passing and no failed, blocked, or unexecuted tests recorded.</w:t>
      </w:r>
    </w:p>
    <w:p>
      <w:pPr>
        <w:spacing w:after="120" w:line="276" w:lineRule="auto"/>
      </w:pPr>
      <w:r>
        <w:rPr>
          <w:rFonts w:ascii="Calibri" w:hAnsi="Calibri"/>
          <w:b w:val="0"/>
          <w:i w:val="0"/>
          <w:color w:val="333333"/>
          <w:sz w:val="22"/>
        </w:rPr>
        <w:t>The final project demonstrates practical exposure to data preparation, SQL querying, exploratory analysis, business intelligence, dashboard development, data validation, quality assurance, business interpretation, and professional analytics documentation.</w:t>
      </w:r>
    </w:p>
    <w:p>
      <w:pPr>
        <w:spacing w:after="120" w:line="276" w:lineRule="auto"/>
      </w:pPr>
      <w:r>
        <w:rPr>
          <w:rFonts w:ascii="Calibri" w:hAnsi="Calibri"/>
          <w:b w:val="0"/>
          <w:i w:val="0"/>
          <w:color w:val="333333"/>
          <w:sz w:val="22"/>
        </w:rPr>
        <w:t>The findings presented in this report are descriptive and observational. They identify patterns and associations within the dataset but do not establish causal relationships between individual factors and employee attrition.</w:t>
      </w:r>
    </w:p>
    <w:p>
      <w:pPr>
        <w:keepNext/>
        <w:spacing w:before="360" w:after="120"/>
      </w:pPr>
      <w:r>
        <w:rPr>
          <w:rFonts w:ascii="Calibri" w:hAnsi="Calibri"/>
          <w:b/>
          <w:color w:val="1B365D"/>
          <w:sz w:val="32"/>
        </w:rPr>
        <w:t>2. Project Objective</w:t>
      </w:r>
    </w:p>
    <w:p>
      <w:pPr>
        <w:spacing w:after="120" w:line="276" w:lineRule="auto"/>
      </w:pPr>
      <w:r>
        <w:rPr>
          <w:rFonts w:ascii="Calibri" w:hAnsi="Calibri"/>
          <w:b w:val="0"/>
          <w:i w:val="0"/>
          <w:color w:val="333333"/>
          <w:sz w:val="22"/>
        </w:rPr>
        <w:t>The primary objective of this project was to gain practical experience in HR analytics by developing an end-to-end analytical workflow using multiple data analysis and business intelligence tools.</w:t>
      </w:r>
    </w:p>
    <w:p>
      <w:pPr>
        <w:spacing w:after="120" w:line="276" w:lineRule="auto"/>
      </w:pPr>
      <w:r>
        <w:rPr>
          <w:rFonts w:ascii="Calibri" w:hAnsi="Calibri"/>
          <w:b w:val="0"/>
          <w:i w:val="0"/>
          <w:color w:val="333333"/>
          <w:sz w:val="22"/>
        </w:rPr>
        <w:t>The project aimed to demonstrate the ability to:</w:t>
      </w:r>
    </w:p>
    <w:p>
      <w:pPr>
        <w:pStyle w:val="ListBullet"/>
        <w:spacing w:after="60" w:line="276" w:lineRule="auto"/>
      </w:pPr>
      <w:r>
        <w:rPr>
          <w:rFonts w:ascii="Calibri" w:hAnsi="Calibri"/>
          <w:color w:val="333333"/>
          <w:sz w:val="22"/>
        </w:rPr>
        <w:t>Analyze workforce characteristics and employee attrition patterns.</w:t>
      </w:r>
    </w:p>
    <w:p>
      <w:pPr>
        <w:pStyle w:val="ListBullet"/>
        <w:spacing w:after="60" w:line="276" w:lineRule="auto"/>
      </w:pPr>
      <w:r>
        <w:rPr>
          <w:rFonts w:ascii="Calibri" w:hAnsi="Calibri"/>
          <w:color w:val="333333"/>
          <w:sz w:val="22"/>
        </w:rPr>
        <w:t>Explore demographic, departmental, educational, and job-role differences in attrition.</w:t>
      </w:r>
    </w:p>
    <w:p>
      <w:pPr>
        <w:pStyle w:val="ListBullet"/>
        <w:spacing w:after="60" w:line="276" w:lineRule="auto"/>
      </w:pPr>
      <w:r>
        <w:rPr>
          <w:rFonts w:ascii="Calibri" w:hAnsi="Calibri"/>
          <w:color w:val="333333"/>
          <w:sz w:val="22"/>
        </w:rPr>
        <w:t>Examine employee job satisfaction across different job roles.</w:t>
      </w:r>
    </w:p>
    <w:p>
      <w:pPr>
        <w:pStyle w:val="ListBullet"/>
        <w:spacing w:after="60" w:line="276" w:lineRule="auto"/>
      </w:pPr>
      <w:r>
        <w:rPr>
          <w:rFonts w:ascii="Calibri" w:hAnsi="Calibri"/>
          <w:color w:val="333333"/>
          <w:sz w:val="22"/>
        </w:rPr>
        <w:t>Perform data analysis using Microsoft Excel.</w:t>
      </w:r>
    </w:p>
    <w:p>
      <w:pPr>
        <w:pStyle w:val="ListBullet"/>
        <w:spacing w:after="60" w:line="276" w:lineRule="auto"/>
      </w:pPr>
      <w:r>
        <w:rPr>
          <w:rFonts w:ascii="Calibri" w:hAnsi="Calibri"/>
          <w:color w:val="333333"/>
          <w:sz w:val="22"/>
        </w:rPr>
        <w:t>Use PostgreSQL and SQL to query workforce data and calculate key HR metrics.</w:t>
      </w:r>
    </w:p>
    <w:p>
      <w:pPr>
        <w:pStyle w:val="ListBullet"/>
        <w:spacing w:after="60" w:line="276" w:lineRule="auto"/>
      </w:pPr>
      <w:r>
        <w:rPr>
          <w:rFonts w:ascii="Calibri" w:hAnsi="Calibri"/>
          <w:color w:val="333333"/>
          <w:sz w:val="22"/>
        </w:rPr>
        <w:t>Develop interactive business intelligence dashboards using Microsoft Power BI.</w:t>
      </w:r>
    </w:p>
    <w:p>
      <w:pPr>
        <w:pStyle w:val="ListBullet"/>
        <w:spacing w:after="60" w:line="276" w:lineRule="auto"/>
      </w:pPr>
      <w:r>
        <w:rPr>
          <w:rFonts w:ascii="Calibri" w:hAnsi="Calibri"/>
          <w:color w:val="333333"/>
          <w:sz w:val="22"/>
        </w:rPr>
        <w:t>Develop interactive managerial dashboards using Tableau.</w:t>
      </w:r>
    </w:p>
    <w:p>
      <w:pPr>
        <w:pStyle w:val="ListBullet"/>
        <w:spacing w:after="60" w:line="276" w:lineRule="auto"/>
      </w:pPr>
      <w:r>
        <w:rPr>
          <w:rFonts w:ascii="Calibri" w:hAnsi="Calibri"/>
          <w:color w:val="333333"/>
          <w:sz w:val="22"/>
        </w:rPr>
        <w:t>Apply filtering and cross-filtering techniques to explore workforce segments.</w:t>
      </w:r>
    </w:p>
    <w:p>
      <w:pPr>
        <w:pStyle w:val="ListBullet"/>
        <w:spacing w:after="60" w:line="276" w:lineRule="auto"/>
      </w:pPr>
      <w:r>
        <w:rPr>
          <w:rFonts w:ascii="Calibri" w:hAnsi="Calibri"/>
          <w:color w:val="333333"/>
          <w:sz w:val="22"/>
        </w:rPr>
        <w:t>Validate dashboard metrics against SQL-based analytical outputs.</w:t>
      </w:r>
    </w:p>
    <w:p>
      <w:pPr>
        <w:pStyle w:val="ListBullet"/>
        <w:spacing w:after="60" w:line="276" w:lineRule="auto"/>
      </w:pPr>
      <w:r>
        <w:rPr>
          <w:rFonts w:ascii="Calibri" w:hAnsi="Calibri"/>
          <w:color w:val="333333"/>
          <w:sz w:val="22"/>
        </w:rPr>
        <w:t>Perform quality assurance testing on analytical results.</w:t>
      </w:r>
    </w:p>
    <w:p>
      <w:pPr>
        <w:pStyle w:val="ListBullet"/>
        <w:spacing w:after="60" w:line="276" w:lineRule="auto"/>
      </w:pPr>
      <w:r>
        <w:rPr>
          <w:rFonts w:ascii="Calibri" w:hAnsi="Calibri"/>
          <w:color w:val="333333"/>
          <w:sz w:val="22"/>
        </w:rPr>
        <w:t>Translate analytical findings into practical HR and workforce recommendations.</w:t>
      </w:r>
    </w:p>
    <w:p>
      <w:pPr>
        <w:pStyle w:val="ListBullet"/>
        <w:spacing w:after="60" w:line="276" w:lineRule="auto"/>
      </w:pPr>
      <w:r>
        <w:rPr>
          <w:rFonts w:ascii="Calibri" w:hAnsi="Calibri"/>
          <w:color w:val="333333"/>
          <w:sz w:val="22"/>
        </w:rPr>
        <w:t>Organize and document an end-to-end analytics project within a GitHub portfolio.</w:t>
      </w:r>
    </w:p>
    <w:p>
      <w:pPr>
        <w:spacing w:after="120" w:line="276" w:lineRule="auto"/>
      </w:pPr>
      <w:r>
        <w:rPr>
          <w:rFonts w:ascii="Calibri" w:hAnsi="Calibri"/>
          <w:b w:val="0"/>
          <w:i w:val="0"/>
          <w:color w:val="333333"/>
          <w:sz w:val="22"/>
        </w:rPr>
        <w:t>The project was primarily designed as a hands-on learning and portfolio development exercise, demonstrating practical exposure to the workflow of transforming a raw HR dataset into analytical outputs, dashboards, validated metrics, and business insights.</w:t>
      </w:r>
    </w:p>
    <w:p>
      <w:pPr>
        <w:keepNext/>
        <w:spacing w:before="360" w:after="120"/>
      </w:pPr>
      <w:r>
        <w:rPr>
          <w:rFonts w:ascii="Calibri" w:hAnsi="Calibri"/>
          <w:b/>
          <w:color w:val="1B365D"/>
          <w:sz w:val="32"/>
        </w:rPr>
        <w:t>3. Project Background</w:t>
      </w:r>
    </w:p>
    <w:p>
      <w:pPr>
        <w:spacing w:after="120" w:line="276" w:lineRule="auto"/>
      </w:pPr>
      <w:r>
        <w:rPr>
          <w:rFonts w:ascii="Calibri" w:hAnsi="Calibri"/>
          <w:b w:val="0"/>
          <w:i w:val="0"/>
          <w:color w:val="333333"/>
          <w:sz w:val="22"/>
        </w:rPr>
        <w:t>Human Resources analytics provides organizations with the ability to understand workforce composition, identify employee turnover patterns, and investigate areas where retention may require additional attention.</w:t>
      </w:r>
    </w:p>
    <w:p>
      <w:pPr>
        <w:spacing w:after="120" w:line="276" w:lineRule="auto"/>
      </w:pPr>
      <w:r>
        <w:rPr>
          <w:rFonts w:ascii="Calibri" w:hAnsi="Calibri"/>
          <w:b w:val="0"/>
          <w:i w:val="0"/>
          <w:color w:val="333333"/>
          <w:sz w:val="22"/>
        </w:rPr>
        <w:t>Employee attrition can have significant operational implications because employee departures may affect workforce capacity, recruitment requirements, training costs, productivity, and organizational continuity.</w:t>
      </w:r>
    </w:p>
    <w:p>
      <w:pPr>
        <w:spacing w:after="120" w:line="276" w:lineRule="auto"/>
      </w:pPr>
      <w:r>
        <w:rPr>
          <w:rFonts w:ascii="Calibri" w:hAnsi="Calibri"/>
          <w:b w:val="0"/>
          <w:i w:val="0"/>
          <w:color w:val="333333"/>
          <w:sz w:val="22"/>
        </w:rPr>
        <w:t>For this project, the analysis focused on understanding the characteristics of employees within the organization and examining how attrition varied across different workforce segments.</w:t>
      </w:r>
    </w:p>
    <w:p>
      <w:pPr>
        <w:spacing w:after="120" w:line="276" w:lineRule="auto"/>
      </w:pPr>
      <w:r>
        <w:rPr>
          <w:rFonts w:ascii="Calibri" w:hAnsi="Calibri"/>
          <w:b w:val="0"/>
          <w:i w:val="0"/>
          <w:color w:val="333333"/>
          <w:sz w:val="22"/>
        </w:rPr>
        <w:t>The project explored dimensions including:</w:t>
      </w:r>
    </w:p>
    <w:p>
      <w:pPr>
        <w:pStyle w:val="ListBullet"/>
        <w:spacing w:after="60" w:line="276" w:lineRule="auto"/>
      </w:pPr>
      <w:r>
        <w:rPr>
          <w:rFonts w:ascii="Calibri" w:hAnsi="Calibri"/>
          <w:color w:val="333333"/>
          <w:sz w:val="22"/>
        </w:rPr>
        <w:t>Employee demographics</w:t>
      </w:r>
    </w:p>
    <w:p>
      <w:pPr>
        <w:pStyle w:val="ListBullet"/>
        <w:spacing w:after="60" w:line="276" w:lineRule="auto"/>
      </w:pPr>
      <w:r>
        <w:rPr>
          <w:rFonts w:ascii="Calibri" w:hAnsi="Calibri"/>
          <w:color w:val="333333"/>
          <w:sz w:val="22"/>
        </w:rPr>
        <w:t>Age and age groups</w:t>
      </w:r>
    </w:p>
    <w:p>
      <w:pPr>
        <w:pStyle w:val="ListBullet"/>
        <w:spacing w:after="60" w:line="276" w:lineRule="auto"/>
      </w:pPr>
      <w:r>
        <w:rPr>
          <w:rFonts w:ascii="Calibri" w:hAnsi="Calibri"/>
          <w:color w:val="333333"/>
          <w:sz w:val="22"/>
        </w:rPr>
        <w:t>Gender</w:t>
      </w:r>
    </w:p>
    <w:p>
      <w:pPr>
        <w:pStyle w:val="ListBullet"/>
        <w:spacing w:after="60" w:line="276" w:lineRule="auto"/>
      </w:pPr>
      <w:r>
        <w:rPr>
          <w:rFonts w:ascii="Calibri" w:hAnsi="Calibri"/>
          <w:color w:val="333333"/>
          <w:sz w:val="22"/>
        </w:rPr>
        <w:t>Marital status</w:t>
      </w:r>
    </w:p>
    <w:p>
      <w:pPr>
        <w:pStyle w:val="ListBullet"/>
        <w:spacing w:after="60" w:line="276" w:lineRule="auto"/>
      </w:pPr>
      <w:r>
        <w:rPr>
          <w:rFonts w:ascii="Calibri" w:hAnsi="Calibri"/>
          <w:color w:val="333333"/>
          <w:sz w:val="22"/>
        </w:rPr>
        <w:t>Department</w:t>
      </w:r>
    </w:p>
    <w:p>
      <w:pPr>
        <w:pStyle w:val="ListBullet"/>
        <w:spacing w:after="60" w:line="276" w:lineRule="auto"/>
      </w:pPr>
      <w:r>
        <w:rPr>
          <w:rFonts w:ascii="Calibri" w:hAnsi="Calibri"/>
          <w:color w:val="333333"/>
          <w:sz w:val="22"/>
        </w:rPr>
        <w:t>Job role</w:t>
      </w:r>
    </w:p>
    <w:p>
      <w:pPr>
        <w:pStyle w:val="ListBullet"/>
        <w:spacing w:after="60" w:line="276" w:lineRule="auto"/>
      </w:pPr>
      <w:r>
        <w:rPr>
          <w:rFonts w:ascii="Calibri" w:hAnsi="Calibri"/>
          <w:color w:val="333333"/>
          <w:sz w:val="22"/>
        </w:rPr>
        <w:t>Education level</w:t>
      </w:r>
    </w:p>
    <w:p>
      <w:pPr>
        <w:pStyle w:val="ListBullet"/>
        <w:spacing w:after="60" w:line="276" w:lineRule="auto"/>
      </w:pPr>
      <w:r>
        <w:rPr>
          <w:rFonts w:ascii="Calibri" w:hAnsi="Calibri"/>
          <w:color w:val="333333"/>
          <w:sz w:val="22"/>
        </w:rPr>
        <w:t>Education field</w:t>
      </w:r>
    </w:p>
    <w:p>
      <w:pPr>
        <w:pStyle w:val="ListBullet"/>
        <w:spacing w:after="60" w:line="276" w:lineRule="auto"/>
      </w:pPr>
      <w:r>
        <w:rPr>
          <w:rFonts w:ascii="Calibri" w:hAnsi="Calibri"/>
          <w:color w:val="333333"/>
          <w:sz w:val="22"/>
        </w:rPr>
        <w:t>Business travel</w:t>
      </w:r>
    </w:p>
    <w:p>
      <w:pPr>
        <w:pStyle w:val="ListBullet"/>
        <w:spacing w:after="60" w:line="276" w:lineRule="auto"/>
      </w:pPr>
      <w:r>
        <w:rPr>
          <w:rFonts w:ascii="Calibri" w:hAnsi="Calibri"/>
          <w:color w:val="333333"/>
          <w:sz w:val="22"/>
        </w:rPr>
        <w:t>Overtime</w:t>
      </w:r>
    </w:p>
    <w:p>
      <w:pPr>
        <w:pStyle w:val="ListBullet"/>
        <w:spacing w:after="60" w:line="276" w:lineRule="auto"/>
      </w:pPr>
      <w:r>
        <w:rPr>
          <w:rFonts w:ascii="Calibri" w:hAnsi="Calibri"/>
          <w:color w:val="333333"/>
          <w:sz w:val="22"/>
        </w:rPr>
        <w:t>Monthly income</w:t>
      </w:r>
    </w:p>
    <w:p>
      <w:pPr>
        <w:pStyle w:val="ListBullet"/>
        <w:spacing w:after="60" w:line="276" w:lineRule="auto"/>
      </w:pPr>
      <w:r>
        <w:rPr>
          <w:rFonts w:ascii="Calibri" w:hAnsi="Calibri"/>
          <w:color w:val="333333"/>
          <w:sz w:val="22"/>
        </w:rPr>
        <w:t>Job satisfaction</w:t>
      </w:r>
    </w:p>
    <w:p>
      <w:pPr>
        <w:pStyle w:val="ListBullet"/>
        <w:spacing w:after="60" w:line="276" w:lineRule="auto"/>
      </w:pPr>
      <w:r>
        <w:rPr>
          <w:rFonts w:ascii="Calibri" w:hAnsi="Calibri"/>
          <w:color w:val="333333"/>
          <w:sz w:val="22"/>
        </w:rPr>
        <w:t>Environment satisfaction</w:t>
      </w:r>
    </w:p>
    <w:p>
      <w:pPr>
        <w:pStyle w:val="ListBullet"/>
        <w:spacing w:after="60" w:line="276" w:lineRule="auto"/>
      </w:pPr>
      <w:r>
        <w:rPr>
          <w:rFonts w:ascii="Calibri" w:hAnsi="Calibri"/>
          <w:color w:val="333333"/>
          <w:sz w:val="22"/>
        </w:rPr>
        <w:t>Job involvement</w:t>
      </w:r>
    </w:p>
    <w:p>
      <w:pPr>
        <w:pStyle w:val="ListBullet"/>
        <w:spacing w:after="60" w:line="276" w:lineRule="auto"/>
      </w:pPr>
      <w:r>
        <w:rPr>
          <w:rFonts w:ascii="Calibri" w:hAnsi="Calibri"/>
          <w:color w:val="333333"/>
          <w:sz w:val="22"/>
        </w:rPr>
        <w:t>Work-life balance</w:t>
      </w:r>
    </w:p>
    <w:p>
      <w:pPr>
        <w:pStyle w:val="ListBullet"/>
        <w:spacing w:after="60" w:line="276" w:lineRule="auto"/>
      </w:pPr>
      <w:r>
        <w:rPr>
          <w:rFonts w:ascii="Calibri" w:hAnsi="Calibri"/>
          <w:color w:val="333333"/>
          <w:sz w:val="22"/>
        </w:rPr>
        <w:t>Years at company</w:t>
      </w:r>
    </w:p>
    <w:p>
      <w:pPr>
        <w:pStyle w:val="ListBullet"/>
        <w:spacing w:after="60" w:line="276" w:lineRule="auto"/>
      </w:pPr>
      <w:r>
        <w:rPr>
          <w:rFonts w:ascii="Calibri" w:hAnsi="Calibri"/>
          <w:color w:val="333333"/>
          <w:sz w:val="22"/>
        </w:rPr>
        <w:t>Distance from home</w:t>
      </w:r>
    </w:p>
    <w:p>
      <w:pPr>
        <w:pStyle w:val="ListBullet"/>
        <w:spacing w:after="60" w:line="276" w:lineRule="auto"/>
      </w:pPr>
      <w:r>
        <w:rPr>
          <w:rFonts w:ascii="Calibri" w:hAnsi="Calibri"/>
          <w:color w:val="333333"/>
          <w:sz w:val="22"/>
        </w:rPr>
        <w:t>Attrition status</w:t>
      </w:r>
    </w:p>
    <w:p>
      <w:pPr>
        <w:spacing w:after="120" w:line="276" w:lineRule="auto"/>
      </w:pPr>
      <w:r>
        <w:rPr>
          <w:rFonts w:ascii="Calibri" w:hAnsi="Calibri"/>
          <w:b w:val="0"/>
          <w:i w:val="0"/>
          <w:color w:val="333333"/>
          <w:sz w:val="22"/>
        </w:rPr>
        <w:t>The project therefore combines workforce analysis with business intelligence reporting to create a broader view of employee retention patterns.</w:t>
      </w:r>
    </w:p>
    <w:p>
      <w:pPr>
        <w:keepNext/>
        <w:spacing w:before="360" w:after="120"/>
      </w:pPr>
      <w:r>
        <w:rPr>
          <w:rFonts w:ascii="Calibri" w:hAnsi="Calibri"/>
          <w:b/>
          <w:color w:val="1B365D"/>
          <w:sz w:val="32"/>
        </w:rPr>
        <w:t>4. Dataset Overview</w:t>
      </w:r>
    </w:p>
    <w:p>
      <w:pPr>
        <w:spacing w:after="120" w:line="276" w:lineRule="auto"/>
      </w:pPr>
      <w:r>
        <w:rPr>
          <w:rFonts w:ascii="Calibri" w:hAnsi="Calibri"/>
          <w:b w:val="0"/>
          <w:i w:val="0"/>
          <w:color w:val="333333"/>
          <w:sz w:val="22"/>
        </w:rPr>
        <w:t>The project uses an HR employee dataset containing 1,470 employee records.</w:t>
      </w:r>
    </w:p>
    <w:p>
      <w:pPr>
        <w:spacing w:after="120" w:line="276" w:lineRule="auto"/>
      </w:pPr>
      <w:r>
        <w:rPr>
          <w:rFonts w:ascii="Calibri" w:hAnsi="Calibri"/>
          <w:b w:val="0"/>
          <w:i w:val="0"/>
          <w:color w:val="333333"/>
          <w:sz w:val="22"/>
        </w:rPr>
        <w:t>The dataset includes information covering employee demographics, organizational characteristics, job-related attributes, compensation, satisfaction measures, and employee attrition status.</w:t>
      </w:r>
    </w:p>
    <w:p>
      <w:pPr>
        <w:spacing w:after="120" w:line="276" w:lineRule="auto"/>
      </w:pPr>
      <w:r>
        <w:rPr>
          <w:rFonts w:ascii="Calibri" w:hAnsi="Calibri"/>
          <w:b w:val="0"/>
          <w:i w:val="0"/>
          <w:color w:val="333333"/>
          <w:sz w:val="22"/>
        </w:rPr>
        <w:t>The primary analytical dimensions include:</w:t>
      </w:r>
    </w:p>
    <w:p>
      <w:pPr>
        <w:spacing w:after="40"/>
      </w:pPr>
      <w:r>
        <w:rPr>
          <w:b/>
          <w:color w:val="1B365D"/>
        </w:rPr>
        <w:t>Employee Demographics</w:t>
      </w:r>
    </w:p>
    <w:p>
      <w:pPr>
        <w:pStyle w:val="ListBullet"/>
        <w:spacing w:after="60" w:line="276" w:lineRule="auto"/>
      </w:pPr>
      <w:r>
        <w:rPr>
          <w:rFonts w:ascii="Calibri" w:hAnsi="Calibri"/>
          <w:color w:val="333333"/>
          <w:sz w:val="22"/>
        </w:rPr>
        <w:t>Employee number</w:t>
      </w:r>
    </w:p>
    <w:p>
      <w:pPr>
        <w:pStyle w:val="ListBullet"/>
        <w:spacing w:after="60" w:line="276" w:lineRule="auto"/>
      </w:pPr>
      <w:r>
        <w:rPr>
          <w:rFonts w:ascii="Calibri" w:hAnsi="Calibri"/>
          <w:color w:val="333333"/>
          <w:sz w:val="22"/>
        </w:rPr>
        <w:t>Gender</w:t>
      </w:r>
    </w:p>
    <w:p>
      <w:pPr>
        <w:pStyle w:val="ListBullet"/>
        <w:spacing w:after="60" w:line="276" w:lineRule="auto"/>
      </w:pPr>
      <w:r>
        <w:rPr>
          <w:rFonts w:ascii="Calibri" w:hAnsi="Calibri"/>
          <w:color w:val="333333"/>
          <w:sz w:val="22"/>
        </w:rPr>
        <w:t>Age</w:t>
      </w:r>
    </w:p>
    <w:p>
      <w:pPr>
        <w:pStyle w:val="ListBullet"/>
        <w:spacing w:after="60" w:line="276" w:lineRule="auto"/>
      </w:pPr>
      <w:r>
        <w:rPr>
          <w:rFonts w:ascii="Calibri" w:hAnsi="Calibri"/>
          <w:color w:val="333333"/>
          <w:sz w:val="22"/>
        </w:rPr>
        <w:t>Age band</w:t>
      </w:r>
    </w:p>
    <w:p>
      <w:pPr>
        <w:pStyle w:val="ListBullet"/>
        <w:spacing w:after="60" w:line="276" w:lineRule="auto"/>
      </w:pPr>
      <w:r>
        <w:rPr>
          <w:rFonts w:ascii="Calibri" w:hAnsi="Calibri"/>
          <w:color w:val="333333"/>
          <w:sz w:val="22"/>
        </w:rPr>
        <w:t>Marital status</w:t>
      </w:r>
    </w:p>
    <w:p>
      <w:pPr>
        <w:spacing w:after="40"/>
      </w:pPr>
      <w:r>
        <w:rPr>
          <w:b/>
          <w:color w:val="1B365D"/>
        </w:rPr>
        <w:t>Organizational Information</w:t>
      </w:r>
    </w:p>
    <w:p>
      <w:pPr>
        <w:pStyle w:val="ListBullet"/>
        <w:spacing w:after="60" w:line="276" w:lineRule="auto"/>
      </w:pPr>
      <w:r>
        <w:rPr>
          <w:rFonts w:ascii="Calibri" w:hAnsi="Calibri"/>
          <w:color w:val="333333"/>
          <w:sz w:val="22"/>
        </w:rPr>
        <w:t>Department</w:t>
      </w:r>
    </w:p>
    <w:p>
      <w:pPr>
        <w:pStyle w:val="ListBullet"/>
        <w:spacing w:after="60" w:line="276" w:lineRule="auto"/>
      </w:pPr>
      <w:r>
        <w:rPr>
          <w:rFonts w:ascii="Calibri" w:hAnsi="Calibri"/>
          <w:color w:val="333333"/>
          <w:sz w:val="22"/>
        </w:rPr>
        <w:t>Job role</w:t>
      </w:r>
    </w:p>
    <w:p>
      <w:pPr>
        <w:pStyle w:val="ListBullet"/>
        <w:spacing w:after="60" w:line="276" w:lineRule="auto"/>
      </w:pPr>
      <w:r>
        <w:rPr>
          <w:rFonts w:ascii="Calibri" w:hAnsi="Calibri"/>
          <w:color w:val="333333"/>
          <w:sz w:val="22"/>
        </w:rPr>
        <w:t>Business travel</w:t>
      </w:r>
    </w:p>
    <w:p>
      <w:pPr>
        <w:pStyle w:val="ListBullet"/>
        <w:spacing w:after="60" w:line="276" w:lineRule="auto"/>
      </w:pPr>
      <w:r>
        <w:rPr>
          <w:rFonts w:ascii="Calibri" w:hAnsi="Calibri"/>
          <w:color w:val="333333"/>
          <w:sz w:val="22"/>
        </w:rPr>
        <w:t>Overtime</w:t>
      </w:r>
    </w:p>
    <w:p>
      <w:pPr>
        <w:pStyle w:val="ListBullet"/>
        <w:spacing w:after="60" w:line="276" w:lineRule="auto"/>
      </w:pPr>
      <w:r>
        <w:rPr>
          <w:rFonts w:ascii="Calibri" w:hAnsi="Calibri"/>
          <w:color w:val="333333"/>
          <w:sz w:val="22"/>
        </w:rPr>
        <w:t>Years at company</w:t>
      </w:r>
    </w:p>
    <w:p>
      <w:pPr>
        <w:pStyle w:val="ListBullet"/>
        <w:spacing w:after="60" w:line="276" w:lineRule="auto"/>
      </w:pPr>
      <w:r>
        <w:rPr>
          <w:rFonts w:ascii="Calibri" w:hAnsi="Calibri"/>
          <w:color w:val="333333"/>
          <w:sz w:val="22"/>
        </w:rPr>
        <w:t>Total working years</w:t>
      </w:r>
    </w:p>
    <w:p>
      <w:pPr>
        <w:spacing w:after="40"/>
      </w:pPr>
      <w:r>
        <w:rPr>
          <w:b/>
          <w:color w:val="1B365D"/>
        </w:rPr>
        <w:t>Educational Information</w:t>
      </w:r>
    </w:p>
    <w:p>
      <w:pPr>
        <w:pStyle w:val="ListBullet"/>
        <w:spacing w:after="60" w:line="276" w:lineRule="auto"/>
      </w:pPr>
      <w:r>
        <w:rPr>
          <w:rFonts w:ascii="Calibri" w:hAnsi="Calibri"/>
          <w:color w:val="333333"/>
          <w:sz w:val="22"/>
        </w:rPr>
        <w:t>Education level</w:t>
      </w:r>
    </w:p>
    <w:p>
      <w:pPr>
        <w:pStyle w:val="ListBullet"/>
        <w:spacing w:after="60" w:line="276" w:lineRule="auto"/>
      </w:pPr>
      <w:r>
        <w:rPr>
          <w:rFonts w:ascii="Calibri" w:hAnsi="Calibri"/>
          <w:color w:val="333333"/>
          <w:sz w:val="22"/>
        </w:rPr>
        <w:t>Education field</w:t>
      </w:r>
    </w:p>
    <w:p>
      <w:pPr>
        <w:spacing w:after="40"/>
      </w:pPr>
      <w:r>
        <w:rPr>
          <w:b/>
          <w:color w:val="1B365D"/>
        </w:rPr>
        <w:t>Workforce and Compensation Information</w:t>
      </w:r>
    </w:p>
    <w:p>
      <w:pPr>
        <w:pStyle w:val="ListBullet"/>
        <w:spacing w:after="60" w:line="276" w:lineRule="auto"/>
      </w:pPr>
      <w:r>
        <w:rPr>
          <w:rFonts w:ascii="Calibri" w:hAnsi="Calibri"/>
          <w:color w:val="333333"/>
          <w:sz w:val="22"/>
        </w:rPr>
        <w:t>Employee count</w:t>
      </w:r>
    </w:p>
    <w:p>
      <w:pPr>
        <w:pStyle w:val="ListBullet"/>
        <w:spacing w:after="60" w:line="276" w:lineRule="auto"/>
      </w:pPr>
      <w:r>
        <w:rPr>
          <w:rFonts w:ascii="Calibri" w:hAnsi="Calibri"/>
          <w:color w:val="333333"/>
          <w:sz w:val="22"/>
        </w:rPr>
        <w:t>Monthly income</w:t>
      </w:r>
    </w:p>
    <w:p>
      <w:pPr>
        <w:pStyle w:val="ListBullet"/>
        <w:spacing w:after="60" w:line="276" w:lineRule="auto"/>
      </w:pPr>
      <w:r>
        <w:rPr>
          <w:rFonts w:ascii="Calibri" w:hAnsi="Calibri"/>
          <w:color w:val="333333"/>
          <w:sz w:val="22"/>
        </w:rPr>
        <w:t>Distance from home</w:t>
      </w:r>
    </w:p>
    <w:p>
      <w:pPr>
        <w:spacing w:after="40"/>
      </w:pPr>
      <w:r>
        <w:rPr>
          <w:b/>
          <w:color w:val="1B365D"/>
        </w:rPr>
        <w:t>Engagement and Satisfaction</w:t>
      </w:r>
    </w:p>
    <w:p>
      <w:pPr>
        <w:pStyle w:val="ListBullet"/>
        <w:spacing w:after="60" w:line="276" w:lineRule="auto"/>
      </w:pPr>
      <w:r>
        <w:rPr>
          <w:rFonts w:ascii="Calibri" w:hAnsi="Calibri"/>
          <w:color w:val="333333"/>
          <w:sz w:val="22"/>
        </w:rPr>
        <w:t>Job satisfaction</w:t>
      </w:r>
    </w:p>
    <w:p>
      <w:pPr>
        <w:pStyle w:val="ListBullet"/>
        <w:spacing w:after="60" w:line="276" w:lineRule="auto"/>
      </w:pPr>
      <w:r>
        <w:rPr>
          <w:rFonts w:ascii="Calibri" w:hAnsi="Calibri"/>
          <w:color w:val="333333"/>
          <w:sz w:val="22"/>
        </w:rPr>
        <w:t>Environment satisfaction</w:t>
      </w:r>
    </w:p>
    <w:p>
      <w:pPr>
        <w:pStyle w:val="ListBullet"/>
        <w:spacing w:after="60" w:line="276" w:lineRule="auto"/>
      </w:pPr>
      <w:r>
        <w:rPr>
          <w:rFonts w:ascii="Calibri" w:hAnsi="Calibri"/>
          <w:color w:val="333333"/>
          <w:sz w:val="22"/>
        </w:rPr>
        <w:t>Job involvement</w:t>
      </w:r>
    </w:p>
    <w:p>
      <w:pPr>
        <w:pStyle w:val="ListBullet"/>
        <w:spacing w:after="60" w:line="276" w:lineRule="auto"/>
      </w:pPr>
      <w:r>
        <w:rPr>
          <w:rFonts w:ascii="Calibri" w:hAnsi="Calibri"/>
          <w:color w:val="333333"/>
          <w:sz w:val="22"/>
        </w:rPr>
        <w:t>Work-life balance</w:t>
      </w:r>
    </w:p>
    <w:p>
      <w:pPr>
        <w:spacing w:after="40"/>
      </w:pPr>
      <w:r>
        <w:rPr>
          <w:b/>
          <w:color w:val="1B365D"/>
        </w:rPr>
        <w:t>Retention Outcome</w:t>
      </w:r>
    </w:p>
    <w:p>
      <w:pPr>
        <w:pStyle w:val="ListBullet"/>
        <w:spacing w:after="60" w:line="276" w:lineRule="auto"/>
      </w:pPr>
      <w:r>
        <w:rPr>
          <w:rFonts w:ascii="Calibri" w:hAnsi="Calibri"/>
          <w:color w:val="333333"/>
          <w:sz w:val="22"/>
        </w:rPr>
        <w:t>Attrition status</w:t>
      </w:r>
    </w:p>
    <w:p>
      <w:pPr>
        <w:pStyle w:val="ListBullet"/>
        <w:spacing w:after="60" w:line="276" w:lineRule="auto"/>
      </w:pPr>
      <w:r>
        <w:rPr>
          <w:rFonts w:ascii="Calibri" w:hAnsi="Calibri"/>
          <w:color w:val="333333"/>
          <w:sz w:val="22"/>
        </w:rPr>
        <w:t>Active employee status</w:t>
      </w:r>
    </w:p>
    <w:p>
      <w:pPr>
        <w:spacing w:after="120" w:line="276" w:lineRule="auto"/>
      </w:pPr>
      <w:r>
        <w:rPr>
          <w:rFonts w:ascii="Calibri" w:hAnsi="Calibri"/>
          <w:b w:val="0"/>
          <w:i w:val="0"/>
          <w:color w:val="333333"/>
          <w:sz w:val="22"/>
        </w:rPr>
        <w:t>The dataset contains both categorical and numerical variables, allowing the project to combine descriptive statistics, grouped analysis, dashboard visualization, and SQL-based aggregation.</w:t>
      </w:r>
    </w:p>
    <w:p>
      <w:pPr>
        <w:keepNext/>
        <w:spacing w:before="360" w:after="120"/>
      </w:pPr>
      <w:r>
        <w:rPr>
          <w:rFonts w:ascii="Calibri" w:hAnsi="Calibri"/>
          <w:b/>
          <w:color w:val="1B365D"/>
          <w:sz w:val="32"/>
        </w:rPr>
        <w:t>5. Dataset Preparation and Analytical Structure</w:t>
      </w:r>
    </w:p>
    <w:p>
      <w:pPr>
        <w:spacing w:after="120" w:line="276" w:lineRule="auto"/>
      </w:pPr>
      <w:r>
        <w:rPr>
          <w:rFonts w:ascii="Calibri" w:hAnsi="Calibri"/>
          <w:b w:val="0"/>
          <w:i w:val="0"/>
          <w:color w:val="333333"/>
          <w:sz w:val="22"/>
        </w:rPr>
        <w:t>The dataset was used across several analytical environments.</w:t>
      </w:r>
    </w:p>
    <w:p>
      <w:pPr>
        <w:spacing w:after="120" w:line="276" w:lineRule="auto"/>
      </w:pPr>
      <w:r>
        <w:rPr>
          <w:rFonts w:ascii="Calibri" w:hAnsi="Calibri"/>
          <w:b w:val="0"/>
          <w:i w:val="0"/>
          <w:color w:val="333333"/>
          <w:sz w:val="22"/>
        </w:rPr>
        <w:t>Different file formats were maintained to support the requirements of the individual tools used during the project.</w:t>
      </w:r>
    </w:p>
    <w:p>
      <w:pPr>
        <w:spacing w:after="120" w:line="276" w:lineRule="auto"/>
      </w:pPr>
      <w:r>
        <w:rPr>
          <w:rFonts w:ascii="Calibri" w:hAnsi="Calibri"/>
          <w:b w:val="0"/>
          <w:i w:val="0"/>
          <w:color w:val="333333"/>
          <w:sz w:val="22"/>
        </w:rPr>
        <w:t>The repository contains data files associated with:</w:t>
      </w:r>
    </w:p>
    <w:p>
      <w:pPr>
        <w:pStyle w:val="ListBullet"/>
        <w:spacing w:after="60" w:line="276" w:lineRule="auto"/>
      </w:pPr>
      <w:r>
        <w:rPr>
          <w:rFonts w:ascii="Calibri" w:hAnsi="Calibri"/>
          <w:color w:val="333333"/>
          <w:sz w:val="22"/>
        </w:rPr>
        <w:t>Microsoft Excel</w:t>
      </w:r>
    </w:p>
    <w:p>
      <w:pPr>
        <w:pStyle w:val="ListBullet"/>
        <w:spacing w:after="60" w:line="276" w:lineRule="auto"/>
      </w:pPr>
      <w:r>
        <w:rPr>
          <w:rFonts w:ascii="Calibri" w:hAnsi="Calibri"/>
          <w:color w:val="333333"/>
          <w:sz w:val="22"/>
        </w:rPr>
        <w:t>PostgreSQL / SQL</w:t>
      </w:r>
    </w:p>
    <w:p>
      <w:pPr>
        <w:pStyle w:val="ListBullet"/>
        <w:spacing w:after="60" w:line="276" w:lineRule="auto"/>
      </w:pPr>
      <w:r>
        <w:rPr>
          <w:rFonts w:ascii="Calibri" w:hAnsi="Calibri"/>
          <w:color w:val="333333"/>
          <w:sz w:val="22"/>
        </w:rPr>
        <w:t>Power BI</w:t>
      </w:r>
    </w:p>
    <w:p>
      <w:pPr>
        <w:pStyle w:val="ListBullet"/>
        <w:spacing w:after="60" w:line="276" w:lineRule="auto"/>
      </w:pPr>
      <w:r>
        <w:rPr>
          <w:rFonts w:ascii="Calibri" w:hAnsi="Calibri"/>
          <w:color w:val="333333"/>
          <w:sz w:val="22"/>
        </w:rPr>
        <w:t>Tableau</w:t>
      </w:r>
    </w:p>
    <w:p>
      <w:pPr>
        <w:spacing w:after="120" w:line="276" w:lineRule="auto"/>
      </w:pPr>
      <w:r>
        <w:rPr>
          <w:rFonts w:ascii="Calibri" w:hAnsi="Calibri"/>
          <w:b w:val="0"/>
          <w:i w:val="0"/>
          <w:color w:val="333333"/>
          <w:sz w:val="22"/>
        </w:rPr>
        <w:t>The data preparation workflow involved working with the source HR dataset and structuring the information so that it could be analyzed consistently across the different tools.</w:t>
      </w:r>
    </w:p>
    <w:p>
      <w:pPr>
        <w:spacing w:after="120" w:line="276" w:lineRule="auto"/>
      </w:pPr>
      <w:r>
        <w:rPr>
          <w:rFonts w:ascii="Calibri" w:hAnsi="Calibri"/>
          <w:b w:val="0"/>
          <w:i w:val="0"/>
          <w:color w:val="333333"/>
          <w:sz w:val="22"/>
        </w:rPr>
        <w:t>The project also included validation of key metrics to ensure that dashboard outputs were consistent with SQL-based calculations.</w:t>
      </w:r>
    </w:p>
    <w:p>
      <w:pPr>
        <w:spacing w:after="120" w:line="276" w:lineRule="auto"/>
      </w:pPr>
      <w:r>
        <w:rPr>
          <w:rFonts w:ascii="Calibri" w:hAnsi="Calibri"/>
          <w:b w:val="0"/>
          <w:i w:val="0"/>
          <w:color w:val="333333"/>
          <w:sz w:val="22"/>
        </w:rPr>
        <w:t>The overall analytical structure followed the workflow:</w:t>
      </w:r>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40" w:type="dxa"/>
              <w:right w:w="240" w:type="dxa"/>
            </w:tcMar>
            <w:tcBorders>
              <w:left w:val="single" w:sz="24" w:space="0" w:color="1B365D"/>
              <w:top w:val="none"/>
              <w:right w:val="none"/>
              <w:bottom w:val="none"/>
            </w:tcBorders>
          </w:tcPr>
          <w:p>
            <w:pPr>
              <w:spacing w:after="0" w:line="276" w:lineRule="auto"/>
            </w:pPr>
            <w:r>
              <w:rPr>
                <w:rFonts w:ascii="Calibri" w:hAnsi="Calibri"/>
                <w:b/>
                <w:color w:val="1B365D"/>
              </w:rPr>
              <w:t>Analytical Workflow Pipeline:</w:t>
              <w:br/>
            </w:r>
            <w:r>
              <w:rPr>
                <w:rFonts w:ascii="Calibri" w:hAnsi="Calibri"/>
                <w:color w:val="333333"/>
              </w:rPr>
              <w:t xml:space="preserve">HR Employee Dataset  ↓  </w:t>
              <w:br/>
              <w:t xml:space="preserve">Data Preparation &amp; Exploration  ↓  </w:t>
              <w:br/>
              <w:t xml:space="preserve">Microsoft Excel Analysis  ↓  </w:t>
              <w:br/>
              <w:t xml:space="preserve">PostgreSQL / SQL Analysis  ↓  </w:t>
              <w:br/>
              <w:t xml:space="preserve">Power BI Dashboard  ↓  </w:t>
              <w:br/>
              <w:t xml:space="preserve">Tableau Dashboard  ↓  </w:t>
              <w:br/>
              <w:t xml:space="preserve">SQL-Based Validation  ↓  </w:t>
              <w:br/>
              <w:t xml:space="preserve">Quality Assurance Testing  ↓  </w:t>
              <w:br/>
              <w:t xml:space="preserve">Cross-Tool Insight Analysis  ↓  </w:t>
              <w:br/>
              <w:t xml:space="preserve">Business Recommendations  ↓  </w:t>
              <w:br/>
              <w:t>Portfolio Documentation</w:t>
            </w:r>
          </w:p>
        </w:tc>
      </w:tr>
    </w:tbl>
    <w:p>
      <w:pPr>
        <w:spacing w:after="120"/>
      </w:pPr>
    </w:p>
    <w:p>
      <w:pPr>
        <w:keepNext/>
        <w:spacing w:before="360" w:after="120"/>
      </w:pPr>
      <w:r>
        <w:rPr>
          <w:rFonts w:ascii="Calibri" w:hAnsi="Calibri"/>
          <w:b/>
          <w:color w:val="1B365D"/>
          <w:sz w:val="32"/>
        </w:rPr>
        <w:t>6. Tools and Technologies</w:t>
      </w:r>
    </w:p>
    <w:p>
      <w:pPr>
        <w:keepNext/>
        <w:spacing w:before="240" w:after="80"/>
      </w:pPr>
      <w:r>
        <w:rPr>
          <w:rFonts w:ascii="Calibri" w:hAnsi="Calibri"/>
          <w:b/>
          <w:color w:val="0096A6"/>
          <w:sz w:val="26"/>
        </w:rPr>
        <w:t>6.1 Microsoft Excel</w:t>
      </w:r>
    </w:p>
    <w:p>
      <w:pPr>
        <w:spacing w:after="120" w:line="276" w:lineRule="auto"/>
      </w:pPr>
      <w:r>
        <w:rPr>
          <w:rFonts w:ascii="Calibri" w:hAnsi="Calibri"/>
          <w:b w:val="0"/>
          <w:i w:val="0"/>
          <w:color w:val="333333"/>
          <w:sz w:val="22"/>
        </w:rPr>
        <w:t>Microsoft Excel was used for initial data analysis and dashboard development.</w:t>
      </w:r>
    </w:p>
    <w:p>
      <w:pPr>
        <w:spacing w:after="120" w:line="276" w:lineRule="auto"/>
      </w:pPr>
      <w:r>
        <w:rPr>
          <w:rFonts w:ascii="Calibri" w:hAnsi="Calibri"/>
          <w:b w:val="0"/>
          <w:i w:val="0"/>
          <w:color w:val="333333"/>
          <w:sz w:val="22"/>
        </w:rPr>
        <w:t>The Excel workflow provided an early overview of:</w:t>
      </w:r>
    </w:p>
    <w:p>
      <w:pPr>
        <w:pStyle w:val="ListBullet"/>
        <w:spacing w:after="60" w:line="276" w:lineRule="auto"/>
      </w:pPr>
      <w:r>
        <w:rPr>
          <w:rFonts w:ascii="Calibri" w:hAnsi="Calibri"/>
          <w:color w:val="333333"/>
          <w:sz w:val="22"/>
        </w:rPr>
        <w:t>Employee count</w:t>
      </w:r>
    </w:p>
    <w:p>
      <w:pPr>
        <w:pStyle w:val="ListBullet"/>
        <w:spacing w:after="60" w:line="276" w:lineRule="auto"/>
      </w:pPr>
      <w:r>
        <w:rPr>
          <w:rFonts w:ascii="Calibri" w:hAnsi="Calibri"/>
          <w:color w:val="333333"/>
          <w:sz w:val="22"/>
        </w:rPr>
        <w:t>Attrition count</w:t>
      </w:r>
    </w:p>
    <w:p>
      <w:pPr>
        <w:pStyle w:val="ListBullet"/>
        <w:spacing w:after="60" w:line="276" w:lineRule="auto"/>
      </w:pPr>
      <w:r>
        <w:rPr>
          <w:rFonts w:ascii="Calibri" w:hAnsi="Calibri"/>
          <w:color w:val="333333"/>
          <w:sz w:val="22"/>
        </w:rPr>
        <w:t>Attrition rate</w:t>
      </w:r>
    </w:p>
    <w:p>
      <w:pPr>
        <w:pStyle w:val="ListBullet"/>
        <w:spacing w:after="60" w:line="276" w:lineRule="auto"/>
      </w:pPr>
      <w:r>
        <w:rPr>
          <w:rFonts w:ascii="Calibri" w:hAnsi="Calibri"/>
          <w:color w:val="333333"/>
          <w:sz w:val="22"/>
        </w:rPr>
        <w:t>Active employees</w:t>
      </w:r>
    </w:p>
    <w:p>
      <w:pPr>
        <w:pStyle w:val="ListBullet"/>
        <w:spacing w:after="60" w:line="276" w:lineRule="auto"/>
      </w:pPr>
      <w:r>
        <w:rPr>
          <w:rFonts w:ascii="Calibri" w:hAnsi="Calibri"/>
          <w:color w:val="333333"/>
          <w:sz w:val="22"/>
        </w:rPr>
        <w:t>Average age</w:t>
      </w:r>
    </w:p>
    <w:p>
      <w:pPr>
        <w:pStyle w:val="ListBullet"/>
        <w:spacing w:after="60" w:line="276" w:lineRule="auto"/>
      </w:pPr>
      <w:r>
        <w:rPr>
          <w:rFonts w:ascii="Calibri" w:hAnsi="Calibri"/>
          <w:color w:val="333333"/>
          <w:sz w:val="22"/>
        </w:rPr>
        <w:t>Department-level attrition</w:t>
      </w:r>
    </w:p>
    <w:p>
      <w:pPr>
        <w:pStyle w:val="ListBullet"/>
        <w:spacing w:after="60" w:line="276" w:lineRule="auto"/>
      </w:pPr>
      <w:r>
        <w:rPr>
          <w:rFonts w:ascii="Calibri" w:hAnsi="Calibri"/>
          <w:color w:val="333333"/>
          <w:sz w:val="22"/>
        </w:rPr>
        <w:t>Employee age distribution</w:t>
      </w:r>
    </w:p>
    <w:p>
      <w:pPr>
        <w:pStyle w:val="ListBullet"/>
        <w:spacing w:after="60" w:line="276" w:lineRule="auto"/>
      </w:pPr>
      <w:r>
        <w:rPr>
          <w:rFonts w:ascii="Calibri" w:hAnsi="Calibri"/>
          <w:color w:val="333333"/>
          <w:sz w:val="22"/>
        </w:rPr>
        <w:t>Attrition by gender</w:t>
      </w:r>
    </w:p>
    <w:p>
      <w:pPr>
        <w:pStyle w:val="ListBullet"/>
        <w:spacing w:after="60" w:line="276" w:lineRule="auto"/>
      </w:pPr>
      <w:r>
        <w:rPr>
          <w:rFonts w:ascii="Calibri" w:hAnsi="Calibri"/>
          <w:color w:val="333333"/>
          <w:sz w:val="22"/>
        </w:rPr>
        <w:t>Education field-wise attrition</w:t>
      </w:r>
    </w:p>
    <w:p>
      <w:pPr>
        <w:pStyle w:val="ListBullet"/>
        <w:spacing w:after="60" w:line="276" w:lineRule="auto"/>
      </w:pPr>
      <w:r>
        <w:rPr>
          <w:rFonts w:ascii="Calibri" w:hAnsi="Calibri"/>
          <w:color w:val="333333"/>
          <w:sz w:val="22"/>
        </w:rPr>
        <w:t>Age group analysis</w:t>
      </w:r>
    </w:p>
    <w:p>
      <w:pPr>
        <w:pStyle w:val="ListBullet"/>
        <w:spacing w:after="60" w:line="276" w:lineRule="auto"/>
      </w:pPr>
      <w:r>
        <w:rPr>
          <w:rFonts w:ascii="Calibri" w:hAnsi="Calibri"/>
          <w:color w:val="333333"/>
          <w:sz w:val="22"/>
        </w:rPr>
        <w:t>Gender-based attrition patterns</w:t>
      </w:r>
    </w:p>
    <w:p>
      <w:pPr>
        <w:spacing w:after="120" w:line="276" w:lineRule="auto"/>
      </w:pPr>
      <w:r>
        <w:rPr>
          <w:rFonts w:ascii="Calibri" w:hAnsi="Calibri"/>
          <w:b w:val="0"/>
          <w:i w:val="0"/>
          <w:color w:val="333333"/>
          <w:sz w:val="22"/>
        </w:rPr>
        <w:t>Excel served as an important initial analytical environment before the results were explored through SQL and business intelligence platforms.</w:t>
      </w:r>
    </w:p>
    <w:p>
      <w:pPr>
        <w:keepNext/>
        <w:spacing w:before="240" w:after="80"/>
      </w:pPr>
      <w:r>
        <w:rPr>
          <w:rFonts w:ascii="Calibri" w:hAnsi="Calibri"/>
          <w:b/>
          <w:color w:val="0096A6"/>
          <w:sz w:val="26"/>
        </w:rPr>
        <w:t>6.2 PostgreSQL and SQL</w:t>
      </w:r>
    </w:p>
    <w:p>
      <w:pPr>
        <w:spacing w:after="120" w:line="276" w:lineRule="auto"/>
      </w:pPr>
      <w:r>
        <w:rPr>
          <w:rFonts w:ascii="Calibri" w:hAnsi="Calibri"/>
          <w:b w:val="0"/>
          <w:i w:val="0"/>
          <w:color w:val="333333"/>
          <w:sz w:val="22"/>
        </w:rPr>
        <w:t>PostgreSQL was used to perform structured queries against the HR dataset.</w:t>
      </w:r>
    </w:p>
    <w:p>
      <w:pPr>
        <w:spacing w:after="120" w:line="276" w:lineRule="auto"/>
      </w:pPr>
      <w:r>
        <w:rPr>
          <w:rFonts w:ascii="Calibri" w:hAnsi="Calibri"/>
          <w:b w:val="0"/>
          <w:i w:val="0"/>
          <w:color w:val="333333"/>
          <w:sz w:val="22"/>
        </w:rPr>
        <w:t>SQL was used to calculate and analyze:</w:t>
      </w:r>
    </w:p>
    <w:p>
      <w:pPr>
        <w:pStyle w:val="ListBullet"/>
        <w:spacing w:after="60" w:line="276" w:lineRule="auto"/>
      </w:pPr>
      <w:r>
        <w:rPr>
          <w:rFonts w:ascii="Calibri" w:hAnsi="Calibri"/>
          <w:color w:val="333333"/>
          <w:sz w:val="22"/>
        </w:rPr>
        <w:t>Employee count</w:t>
      </w:r>
    </w:p>
    <w:p>
      <w:pPr>
        <w:pStyle w:val="ListBullet"/>
        <w:spacing w:after="60" w:line="276" w:lineRule="auto"/>
      </w:pPr>
      <w:r>
        <w:rPr>
          <w:rFonts w:ascii="Calibri" w:hAnsi="Calibri"/>
          <w:color w:val="333333"/>
          <w:sz w:val="22"/>
        </w:rPr>
        <w:t>Attrition count</w:t>
      </w:r>
    </w:p>
    <w:p>
      <w:pPr>
        <w:pStyle w:val="ListBullet"/>
        <w:spacing w:after="60" w:line="276" w:lineRule="auto"/>
      </w:pPr>
      <w:r>
        <w:rPr>
          <w:rFonts w:ascii="Calibri" w:hAnsi="Calibri"/>
          <w:color w:val="333333"/>
          <w:sz w:val="22"/>
        </w:rPr>
        <w:t>Attrition rate</w:t>
      </w:r>
    </w:p>
    <w:p>
      <w:pPr>
        <w:pStyle w:val="ListBullet"/>
        <w:spacing w:after="60" w:line="276" w:lineRule="auto"/>
      </w:pPr>
      <w:r>
        <w:rPr>
          <w:rFonts w:ascii="Calibri" w:hAnsi="Calibri"/>
          <w:color w:val="333333"/>
          <w:sz w:val="22"/>
        </w:rPr>
        <w:t>Active employee count</w:t>
      </w:r>
    </w:p>
    <w:p>
      <w:pPr>
        <w:pStyle w:val="ListBullet"/>
        <w:spacing w:after="60" w:line="276" w:lineRule="auto"/>
      </w:pPr>
      <w:r>
        <w:rPr>
          <w:rFonts w:ascii="Calibri" w:hAnsi="Calibri"/>
          <w:color w:val="333333"/>
          <w:sz w:val="22"/>
        </w:rPr>
        <w:t>Average employee age</w:t>
      </w:r>
    </w:p>
    <w:p>
      <w:pPr>
        <w:pStyle w:val="ListBullet"/>
        <w:spacing w:after="60" w:line="276" w:lineRule="auto"/>
      </w:pPr>
      <w:r>
        <w:rPr>
          <w:rFonts w:ascii="Calibri" w:hAnsi="Calibri"/>
          <w:color w:val="333333"/>
          <w:sz w:val="22"/>
        </w:rPr>
        <w:t>Attrition by gender</w:t>
      </w:r>
    </w:p>
    <w:p>
      <w:pPr>
        <w:pStyle w:val="ListBullet"/>
        <w:spacing w:after="60" w:line="276" w:lineRule="auto"/>
      </w:pPr>
      <w:r>
        <w:rPr>
          <w:rFonts w:ascii="Calibri" w:hAnsi="Calibri"/>
          <w:color w:val="333333"/>
          <w:sz w:val="22"/>
        </w:rPr>
        <w:t>Department-wise attrition</w:t>
      </w:r>
    </w:p>
    <w:p>
      <w:pPr>
        <w:pStyle w:val="ListBullet"/>
        <w:spacing w:after="60" w:line="276" w:lineRule="auto"/>
      </w:pPr>
      <w:r>
        <w:rPr>
          <w:rFonts w:ascii="Calibri" w:hAnsi="Calibri"/>
          <w:color w:val="333333"/>
          <w:sz w:val="22"/>
        </w:rPr>
        <w:t>Employee distribution by age</w:t>
      </w:r>
    </w:p>
    <w:p>
      <w:pPr>
        <w:pStyle w:val="ListBullet"/>
        <w:spacing w:after="60" w:line="276" w:lineRule="auto"/>
      </w:pPr>
      <w:r>
        <w:rPr>
          <w:rFonts w:ascii="Calibri" w:hAnsi="Calibri"/>
          <w:color w:val="333333"/>
          <w:sz w:val="22"/>
        </w:rPr>
        <w:t>Education field-wise attrition</w:t>
      </w:r>
    </w:p>
    <w:p>
      <w:pPr>
        <w:pStyle w:val="ListBullet"/>
        <w:spacing w:after="60" w:line="276" w:lineRule="auto"/>
      </w:pPr>
      <w:r>
        <w:rPr>
          <w:rFonts w:ascii="Calibri" w:hAnsi="Calibri"/>
          <w:color w:val="333333"/>
          <w:sz w:val="22"/>
        </w:rPr>
        <w:t>Attrition by gender and age group</w:t>
      </w:r>
    </w:p>
    <w:p>
      <w:pPr>
        <w:pStyle w:val="ListBullet"/>
        <w:spacing w:after="60" w:line="276" w:lineRule="auto"/>
      </w:pPr>
      <w:r>
        <w:rPr>
          <w:rFonts w:ascii="Calibri" w:hAnsi="Calibri"/>
          <w:color w:val="333333"/>
          <w:sz w:val="22"/>
        </w:rPr>
        <w:t>Job satisfaction by job role</w:t>
      </w:r>
    </w:p>
    <w:p>
      <w:pPr>
        <w:spacing w:after="120" w:line="276" w:lineRule="auto"/>
      </w:pPr>
      <w:r>
        <w:rPr>
          <w:rFonts w:ascii="Calibri" w:hAnsi="Calibri"/>
          <w:b w:val="0"/>
          <w:i w:val="0"/>
          <w:color w:val="333333"/>
          <w:sz w:val="22"/>
        </w:rPr>
        <w:t>The SQL workflow also included the PostgreSQL crosstab() function to generate a job satisfaction matrix by job role.</w:t>
      </w:r>
    </w:p>
    <w:p>
      <w:pPr>
        <w:spacing w:after="120" w:line="276" w:lineRule="auto"/>
      </w:pPr>
      <w:r>
        <w:rPr>
          <w:rFonts w:ascii="Calibri" w:hAnsi="Calibri"/>
          <w:b w:val="0"/>
          <w:i w:val="0"/>
          <w:color w:val="333333"/>
          <w:sz w:val="22"/>
        </w:rPr>
        <w:t>The satisfaction scale was represented using four levels:</w:t>
      </w:r>
    </w:p>
    <w:p>
      <w:pPr>
        <w:pStyle w:val="ListBullet"/>
        <w:spacing w:after="60" w:line="276" w:lineRule="auto"/>
      </w:pPr>
      <w:r>
        <w:rPr>
          <w:rFonts w:ascii="Calibri" w:hAnsi="Calibri"/>
          <w:color w:val="333333"/>
          <w:sz w:val="22"/>
        </w:rPr>
        <w:t>1 — Low</w:t>
      </w:r>
    </w:p>
    <w:p>
      <w:pPr>
        <w:pStyle w:val="ListBullet"/>
        <w:spacing w:after="60" w:line="276" w:lineRule="auto"/>
      </w:pPr>
      <w:r>
        <w:rPr>
          <w:rFonts w:ascii="Calibri" w:hAnsi="Calibri"/>
          <w:color w:val="333333"/>
          <w:sz w:val="22"/>
        </w:rPr>
        <w:t>2 — Medium</w:t>
      </w:r>
    </w:p>
    <w:p>
      <w:pPr>
        <w:pStyle w:val="ListBullet"/>
        <w:spacing w:after="60" w:line="276" w:lineRule="auto"/>
      </w:pPr>
      <w:r>
        <w:rPr>
          <w:rFonts w:ascii="Calibri" w:hAnsi="Calibri"/>
          <w:color w:val="333333"/>
          <w:sz w:val="22"/>
        </w:rPr>
        <w:t>3 — High</w:t>
      </w:r>
    </w:p>
    <w:p>
      <w:pPr>
        <w:pStyle w:val="ListBullet"/>
        <w:spacing w:after="60" w:line="276" w:lineRule="auto"/>
      </w:pPr>
      <w:r>
        <w:rPr>
          <w:rFonts w:ascii="Calibri" w:hAnsi="Calibri"/>
          <w:color w:val="333333"/>
          <w:sz w:val="22"/>
        </w:rPr>
        <w:t>4 — Very High</w:t>
      </w:r>
    </w:p>
    <w:p>
      <w:pPr>
        <w:spacing w:after="120" w:line="276" w:lineRule="auto"/>
      </w:pPr>
      <w:r>
        <w:rPr>
          <w:rFonts w:ascii="Calibri" w:hAnsi="Calibri"/>
          <w:b w:val="0"/>
          <w:i w:val="0"/>
          <w:color w:val="333333"/>
          <w:sz w:val="22"/>
        </w:rPr>
        <w:t>The SQL analysis provided a structured reference point for validating key metrics presented in the Power BI and Tableau dashboards.</w:t>
      </w:r>
    </w:p>
    <w:p>
      <w:pPr>
        <w:keepNext/>
        <w:spacing w:before="360" w:after="120"/>
      </w:pPr>
      <w:r>
        <w:rPr>
          <w:rFonts w:ascii="Calibri" w:hAnsi="Calibri"/>
          <w:b/>
          <w:color w:val="1B365D"/>
          <w:sz w:val="32"/>
        </w:rPr>
        <w:t>7. Excel Analysis</w:t>
      </w:r>
    </w:p>
    <w:p>
      <w:pPr>
        <w:spacing w:after="120" w:line="276" w:lineRule="auto"/>
      </w:pPr>
      <w:r>
        <w:rPr>
          <w:rFonts w:ascii="Calibri" w:hAnsi="Calibri"/>
          <w:b w:val="0"/>
          <w:i w:val="0"/>
          <w:color w:val="333333"/>
          <w:sz w:val="22"/>
        </w:rPr>
        <w:t>Microsoft Excel was used to explore the HR dataset and develop an initial analytical dashboard.</w:t>
      </w:r>
    </w:p>
    <w:p>
      <w:pPr>
        <w:spacing w:after="120" w:line="276" w:lineRule="auto"/>
      </w:pPr>
      <w:r>
        <w:rPr>
          <w:rFonts w:ascii="Calibri" w:hAnsi="Calibri"/>
          <w:b w:val="0"/>
          <w:i w:val="0"/>
          <w:color w:val="333333"/>
          <w:sz w:val="22"/>
        </w:rPr>
        <w:t>The Excel analysis focused on identifying workforce composition and employee attrition patterns.</w:t>
      </w:r>
    </w:p>
    <w:p>
      <w:pPr>
        <w:spacing w:after="120" w:line="276" w:lineRule="auto"/>
      </w:pPr>
      <w:r>
        <w:rPr>
          <w:rFonts w:ascii="Calibri" w:hAnsi="Calibri"/>
          <w:b w:val="0"/>
          <w:i w:val="0"/>
          <w:color w:val="333333"/>
          <w:sz w:val="22"/>
        </w:rPr>
        <w:t>The main analytical areas included:</w:t>
      </w:r>
    </w:p>
    <w:p>
      <w:pPr>
        <w:spacing w:after="120" w:line="276" w:lineRule="auto"/>
      </w:pPr>
      <w:r>
        <w:rPr>
          <w:rFonts w:ascii="Calibri" w:hAnsi="Calibri"/>
          <w:b/>
          <w:i w:val="0"/>
          <w:color w:val="1B365D"/>
          <w:sz w:val="22"/>
        </w:rPr>
        <w:t>Workforce KPIs</w:t>
      </w:r>
    </w:p>
    <w:p>
      <w:pPr>
        <w:pStyle w:val="ListBullet"/>
        <w:spacing w:after="60" w:line="276" w:lineRule="auto"/>
      </w:pPr>
      <w:r>
        <w:rPr>
          <w:rFonts w:ascii="Calibri" w:hAnsi="Calibri"/>
          <w:color w:val="333333"/>
          <w:sz w:val="22"/>
        </w:rPr>
        <w:t>Total employees: 1,470</w:t>
      </w:r>
    </w:p>
    <w:p>
      <w:pPr>
        <w:pStyle w:val="ListBullet"/>
        <w:spacing w:after="60" w:line="276" w:lineRule="auto"/>
      </w:pPr>
      <w:r>
        <w:rPr>
          <w:rFonts w:ascii="Calibri" w:hAnsi="Calibri"/>
          <w:color w:val="333333"/>
          <w:sz w:val="22"/>
        </w:rPr>
        <w:t>Active employees: 1,233</w:t>
      </w:r>
    </w:p>
    <w:p>
      <w:pPr>
        <w:pStyle w:val="ListBullet"/>
        <w:spacing w:after="60" w:line="276" w:lineRule="auto"/>
      </w:pPr>
      <w:r>
        <w:rPr>
          <w:rFonts w:ascii="Calibri" w:hAnsi="Calibri"/>
          <w:color w:val="333333"/>
          <w:sz w:val="22"/>
        </w:rPr>
        <w:t>Attrition count: 237</w:t>
      </w:r>
    </w:p>
    <w:p>
      <w:pPr>
        <w:pStyle w:val="ListBullet"/>
        <w:spacing w:after="60" w:line="276" w:lineRule="auto"/>
      </w:pPr>
      <w:r>
        <w:rPr>
          <w:rFonts w:ascii="Calibri" w:hAnsi="Calibri"/>
          <w:color w:val="333333"/>
          <w:sz w:val="22"/>
        </w:rPr>
        <w:t>Overall attrition rate: 16.12%</w:t>
      </w:r>
    </w:p>
    <w:p>
      <w:pPr>
        <w:pStyle w:val="ListBullet"/>
        <w:spacing w:after="60" w:line="276" w:lineRule="auto"/>
      </w:pPr>
      <w:r>
        <w:rPr>
          <w:rFonts w:ascii="Calibri" w:hAnsi="Calibri"/>
          <w:color w:val="333333"/>
          <w:sz w:val="22"/>
        </w:rPr>
        <w:t>Average employee age: approximately 37 years</w:t>
      </w:r>
    </w:p>
    <w:p>
      <w:pPr>
        <w:spacing w:after="120" w:line="276" w:lineRule="auto"/>
      </w:pPr>
      <w:r>
        <w:rPr>
          <w:rFonts w:ascii="Calibri" w:hAnsi="Calibri"/>
          <w:b/>
          <w:i w:val="0"/>
          <w:color w:val="1B365D"/>
          <w:sz w:val="22"/>
        </w:rPr>
        <w:t>Department Analysis</w:t>
      </w:r>
    </w:p>
    <w:p>
      <w:pPr>
        <w:spacing w:after="120" w:line="276" w:lineRule="auto"/>
      </w:pPr>
      <w:r>
        <w:rPr>
          <w:rFonts w:ascii="Calibri" w:hAnsi="Calibri"/>
          <w:b w:val="0"/>
          <w:i w:val="0"/>
          <w:color w:val="333333"/>
          <w:sz w:val="22"/>
        </w:rPr>
        <w:t>The analysis examined attrition across:</w:t>
      </w:r>
    </w:p>
    <w:p>
      <w:pPr>
        <w:pStyle w:val="ListBullet"/>
        <w:spacing w:after="60" w:line="276" w:lineRule="auto"/>
      </w:pPr>
      <w:r>
        <w:rPr>
          <w:rFonts w:ascii="Calibri" w:hAnsi="Calibri"/>
          <w:color w:val="333333"/>
          <w:sz w:val="22"/>
        </w:rPr>
        <w:t>Sales</w:t>
      </w:r>
    </w:p>
    <w:p>
      <w:pPr>
        <w:pStyle w:val="ListBullet"/>
        <w:spacing w:after="60" w:line="276" w:lineRule="auto"/>
      </w:pPr>
      <w:r>
        <w:rPr>
          <w:rFonts w:ascii="Calibri" w:hAnsi="Calibri"/>
          <w:color w:val="333333"/>
          <w:sz w:val="22"/>
        </w:rPr>
        <w:t>Human Resources</w:t>
      </w:r>
    </w:p>
    <w:p>
      <w:pPr>
        <w:pStyle w:val="ListBullet"/>
        <w:spacing w:after="60" w:line="276" w:lineRule="auto"/>
      </w:pPr>
      <w:r>
        <w:rPr>
          <w:rFonts w:ascii="Calibri" w:hAnsi="Calibri"/>
          <w:color w:val="333333"/>
          <w:sz w:val="22"/>
        </w:rPr>
        <w:t>Research &amp; Development</w:t>
      </w:r>
    </w:p>
    <w:p>
      <w:pPr>
        <w:spacing w:after="120" w:line="276" w:lineRule="auto"/>
      </w:pPr>
      <w:r>
        <w:rPr>
          <w:rFonts w:ascii="Calibri" w:hAnsi="Calibri"/>
          <w:b w:val="0"/>
          <w:i w:val="0"/>
          <w:color w:val="333333"/>
          <w:sz w:val="22"/>
        </w:rPr>
        <w:t>The results indicated that Sales had the highest departmental attrition rate, while Research &amp; Development accounted for the largest absolute number of employee departures due to its larger workforce size.</w:t>
      </w:r>
    </w:p>
    <w:p>
      <w:pPr>
        <w:spacing w:after="120" w:line="276" w:lineRule="auto"/>
      </w:pPr>
      <w:r>
        <w:rPr>
          <w:rFonts w:ascii="Calibri" w:hAnsi="Calibri"/>
          <w:b/>
          <w:i w:val="0"/>
          <w:color w:val="1B365D"/>
          <w:sz w:val="22"/>
        </w:rPr>
        <w:t>Job Role Analysis</w:t>
      </w:r>
    </w:p>
    <w:p>
      <w:pPr>
        <w:spacing w:after="120" w:line="276" w:lineRule="auto"/>
      </w:pPr>
      <w:r>
        <w:rPr>
          <w:rFonts w:ascii="Calibri" w:hAnsi="Calibri"/>
          <w:b w:val="0"/>
          <w:i w:val="0"/>
          <w:color w:val="333333"/>
          <w:sz w:val="22"/>
        </w:rPr>
        <w:t>The analysis identified substantial differences in observed attrition rates across job roles.</w:t>
      </w:r>
    </w:p>
    <w:p>
      <w:pPr>
        <w:spacing w:after="120" w:line="276" w:lineRule="auto"/>
      </w:pPr>
      <w:r>
        <w:rPr>
          <w:rFonts w:ascii="Calibri" w:hAnsi="Calibri"/>
          <w:b w:val="0"/>
          <w:i w:val="0"/>
          <w:color w:val="333333"/>
          <w:sz w:val="22"/>
        </w:rPr>
        <w:t>Sales Representatives recorded an observed attrition rate of approximately 39.76%, while Laboratory Technicians recorded approximately 23.94%.</w:t>
      </w:r>
    </w:p>
    <w:p>
      <w:pPr>
        <w:spacing w:after="120" w:line="276" w:lineRule="auto"/>
      </w:pPr>
      <w:r>
        <w:rPr>
          <w:rFonts w:ascii="Calibri" w:hAnsi="Calibri"/>
          <w:b w:val="0"/>
          <w:i w:val="0"/>
          <w:color w:val="333333"/>
          <w:sz w:val="22"/>
        </w:rPr>
        <w:t>Human Resources roles also showed an elevated observed attrition rate of approximately 23.08%.</w:t>
      </w:r>
    </w:p>
    <w:p>
      <w:pPr>
        <w:spacing w:after="120" w:line="276" w:lineRule="auto"/>
      </w:pPr>
      <w:r>
        <w:rPr>
          <w:rFonts w:ascii="Calibri" w:hAnsi="Calibri"/>
          <w:b w:val="0"/>
          <w:i w:val="0"/>
          <w:color w:val="333333"/>
          <w:sz w:val="22"/>
        </w:rPr>
        <w:t>In contrast, Research Directors and Managers showed substantially lower observed attrition rates.</w:t>
      </w:r>
    </w:p>
    <w:p>
      <w:pPr>
        <w:spacing w:after="120" w:line="276" w:lineRule="auto"/>
      </w:pPr>
      <w:r>
        <w:rPr>
          <w:rFonts w:ascii="Calibri" w:hAnsi="Calibri"/>
          <w:b/>
          <w:i w:val="0"/>
          <w:color w:val="1B365D"/>
          <w:sz w:val="22"/>
        </w:rPr>
        <w:t>Demographic Analysis</w:t>
      </w:r>
    </w:p>
    <w:p>
      <w:pPr>
        <w:spacing w:after="120" w:line="276" w:lineRule="auto"/>
      </w:pPr>
      <w:r>
        <w:rPr>
          <w:rFonts w:ascii="Calibri" w:hAnsi="Calibri"/>
          <w:b w:val="0"/>
          <w:i w:val="0"/>
          <w:color w:val="333333"/>
          <w:sz w:val="22"/>
        </w:rPr>
        <w:t>The analysis examined employee attrition across:</w:t>
      </w:r>
    </w:p>
    <w:p>
      <w:pPr>
        <w:pStyle w:val="ListBullet"/>
        <w:spacing w:after="60" w:line="276" w:lineRule="auto"/>
      </w:pPr>
      <w:r>
        <w:rPr>
          <w:rFonts w:ascii="Calibri" w:hAnsi="Calibri"/>
          <w:color w:val="333333"/>
          <w:sz w:val="22"/>
        </w:rPr>
        <w:t>Age</w:t>
      </w:r>
    </w:p>
    <w:p>
      <w:pPr>
        <w:pStyle w:val="ListBullet"/>
        <w:spacing w:after="60" w:line="276" w:lineRule="auto"/>
      </w:pPr>
      <w:r>
        <w:rPr>
          <w:rFonts w:ascii="Calibri" w:hAnsi="Calibri"/>
          <w:color w:val="333333"/>
          <w:sz w:val="22"/>
        </w:rPr>
        <w:t>Gender</w:t>
      </w:r>
    </w:p>
    <w:p>
      <w:pPr>
        <w:pStyle w:val="ListBullet"/>
        <w:spacing w:after="60" w:line="276" w:lineRule="auto"/>
      </w:pPr>
      <w:r>
        <w:rPr>
          <w:rFonts w:ascii="Calibri" w:hAnsi="Calibri"/>
          <w:color w:val="333333"/>
          <w:sz w:val="22"/>
        </w:rPr>
        <w:t>Age groups</w:t>
      </w:r>
    </w:p>
    <w:p>
      <w:pPr>
        <w:pStyle w:val="ListBullet"/>
        <w:spacing w:after="60" w:line="276" w:lineRule="auto"/>
      </w:pPr>
      <w:r>
        <w:rPr>
          <w:rFonts w:ascii="Calibri" w:hAnsi="Calibri"/>
          <w:color w:val="333333"/>
          <w:sz w:val="22"/>
        </w:rPr>
        <w:t>Education fields</w:t>
      </w:r>
    </w:p>
    <w:p>
      <w:pPr>
        <w:pStyle w:val="ListBullet"/>
        <w:spacing w:after="60" w:line="276" w:lineRule="auto"/>
      </w:pPr>
      <w:r>
        <w:rPr>
          <w:rFonts w:ascii="Calibri" w:hAnsi="Calibri"/>
          <w:color w:val="333333"/>
          <w:sz w:val="22"/>
        </w:rPr>
        <w:t>Marital status</w:t>
      </w:r>
    </w:p>
    <w:p>
      <w:pPr>
        <w:spacing w:after="120" w:line="276" w:lineRule="auto"/>
      </w:pPr>
      <w:r>
        <w:rPr>
          <w:rFonts w:ascii="Calibri" w:hAnsi="Calibri"/>
          <w:b w:val="0"/>
          <w:i w:val="0"/>
          <w:color w:val="333333"/>
          <w:sz w:val="22"/>
        </w:rPr>
        <w:t>Younger employees showed higher observed attrition rates, with the Under 25 group recording the highest observed attrition rate among the major age categories.</w:t>
      </w:r>
    </w:p>
    <w:p>
      <w:pPr>
        <w:keepNext/>
        <w:spacing w:before="360" w:after="120"/>
      </w:pPr>
      <w:r>
        <w:rPr>
          <w:rFonts w:ascii="Calibri" w:hAnsi="Calibri"/>
          <w:b/>
          <w:color w:val="1B365D"/>
          <w:sz w:val="32"/>
        </w:rPr>
        <w:t>8. SQL Analysis</w:t>
      </w:r>
    </w:p>
    <w:p>
      <w:pPr>
        <w:spacing w:after="120" w:line="276" w:lineRule="auto"/>
      </w:pPr>
      <w:r>
        <w:rPr>
          <w:rFonts w:ascii="Calibri" w:hAnsi="Calibri"/>
          <w:b w:val="0"/>
          <w:i w:val="0"/>
          <w:color w:val="333333"/>
          <w:sz w:val="22"/>
        </w:rPr>
        <w:t>The PostgreSQL analysis provided a structured method for calculating and validating key HR metrics.</w:t>
      </w:r>
    </w:p>
    <w:p>
      <w:pPr>
        <w:spacing w:after="120" w:line="276" w:lineRule="auto"/>
      </w:pPr>
      <w:r>
        <w:rPr>
          <w:rFonts w:ascii="Calibri" w:hAnsi="Calibri"/>
          <w:b w:val="0"/>
          <w:i w:val="0"/>
          <w:color w:val="333333"/>
          <w:sz w:val="22"/>
        </w:rPr>
        <w:t>The SQL workflow consisted of 13 major analytical operations.</w:t>
      </w:r>
    </w:p>
    <w:p>
      <w:pPr>
        <w:spacing w:after="120" w:line="276" w:lineRule="auto"/>
      </w:pPr>
      <w:r>
        <w:rPr>
          <w:rFonts w:ascii="Calibri" w:hAnsi="Calibri"/>
          <w:b w:val="0"/>
          <w:i w:val="0"/>
          <w:color w:val="333333"/>
          <w:sz w:val="22"/>
        </w:rPr>
        <w:t>These included:</w:t>
      </w:r>
    </w:p>
    <w:p>
      <w:pPr>
        <w:pStyle w:val="ListBullet"/>
        <w:spacing w:after="60" w:line="276" w:lineRule="auto"/>
      </w:pPr>
      <w:r>
        <w:rPr>
          <w:rFonts w:ascii="Calibri" w:hAnsi="Calibri"/>
          <w:color w:val="333333"/>
          <w:sz w:val="22"/>
        </w:rPr>
        <w:t>Creating the HR data table.</w:t>
      </w:r>
    </w:p>
    <w:p>
      <w:pPr>
        <w:pStyle w:val="ListBullet"/>
        <w:spacing w:after="60" w:line="276" w:lineRule="auto"/>
      </w:pPr>
      <w:r>
        <w:rPr>
          <w:rFonts w:ascii="Calibri" w:hAnsi="Calibri"/>
          <w:color w:val="333333"/>
          <w:sz w:val="22"/>
        </w:rPr>
        <w:t>Importing the HR dataset from CSV.</w:t>
      </w:r>
    </w:p>
    <w:p>
      <w:pPr>
        <w:pStyle w:val="ListBullet"/>
        <w:spacing w:after="60" w:line="276" w:lineRule="auto"/>
      </w:pPr>
      <w:r>
        <w:rPr>
          <w:rFonts w:ascii="Calibri" w:hAnsi="Calibri"/>
          <w:color w:val="333333"/>
          <w:sz w:val="22"/>
        </w:rPr>
        <w:t>Calculating total employee count.</w:t>
      </w:r>
    </w:p>
    <w:p>
      <w:pPr>
        <w:pStyle w:val="ListBullet"/>
        <w:spacing w:after="60" w:line="276" w:lineRule="auto"/>
      </w:pPr>
      <w:r>
        <w:rPr>
          <w:rFonts w:ascii="Calibri" w:hAnsi="Calibri"/>
          <w:color w:val="333333"/>
          <w:sz w:val="22"/>
        </w:rPr>
        <w:t>Calculating attrition count.</w:t>
      </w:r>
    </w:p>
    <w:p>
      <w:pPr>
        <w:pStyle w:val="ListBullet"/>
        <w:spacing w:after="60" w:line="276" w:lineRule="auto"/>
      </w:pPr>
      <w:r>
        <w:rPr>
          <w:rFonts w:ascii="Calibri" w:hAnsi="Calibri"/>
          <w:color w:val="333333"/>
          <w:sz w:val="22"/>
        </w:rPr>
        <w:t>Calculating overall attrition rate.</w:t>
      </w:r>
    </w:p>
    <w:p>
      <w:pPr>
        <w:pStyle w:val="ListBullet"/>
        <w:spacing w:after="60" w:line="276" w:lineRule="auto"/>
      </w:pPr>
      <w:r>
        <w:rPr>
          <w:rFonts w:ascii="Calibri" w:hAnsi="Calibri"/>
          <w:color w:val="333333"/>
          <w:sz w:val="22"/>
        </w:rPr>
        <w:t>Calculating active employee count.</w:t>
      </w:r>
    </w:p>
    <w:p>
      <w:pPr>
        <w:pStyle w:val="ListBullet"/>
        <w:spacing w:after="60" w:line="276" w:lineRule="auto"/>
      </w:pPr>
      <w:r>
        <w:rPr>
          <w:rFonts w:ascii="Calibri" w:hAnsi="Calibri"/>
          <w:color w:val="333333"/>
          <w:sz w:val="22"/>
        </w:rPr>
        <w:t>Calculating average employee age.</w:t>
      </w:r>
    </w:p>
    <w:p>
      <w:pPr>
        <w:pStyle w:val="ListBullet"/>
        <w:spacing w:after="60" w:line="276" w:lineRule="auto"/>
      </w:pPr>
      <w:r>
        <w:rPr>
          <w:rFonts w:ascii="Calibri" w:hAnsi="Calibri"/>
          <w:color w:val="333333"/>
          <w:sz w:val="22"/>
        </w:rPr>
        <w:t>Analyzing attrition by gender.</w:t>
      </w:r>
    </w:p>
    <w:p>
      <w:pPr>
        <w:pStyle w:val="ListBullet"/>
        <w:spacing w:after="60" w:line="276" w:lineRule="auto"/>
      </w:pPr>
      <w:r>
        <w:rPr>
          <w:rFonts w:ascii="Calibri" w:hAnsi="Calibri"/>
          <w:color w:val="333333"/>
          <w:sz w:val="22"/>
        </w:rPr>
        <w:t>Analyzing department-wise attrition.</w:t>
      </w:r>
    </w:p>
    <w:p>
      <w:pPr>
        <w:pStyle w:val="ListBullet"/>
        <w:spacing w:after="60" w:line="276" w:lineRule="auto"/>
      </w:pPr>
      <w:r>
        <w:rPr>
          <w:rFonts w:ascii="Calibri" w:hAnsi="Calibri"/>
          <w:color w:val="333333"/>
          <w:sz w:val="22"/>
        </w:rPr>
        <w:t>Calculating employee distribution by age.</w:t>
      </w:r>
    </w:p>
    <w:p>
      <w:pPr>
        <w:pStyle w:val="ListBullet"/>
        <w:spacing w:after="60" w:line="276" w:lineRule="auto"/>
      </w:pPr>
      <w:r>
        <w:rPr>
          <w:rFonts w:ascii="Calibri" w:hAnsi="Calibri"/>
          <w:color w:val="333333"/>
          <w:sz w:val="22"/>
        </w:rPr>
        <w:t>Analyzing education field-wise attrition.</w:t>
      </w:r>
    </w:p>
    <w:p>
      <w:pPr>
        <w:pStyle w:val="ListBullet"/>
        <w:spacing w:after="60" w:line="276" w:lineRule="auto"/>
      </w:pPr>
      <w:r>
        <w:rPr>
          <w:rFonts w:ascii="Calibri" w:hAnsi="Calibri"/>
          <w:color w:val="333333"/>
          <w:sz w:val="22"/>
        </w:rPr>
        <w:t>Analyzing attrition by gender and age group.</w:t>
      </w:r>
    </w:p>
    <w:p>
      <w:pPr>
        <w:pStyle w:val="ListBullet"/>
        <w:spacing w:after="60" w:line="276" w:lineRule="auto"/>
      </w:pPr>
      <w:r>
        <w:rPr>
          <w:rFonts w:ascii="Calibri" w:hAnsi="Calibri"/>
          <w:color w:val="333333"/>
          <w:sz w:val="22"/>
        </w:rPr>
        <w:t>Creating a job satisfaction matrix using PostgreSQL crosstab().</w:t>
      </w:r>
    </w:p>
    <w:p>
      <w:pPr>
        <w:spacing w:after="120" w:line="276" w:lineRule="auto"/>
      </w:pPr>
      <w:r>
        <w:rPr>
          <w:rFonts w:ascii="Calibri" w:hAnsi="Calibri"/>
          <w:b w:val="0"/>
          <w:i w:val="0"/>
          <w:color w:val="333333"/>
          <w:sz w:val="22"/>
        </w:rPr>
        <w:t>The SQL workflow was particularly important because it provided reproducible calculations that could be used as reference values when validating dashboard outputs.</w:t>
      </w:r>
    </w:p>
    <w:p>
      <w:pPr>
        <w:spacing w:after="120" w:line="276" w:lineRule="auto"/>
      </w:pPr>
      <w:r>
        <w:rPr>
          <w:rFonts w:ascii="Calibri" w:hAnsi="Calibri"/>
          <w:b w:val="0"/>
          <w:i w:val="0"/>
          <w:color w:val="333333"/>
          <w:sz w:val="22"/>
        </w:rPr>
        <w:t>This approach helped establish a consistent relationship between the underlying dataset, SQL calculations, and visual reporting.</w:t>
      </w:r>
    </w:p>
    <w:p>
      <w:pPr>
        <w:keepNext/>
        <w:spacing w:before="360" w:after="120"/>
      </w:pPr>
      <w:r>
        <w:rPr>
          <w:rFonts w:ascii="Calibri" w:hAnsi="Calibri"/>
          <w:b/>
          <w:color w:val="1B365D"/>
          <w:sz w:val="32"/>
        </w:rPr>
        <w:t>9. Power BI Dashboard Development</w:t>
      </w:r>
    </w:p>
    <w:p>
      <w:pPr>
        <w:spacing w:after="120" w:line="276" w:lineRule="auto"/>
      </w:pPr>
      <w:r>
        <w:rPr>
          <w:rFonts w:ascii="Calibri" w:hAnsi="Calibri"/>
          <w:b w:val="0"/>
          <w:i w:val="0"/>
          <w:color w:val="333333"/>
          <w:sz w:val="22"/>
        </w:rPr>
        <w:t>An interactive HR Analytics dashboard was developed using Microsoft Power BI.</w:t>
      </w:r>
    </w:p>
    <w:p>
      <w:pPr>
        <w:spacing w:after="120" w:line="276" w:lineRule="auto"/>
      </w:pPr>
      <w:r>
        <w:rPr>
          <w:rFonts w:ascii="Calibri" w:hAnsi="Calibri"/>
          <w:b w:val="0"/>
          <w:i w:val="0"/>
          <w:color w:val="333333"/>
          <w:sz w:val="22"/>
        </w:rPr>
        <w:t>The dashboard was designed to provide a high-level overview of workforce health while allowing users to explore specific employee segments through interactive filters and visualizations.</w:t>
      </w:r>
    </w:p>
    <w:p>
      <w:pPr>
        <w:keepNext/>
        <w:spacing w:before="240" w:after="80"/>
      </w:pPr>
      <w:r>
        <w:rPr>
          <w:rFonts w:ascii="Calibri" w:hAnsi="Calibri"/>
          <w:b/>
          <w:color w:val="0096A6"/>
          <w:sz w:val="26"/>
        </w:rPr>
        <w:t>9.1 Key Performance Indicators</w:t>
      </w:r>
    </w:p>
    <w:p>
      <w:pPr>
        <w:spacing w:after="120" w:line="276" w:lineRule="auto"/>
      </w:pPr>
      <w:r>
        <w:rPr>
          <w:rFonts w:ascii="Calibri" w:hAnsi="Calibri"/>
          <w:b w:val="0"/>
          <w:i w:val="0"/>
          <w:color w:val="333333"/>
          <w:sz w:val="22"/>
        </w:rPr>
        <w:t>The dashboard displayed:</w:t>
      </w:r>
    </w:p>
    <w:p>
      <w:pPr>
        <w:pStyle w:val="ListBullet"/>
        <w:spacing w:after="60" w:line="276" w:lineRule="auto"/>
      </w:pPr>
      <w:r>
        <w:rPr>
          <w:rFonts w:ascii="Calibri" w:hAnsi="Calibri"/>
          <w:color w:val="333333"/>
          <w:sz w:val="22"/>
        </w:rPr>
        <w:t>Total employees</w:t>
      </w:r>
    </w:p>
    <w:p>
      <w:pPr>
        <w:pStyle w:val="ListBullet"/>
        <w:spacing w:after="60" w:line="276" w:lineRule="auto"/>
      </w:pPr>
      <w:r>
        <w:rPr>
          <w:rFonts w:ascii="Calibri" w:hAnsi="Calibri"/>
          <w:color w:val="333333"/>
          <w:sz w:val="22"/>
        </w:rPr>
        <w:t>Attrition count</w:t>
      </w:r>
    </w:p>
    <w:p>
      <w:pPr>
        <w:pStyle w:val="ListBullet"/>
        <w:spacing w:after="60" w:line="276" w:lineRule="auto"/>
      </w:pPr>
      <w:r>
        <w:rPr>
          <w:rFonts w:ascii="Calibri" w:hAnsi="Calibri"/>
          <w:color w:val="333333"/>
          <w:sz w:val="22"/>
        </w:rPr>
        <w:t>Attrition rate</w:t>
      </w:r>
    </w:p>
    <w:p>
      <w:pPr>
        <w:pStyle w:val="ListBullet"/>
        <w:spacing w:after="60" w:line="276" w:lineRule="auto"/>
      </w:pPr>
      <w:r>
        <w:rPr>
          <w:rFonts w:ascii="Calibri" w:hAnsi="Calibri"/>
          <w:color w:val="333333"/>
          <w:sz w:val="22"/>
        </w:rPr>
        <w:t>Active employees</w:t>
      </w:r>
    </w:p>
    <w:p>
      <w:pPr>
        <w:pStyle w:val="ListBullet"/>
        <w:spacing w:after="60" w:line="276" w:lineRule="auto"/>
      </w:pPr>
      <w:r>
        <w:rPr>
          <w:rFonts w:ascii="Calibri" w:hAnsi="Calibri"/>
          <w:color w:val="333333"/>
          <w:sz w:val="22"/>
        </w:rPr>
        <w:t>Average employee age</w:t>
      </w:r>
    </w:p>
    <w:p>
      <w:pPr>
        <w:spacing w:after="120" w:line="276" w:lineRule="auto"/>
      </w:pPr>
      <w:r>
        <w:rPr>
          <w:rFonts w:ascii="Calibri" w:hAnsi="Calibri"/>
          <w:b w:val="0"/>
          <w:i w:val="0"/>
          <w:color w:val="333333"/>
          <w:sz w:val="22"/>
        </w:rPr>
        <w:t>The baseline organizational metrics were:</w:t>
      </w:r>
    </w:p>
    <w:p>
      <w:pPr>
        <w:pStyle w:val="ListBullet"/>
        <w:spacing w:after="60" w:line="276" w:lineRule="auto"/>
      </w:pPr>
      <w:r>
        <w:rPr>
          <w:rFonts w:ascii="Calibri" w:hAnsi="Calibri"/>
          <w:color w:val="333333"/>
          <w:sz w:val="22"/>
        </w:rPr>
        <w:t>Total employees: 1,470</w:t>
      </w:r>
    </w:p>
    <w:p>
      <w:pPr>
        <w:pStyle w:val="ListBullet"/>
        <w:spacing w:after="60" w:line="276" w:lineRule="auto"/>
      </w:pPr>
      <w:r>
        <w:rPr>
          <w:rFonts w:ascii="Calibri" w:hAnsi="Calibri"/>
          <w:color w:val="333333"/>
          <w:sz w:val="22"/>
        </w:rPr>
        <w:t>Attrition count: 237</w:t>
      </w:r>
    </w:p>
    <w:p>
      <w:pPr>
        <w:pStyle w:val="ListBullet"/>
        <w:spacing w:after="60" w:line="276" w:lineRule="auto"/>
      </w:pPr>
      <w:r>
        <w:rPr>
          <w:rFonts w:ascii="Calibri" w:hAnsi="Calibri"/>
          <w:color w:val="333333"/>
          <w:sz w:val="22"/>
        </w:rPr>
        <w:t>Attrition rate: 16.12%</w:t>
      </w:r>
    </w:p>
    <w:p>
      <w:pPr>
        <w:pStyle w:val="ListBullet"/>
        <w:spacing w:after="60" w:line="276" w:lineRule="auto"/>
      </w:pPr>
      <w:r>
        <w:rPr>
          <w:rFonts w:ascii="Calibri" w:hAnsi="Calibri"/>
          <w:color w:val="333333"/>
          <w:sz w:val="22"/>
        </w:rPr>
        <w:t>Active employees: 1,233</w:t>
      </w:r>
    </w:p>
    <w:p>
      <w:pPr>
        <w:pStyle w:val="ListBullet"/>
        <w:spacing w:after="60" w:line="276" w:lineRule="auto"/>
      </w:pPr>
      <w:r>
        <w:rPr>
          <w:rFonts w:ascii="Calibri" w:hAnsi="Calibri"/>
          <w:color w:val="333333"/>
          <w:sz w:val="22"/>
        </w:rPr>
        <w:t>Average age: approximately 37 years</w:t>
      </w:r>
    </w:p>
    <w:p>
      <w:pPr>
        <w:keepNext/>
        <w:spacing w:before="240" w:after="80"/>
      </w:pPr>
      <w:r>
        <w:rPr>
          <w:rFonts w:ascii="Calibri" w:hAnsi="Calibri"/>
          <w:b/>
          <w:color w:val="0096A6"/>
          <w:sz w:val="26"/>
        </w:rPr>
        <w:t>9.2 Demographic Analysis</w:t>
      </w:r>
    </w:p>
    <w:p>
      <w:pPr>
        <w:spacing w:after="120" w:line="276" w:lineRule="auto"/>
      </w:pPr>
      <w:r>
        <w:rPr>
          <w:rFonts w:ascii="Calibri" w:hAnsi="Calibri"/>
          <w:b w:val="0"/>
          <w:i w:val="0"/>
          <w:color w:val="333333"/>
          <w:sz w:val="22"/>
        </w:rPr>
        <w:t>The dashboard explored attrition across:</w:t>
      </w:r>
    </w:p>
    <w:p>
      <w:pPr>
        <w:pStyle w:val="ListBullet"/>
        <w:spacing w:after="60" w:line="276" w:lineRule="auto"/>
      </w:pPr>
      <w:r>
        <w:rPr>
          <w:rFonts w:ascii="Calibri" w:hAnsi="Calibri"/>
          <w:color w:val="333333"/>
          <w:sz w:val="22"/>
        </w:rPr>
        <w:t>Gender</w:t>
      </w:r>
    </w:p>
    <w:p>
      <w:pPr>
        <w:pStyle w:val="ListBullet"/>
        <w:spacing w:after="60" w:line="276" w:lineRule="auto"/>
      </w:pPr>
      <w:r>
        <w:rPr>
          <w:rFonts w:ascii="Calibri" w:hAnsi="Calibri"/>
          <w:color w:val="333333"/>
          <w:sz w:val="22"/>
        </w:rPr>
        <w:t>Age groups</w:t>
      </w:r>
    </w:p>
    <w:p>
      <w:pPr>
        <w:pStyle w:val="ListBullet"/>
        <w:spacing w:after="60" w:line="276" w:lineRule="auto"/>
      </w:pPr>
      <w:r>
        <w:rPr>
          <w:rFonts w:ascii="Calibri" w:hAnsi="Calibri"/>
          <w:color w:val="333333"/>
          <w:sz w:val="22"/>
        </w:rPr>
        <w:t>Education levels</w:t>
      </w:r>
    </w:p>
    <w:p>
      <w:pPr>
        <w:pStyle w:val="ListBullet"/>
        <w:spacing w:after="60" w:line="276" w:lineRule="auto"/>
      </w:pPr>
      <w:r>
        <w:rPr>
          <w:rFonts w:ascii="Calibri" w:hAnsi="Calibri"/>
          <w:color w:val="333333"/>
          <w:sz w:val="22"/>
        </w:rPr>
        <w:t>Education fields</w:t>
      </w:r>
    </w:p>
    <w:p>
      <w:pPr>
        <w:spacing w:after="120" w:line="276" w:lineRule="auto"/>
      </w:pPr>
      <w:r>
        <w:rPr>
          <w:rFonts w:ascii="Calibri" w:hAnsi="Calibri"/>
          <w:b w:val="0"/>
          <w:i w:val="0"/>
          <w:color w:val="333333"/>
          <w:sz w:val="22"/>
        </w:rPr>
        <w:t>The interactive filtering functionality allowed users to examine how workforce characteristics changed when specific educational or demographic segments were selected.</w:t>
      </w:r>
    </w:p>
    <w:p>
      <w:pPr>
        <w:keepNext/>
        <w:spacing w:before="240" w:after="80"/>
      </w:pPr>
      <w:r>
        <w:rPr>
          <w:rFonts w:ascii="Calibri" w:hAnsi="Calibri"/>
          <w:b/>
          <w:color w:val="0096A6"/>
          <w:sz w:val="26"/>
        </w:rPr>
        <w:t>9.3 Department Analysis</w:t>
      </w:r>
    </w:p>
    <w:p>
      <w:pPr>
        <w:spacing w:after="120" w:line="276" w:lineRule="auto"/>
      </w:pPr>
      <w:r>
        <w:rPr>
          <w:rFonts w:ascii="Calibri" w:hAnsi="Calibri"/>
          <w:b w:val="0"/>
          <w:i w:val="0"/>
          <w:color w:val="333333"/>
          <w:sz w:val="22"/>
        </w:rPr>
        <w:t>The dashboard provided department-level analysis for:</w:t>
      </w:r>
    </w:p>
    <w:p>
      <w:pPr>
        <w:pStyle w:val="ListBullet"/>
        <w:spacing w:after="60" w:line="276" w:lineRule="auto"/>
      </w:pPr>
      <w:r>
        <w:rPr>
          <w:rFonts w:ascii="Calibri" w:hAnsi="Calibri"/>
          <w:color w:val="333333"/>
          <w:sz w:val="22"/>
        </w:rPr>
        <w:t>Sales</w:t>
      </w:r>
    </w:p>
    <w:p>
      <w:pPr>
        <w:pStyle w:val="ListBullet"/>
        <w:spacing w:after="60" w:line="276" w:lineRule="auto"/>
      </w:pPr>
      <w:r>
        <w:rPr>
          <w:rFonts w:ascii="Calibri" w:hAnsi="Calibri"/>
          <w:color w:val="333333"/>
          <w:sz w:val="22"/>
        </w:rPr>
        <w:t>Human Resources</w:t>
      </w:r>
    </w:p>
    <w:p>
      <w:pPr>
        <w:pStyle w:val="ListBullet"/>
        <w:spacing w:after="60" w:line="276" w:lineRule="auto"/>
      </w:pPr>
      <w:r>
        <w:rPr>
          <w:rFonts w:ascii="Calibri" w:hAnsi="Calibri"/>
          <w:color w:val="333333"/>
          <w:sz w:val="22"/>
        </w:rPr>
        <w:t>Research &amp; Development</w:t>
      </w:r>
    </w:p>
    <w:p>
      <w:pPr>
        <w:spacing w:after="120" w:line="276" w:lineRule="auto"/>
      </w:pPr>
      <w:r>
        <w:rPr>
          <w:rFonts w:ascii="Calibri" w:hAnsi="Calibri"/>
          <w:b w:val="0"/>
          <w:i w:val="0"/>
          <w:color w:val="333333"/>
          <w:sz w:val="22"/>
        </w:rPr>
        <w:t>This enabled users to compare workforce size and attrition patterns across major organizational functions.</w:t>
      </w:r>
    </w:p>
    <w:p>
      <w:pPr>
        <w:keepNext/>
        <w:spacing w:before="240" w:after="80"/>
      </w:pPr>
      <w:r>
        <w:rPr>
          <w:rFonts w:ascii="Calibri" w:hAnsi="Calibri"/>
          <w:b/>
          <w:color w:val="0096A6"/>
          <w:sz w:val="26"/>
        </w:rPr>
        <w:t>9.4 Job Satisfaction Analysis</w:t>
      </w:r>
    </w:p>
    <w:p>
      <w:pPr>
        <w:spacing w:after="120" w:line="276" w:lineRule="auto"/>
      </w:pPr>
      <w:r>
        <w:rPr>
          <w:rFonts w:ascii="Calibri" w:hAnsi="Calibri"/>
          <w:b w:val="0"/>
          <w:i w:val="0"/>
          <w:color w:val="333333"/>
          <w:sz w:val="22"/>
        </w:rPr>
        <w:t>A job satisfaction matrix was used to examine satisfaction ratings across different job roles.</w:t>
      </w:r>
    </w:p>
    <w:p>
      <w:pPr>
        <w:spacing w:after="120" w:line="276" w:lineRule="auto"/>
      </w:pPr>
      <w:r>
        <w:rPr>
          <w:rFonts w:ascii="Calibri" w:hAnsi="Calibri"/>
          <w:b w:val="0"/>
          <w:i w:val="0"/>
          <w:color w:val="333333"/>
          <w:sz w:val="22"/>
        </w:rPr>
        <w:t>The dashboard used a 1-to-4 satisfaction scale and allowed users to explore whether particular roles contained concentrations of lower satisfaction scores.</w:t>
      </w:r>
    </w:p>
    <w:p>
      <w:pPr>
        <w:spacing w:after="120" w:line="276" w:lineRule="auto"/>
      </w:pPr>
      <w:r>
        <w:rPr>
          <w:rFonts w:ascii="Calibri" w:hAnsi="Calibri"/>
          <w:b w:val="0"/>
          <w:i w:val="0"/>
          <w:color w:val="333333"/>
          <w:sz w:val="22"/>
        </w:rPr>
        <w:t>This analysis was used as a descriptive exploration of employee engagement and workforce retention patterns.</w:t>
      </w:r>
    </w:p>
    <w:p>
      <w:pPr>
        <w:keepNext/>
        <w:spacing w:before="240" w:after="80"/>
      </w:pPr>
      <w:r>
        <w:rPr>
          <w:rFonts w:ascii="Calibri" w:hAnsi="Calibri"/>
          <w:b/>
          <w:color w:val="0096A6"/>
          <w:sz w:val="26"/>
        </w:rPr>
        <w:t>9.5 Interactive Reporting</w:t>
      </w:r>
    </w:p>
    <w:p>
      <w:pPr>
        <w:spacing w:after="120" w:line="276" w:lineRule="auto"/>
      </w:pPr>
      <w:r>
        <w:rPr>
          <w:rFonts w:ascii="Calibri" w:hAnsi="Calibri"/>
          <w:b w:val="0"/>
          <w:i w:val="0"/>
          <w:color w:val="333333"/>
          <w:sz w:val="22"/>
        </w:rPr>
        <w:t>The Power BI dashboard incorporated interactive filtering and cross-filtering.</w:t>
      </w:r>
    </w:p>
    <w:p>
      <w:pPr>
        <w:spacing w:after="120" w:line="276" w:lineRule="auto"/>
      </w:pPr>
      <w:r>
        <w:rPr>
          <w:rFonts w:ascii="Calibri" w:hAnsi="Calibri"/>
          <w:b w:val="0"/>
          <w:i w:val="0"/>
          <w:color w:val="333333"/>
          <w:sz w:val="22"/>
        </w:rPr>
        <w:t>Users could select dimensions such as:</w:t>
      </w:r>
    </w:p>
    <w:p>
      <w:pPr>
        <w:pStyle w:val="ListBullet"/>
        <w:spacing w:after="60" w:line="276" w:lineRule="auto"/>
      </w:pPr>
      <w:r>
        <w:rPr>
          <w:rFonts w:ascii="Calibri" w:hAnsi="Calibri"/>
          <w:color w:val="333333"/>
          <w:sz w:val="22"/>
        </w:rPr>
        <w:t>Education level</w:t>
      </w:r>
    </w:p>
    <w:p>
      <w:pPr>
        <w:pStyle w:val="ListBullet"/>
        <w:spacing w:after="60" w:line="276" w:lineRule="auto"/>
      </w:pPr>
      <w:r>
        <w:rPr>
          <w:rFonts w:ascii="Calibri" w:hAnsi="Calibri"/>
          <w:color w:val="333333"/>
          <w:sz w:val="22"/>
        </w:rPr>
        <w:t>Education field</w:t>
      </w:r>
    </w:p>
    <w:p>
      <w:pPr>
        <w:pStyle w:val="ListBullet"/>
        <w:spacing w:after="60" w:line="276" w:lineRule="auto"/>
      </w:pPr>
      <w:r>
        <w:rPr>
          <w:rFonts w:ascii="Calibri" w:hAnsi="Calibri"/>
          <w:color w:val="333333"/>
          <w:sz w:val="22"/>
        </w:rPr>
        <w:t>Department</w:t>
      </w:r>
    </w:p>
    <w:p>
      <w:pPr>
        <w:pStyle w:val="ListBullet"/>
        <w:spacing w:after="60" w:line="276" w:lineRule="auto"/>
      </w:pPr>
      <w:r>
        <w:rPr>
          <w:rFonts w:ascii="Calibri" w:hAnsi="Calibri"/>
          <w:color w:val="333333"/>
          <w:sz w:val="22"/>
        </w:rPr>
        <w:t>Age group</w:t>
      </w:r>
    </w:p>
    <w:p>
      <w:pPr>
        <w:pStyle w:val="ListBullet"/>
        <w:spacing w:after="60" w:line="276" w:lineRule="auto"/>
      </w:pPr>
      <w:r>
        <w:rPr>
          <w:rFonts w:ascii="Calibri" w:hAnsi="Calibri"/>
          <w:color w:val="333333"/>
          <w:sz w:val="22"/>
        </w:rPr>
        <w:t>Gender</w:t>
      </w:r>
    </w:p>
    <w:p>
      <w:pPr>
        <w:spacing w:after="120" w:line="276" w:lineRule="auto"/>
      </w:pPr>
      <w:r>
        <w:rPr>
          <w:rFonts w:ascii="Calibri" w:hAnsi="Calibri"/>
          <w:b w:val="0"/>
          <w:i w:val="0"/>
          <w:color w:val="333333"/>
          <w:sz w:val="22"/>
        </w:rPr>
        <w:t>and observe how other visualizations responded to those selections.</w:t>
      </w:r>
    </w:p>
    <w:p>
      <w:pPr>
        <w:spacing w:after="120" w:line="276" w:lineRule="auto"/>
      </w:pPr>
      <w:r>
        <w:rPr>
          <w:rFonts w:ascii="Calibri" w:hAnsi="Calibri"/>
          <w:b w:val="0"/>
          <w:i w:val="0"/>
          <w:color w:val="333333"/>
          <w:sz w:val="22"/>
        </w:rPr>
        <w:t>This functionality demonstrated the use of interactive business intelligence reporting to move from high-level workforce summaries to more focused segment analysis.</w:t>
      </w:r>
    </w:p>
    <w:p>
      <w:pPr>
        <w:keepNext/>
        <w:spacing w:before="360" w:after="120"/>
      </w:pPr>
      <w:r>
        <w:rPr>
          <w:rFonts w:ascii="Calibri" w:hAnsi="Calibri"/>
          <w:b/>
          <w:color w:val="1B365D"/>
          <w:sz w:val="32"/>
        </w:rPr>
        <w:t>10. Tableau Dashboard Development</w:t>
      </w:r>
    </w:p>
    <w:p>
      <w:pPr>
        <w:spacing w:after="120" w:line="276" w:lineRule="auto"/>
      </w:pPr>
      <w:r>
        <w:rPr>
          <w:rFonts w:ascii="Calibri" w:hAnsi="Calibri"/>
          <w:b w:val="0"/>
          <w:i w:val="0"/>
          <w:color w:val="333333"/>
          <w:sz w:val="22"/>
        </w:rPr>
        <w:t>A corresponding HR Analytics dashboard was developed using Tableau.</w:t>
      </w:r>
    </w:p>
    <w:p>
      <w:pPr>
        <w:spacing w:after="120" w:line="276" w:lineRule="auto"/>
      </w:pPr>
      <w:r>
        <w:rPr>
          <w:rFonts w:ascii="Calibri" w:hAnsi="Calibri"/>
          <w:b w:val="0"/>
          <w:i w:val="0"/>
          <w:color w:val="333333"/>
          <w:sz w:val="22"/>
        </w:rPr>
        <w:t>The Tableau dashboard was designed with a management-oriented reporting structure and a dark visual theme.</w:t>
      </w:r>
    </w:p>
    <w:p>
      <w:pPr>
        <w:spacing w:after="120" w:line="276" w:lineRule="auto"/>
      </w:pPr>
      <w:r>
        <w:rPr>
          <w:rFonts w:ascii="Calibri" w:hAnsi="Calibri"/>
          <w:b w:val="0"/>
          <w:i w:val="0"/>
          <w:color w:val="333333"/>
          <w:sz w:val="22"/>
        </w:rPr>
        <w:t>The dashboard was organized into functional sections covering:</w:t>
      </w:r>
    </w:p>
    <w:p>
      <w:pPr>
        <w:pStyle w:val="ListBullet"/>
        <w:spacing w:after="60" w:line="276" w:lineRule="auto"/>
      </w:pPr>
      <w:r>
        <w:rPr>
          <w:rFonts w:ascii="Calibri" w:hAnsi="Calibri"/>
          <w:color w:val="333333"/>
          <w:sz w:val="22"/>
        </w:rPr>
        <w:t>KPI summary</w:t>
      </w:r>
    </w:p>
    <w:p>
      <w:pPr>
        <w:pStyle w:val="ListBullet"/>
        <w:spacing w:after="60" w:line="276" w:lineRule="auto"/>
      </w:pPr>
      <w:r>
        <w:rPr>
          <w:rFonts w:ascii="Calibri" w:hAnsi="Calibri"/>
          <w:color w:val="333333"/>
          <w:sz w:val="22"/>
        </w:rPr>
        <w:t>Attrition by gender</w:t>
      </w:r>
    </w:p>
    <w:p>
      <w:pPr>
        <w:pStyle w:val="ListBullet"/>
        <w:spacing w:after="60" w:line="276" w:lineRule="auto"/>
      </w:pPr>
      <w:r>
        <w:rPr>
          <w:rFonts w:ascii="Calibri" w:hAnsi="Calibri"/>
          <w:color w:val="333333"/>
          <w:sz w:val="22"/>
        </w:rPr>
        <w:t>Department-wise attrition</w:t>
      </w:r>
    </w:p>
    <w:p>
      <w:pPr>
        <w:pStyle w:val="ListBullet"/>
        <w:spacing w:after="60" w:line="276" w:lineRule="auto"/>
      </w:pPr>
      <w:r>
        <w:rPr>
          <w:rFonts w:ascii="Calibri" w:hAnsi="Calibri"/>
          <w:color w:val="333333"/>
          <w:sz w:val="22"/>
        </w:rPr>
        <w:t>Employee distribution by age</w:t>
      </w:r>
    </w:p>
    <w:p>
      <w:pPr>
        <w:pStyle w:val="ListBullet"/>
        <w:spacing w:after="60" w:line="276" w:lineRule="auto"/>
      </w:pPr>
      <w:r>
        <w:rPr>
          <w:rFonts w:ascii="Calibri" w:hAnsi="Calibri"/>
          <w:color w:val="333333"/>
          <w:sz w:val="22"/>
        </w:rPr>
        <w:t>Job satisfaction by job role</w:t>
      </w:r>
    </w:p>
    <w:p>
      <w:pPr>
        <w:pStyle w:val="ListBullet"/>
        <w:spacing w:after="60" w:line="276" w:lineRule="auto"/>
      </w:pPr>
      <w:r>
        <w:rPr>
          <w:rFonts w:ascii="Calibri" w:hAnsi="Calibri"/>
          <w:color w:val="333333"/>
          <w:sz w:val="22"/>
        </w:rPr>
        <w:t>Education field-wise attrition</w:t>
      </w:r>
    </w:p>
    <w:p>
      <w:pPr>
        <w:pStyle w:val="ListBullet"/>
        <w:spacing w:after="60" w:line="276" w:lineRule="auto"/>
      </w:pPr>
      <w:r>
        <w:rPr>
          <w:rFonts w:ascii="Calibri" w:hAnsi="Calibri"/>
          <w:color w:val="333333"/>
          <w:sz w:val="22"/>
        </w:rPr>
        <w:t>Attrition rate by gender and age group</w:t>
      </w:r>
    </w:p>
    <w:p>
      <w:pPr>
        <w:keepNext/>
        <w:spacing w:before="240" w:after="80"/>
      </w:pPr>
      <w:r>
        <w:rPr>
          <w:rFonts w:ascii="Calibri" w:hAnsi="Calibri"/>
          <w:b/>
          <w:color w:val="0096A6"/>
          <w:sz w:val="26"/>
        </w:rPr>
        <w:t>10.1 KPI Summary</w:t>
      </w:r>
    </w:p>
    <w:p>
      <w:pPr>
        <w:spacing w:after="120" w:line="276" w:lineRule="auto"/>
      </w:pPr>
      <w:r>
        <w:rPr>
          <w:rFonts w:ascii="Calibri" w:hAnsi="Calibri"/>
          <w:b w:val="0"/>
          <w:i w:val="0"/>
          <w:color w:val="333333"/>
          <w:sz w:val="22"/>
        </w:rPr>
        <w:t>The dashboard displayed:</w:t>
      </w:r>
    </w:p>
    <w:p>
      <w:pPr>
        <w:pStyle w:val="ListBullet"/>
        <w:spacing w:after="60" w:line="276" w:lineRule="auto"/>
      </w:pPr>
      <w:r>
        <w:rPr>
          <w:rFonts w:ascii="Calibri" w:hAnsi="Calibri"/>
          <w:color w:val="333333"/>
          <w:sz w:val="22"/>
        </w:rPr>
        <w:t>Employee count</w:t>
      </w:r>
    </w:p>
    <w:p>
      <w:pPr>
        <w:pStyle w:val="ListBullet"/>
        <w:spacing w:after="60" w:line="276" w:lineRule="auto"/>
      </w:pPr>
      <w:r>
        <w:rPr>
          <w:rFonts w:ascii="Calibri" w:hAnsi="Calibri"/>
          <w:color w:val="333333"/>
          <w:sz w:val="22"/>
        </w:rPr>
        <w:t>Attrition count</w:t>
      </w:r>
    </w:p>
    <w:p>
      <w:pPr>
        <w:pStyle w:val="ListBullet"/>
        <w:spacing w:after="60" w:line="276" w:lineRule="auto"/>
      </w:pPr>
      <w:r>
        <w:rPr>
          <w:rFonts w:ascii="Calibri" w:hAnsi="Calibri"/>
          <w:color w:val="333333"/>
          <w:sz w:val="22"/>
        </w:rPr>
        <w:t>Attrition rate</w:t>
      </w:r>
    </w:p>
    <w:p>
      <w:pPr>
        <w:pStyle w:val="ListBullet"/>
        <w:spacing w:after="60" w:line="276" w:lineRule="auto"/>
      </w:pPr>
      <w:r>
        <w:rPr>
          <w:rFonts w:ascii="Calibri" w:hAnsi="Calibri"/>
          <w:color w:val="333333"/>
          <w:sz w:val="22"/>
        </w:rPr>
        <w:t>Active employees</w:t>
      </w:r>
    </w:p>
    <w:p>
      <w:pPr>
        <w:pStyle w:val="ListBullet"/>
        <w:spacing w:after="60" w:line="276" w:lineRule="auto"/>
      </w:pPr>
      <w:r>
        <w:rPr>
          <w:rFonts w:ascii="Calibri" w:hAnsi="Calibri"/>
          <w:color w:val="333333"/>
          <w:sz w:val="22"/>
        </w:rPr>
        <w:t>Average age</w:t>
      </w:r>
    </w:p>
    <w:p>
      <w:pPr>
        <w:spacing w:after="120" w:line="276" w:lineRule="auto"/>
      </w:pPr>
      <w:r>
        <w:rPr>
          <w:rFonts w:ascii="Calibri" w:hAnsi="Calibri"/>
          <w:b w:val="0"/>
          <w:i w:val="0"/>
          <w:color w:val="333333"/>
          <w:sz w:val="22"/>
        </w:rPr>
        <w:t>The baseline organizational view showed:</w:t>
      </w:r>
    </w:p>
    <w:p>
      <w:pPr>
        <w:pStyle w:val="ListBullet"/>
        <w:spacing w:after="60" w:line="276" w:lineRule="auto"/>
      </w:pPr>
      <w:r>
        <w:rPr>
          <w:rFonts w:ascii="Calibri" w:hAnsi="Calibri"/>
          <w:color w:val="333333"/>
          <w:sz w:val="22"/>
        </w:rPr>
        <w:t>1,470 employees</w:t>
      </w:r>
    </w:p>
    <w:p>
      <w:pPr>
        <w:pStyle w:val="ListBullet"/>
        <w:spacing w:after="60" w:line="276" w:lineRule="auto"/>
      </w:pPr>
      <w:r>
        <w:rPr>
          <w:rFonts w:ascii="Calibri" w:hAnsi="Calibri"/>
          <w:color w:val="333333"/>
          <w:sz w:val="22"/>
        </w:rPr>
        <w:t>237 employee departures</w:t>
      </w:r>
    </w:p>
    <w:p>
      <w:pPr>
        <w:pStyle w:val="ListBullet"/>
        <w:spacing w:after="60" w:line="276" w:lineRule="auto"/>
      </w:pPr>
      <w:r>
        <w:rPr>
          <w:rFonts w:ascii="Calibri" w:hAnsi="Calibri"/>
          <w:color w:val="333333"/>
          <w:sz w:val="22"/>
        </w:rPr>
        <w:t>16.12% overall attrition</w:t>
      </w:r>
    </w:p>
    <w:p>
      <w:pPr>
        <w:pStyle w:val="ListBullet"/>
        <w:spacing w:after="60" w:line="276" w:lineRule="auto"/>
      </w:pPr>
      <w:r>
        <w:rPr>
          <w:rFonts w:ascii="Calibri" w:hAnsi="Calibri"/>
          <w:color w:val="333333"/>
          <w:sz w:val="22"/>
        </w:rPr>
        <w:t>1,233 active employees</w:t>
      </w:r>
    </w:p>
    <w:p>
      <w:pPr>
        <w:pStyle w:val="ListBullet"/>
        <w:spacing w:after="60" w:line="276" w:lineRule="auto"/>
      </w:pPr>
      <w:r>
        <w:rPr>
          <w:rFonts w:ascii="Calibri" w:hAnsi="Calibri"/>
          <w:color w:val="333333"/>
          <w:sz w:val="22"/>
        </w:rPr>
        <w:t>Average age of approximately 37 years</w:t>
      </w:r>
    </w:p>
    <w:p>
      <w:pPr>
        <w:keepNext/>
        <w:spacing w:before="240" w:after="80"/>
      </w:pPr>
      <w:r>
        <w:rPr>
          <w:rFonts w:ascii="Calibri" w:hAnsi="Calibri"/>
          <w:b/>
          <w:color w:val="0096A6"/>
          <w:sz w:val="26"/>
        </w:rPr>
        <w:t>10.2 Education Filtering</w:t>
      </w:r>
    </w:p>
    <w:p>
      <w:pPr>
        <w:spacing w:after="120" w:line="276" w:lineRule="auto"/>
      </w:pPr>
      <w:r>
        <w:rPr>
          <w:rFonts w:ascii="Calibri" w:hAnsi="Calibri"/>
          <w:b w:val="0"/>
          <w:i w:val="0"/>
          <w:color w:val="333333"/>
          <w:sz w:val="22"/>
        </w:rPr>
        <w:t>An education filter was incorporated into the dashboard to allow managers to isolate specific educational segments.</w:t>
      </w:r>
    </w:p>
    <w:p>
      <w:pPr>
        <w:spacing w:after="120" w:line="276" w:lineRule="auto"/>
      </w:pPr>
      <w:r>
        <w:rPr>
          <w:rFonts w:ascii="Calibri" w:hAnsi="Calibri"/>
          <w:b w:val="0"/>
          <w:i w:val="0"/>
          <w:color w:val="333333"/>
          <w:sz w:val="22"/>
        </w:rPr>
        <w:t>This demonstrated how dashboard users could examine changes in workforce characteristics and attrition patterns based on educational background.</w:t>
      </w:r>
    </w:p>
    <w:p>
      <w:pPr>
        <w:keepNext/>
        <w:spacing w:before="240" w:after="80"/>
      </w:pPr>
      <w:r>
        <w:rPr>
          <w:rFonts w:ascii="Calibri" w:hAnsi="Calibri"/>
          <w:b/>
          <w:color w:val="0096A6"/>
          <w:sz w:val="26"/>
        </w:rPr>
        <w:t>10.3 Dynamic Age Analysis</w:t>
      </w:r>
    </w:p>
    <w:p>
      <w:pPr>
        <w:spacing w:after="120" w:line="276" w:lineRule="auto"/>
      </w:pPr>
      <w:r>
        <w:rPr>
          <w:rFonts w:ascii="Calibri" w:hAnsi="Calibri"/>
          <w:b w:val="0"/>
          <w:i w:val="0"/>
          <w:color w:val="333333"/>
          <w:sz w:val="22"/>
        </w:rPr>
        <w:t>The dashboard included an employee age distribution visualization with a dynamic bin-size parameter.</w:t>
      </w:r>
    </w:p>
    <w:p>
      <w:pPr>
        <w:spacing w:after="120" w:line="276" w:lineRule="auto"/>
      </w:pPr>
      <w:r>
        <w:rPr>
          <w:rFonts w:ascii="Calibri" w:hAnsi="Calibri"/>
          <w:b w:val="0"/>
          <w:i w:val="0"/>
          <w:color w:val="333333"/>
          <w:sz w:val="22"/>
        </w:rPr>
        <w:t>This allowed users to adjust the grouping of employee ages and explore workforce distribution at different levels of granularity.</w:t>
      </w:r>
    </w:p>
    <w:p>
      <w:pPr>
        <w:keepNext/>
        <w:spacing w:before="240" w:after="80"/>
      </w:pPr>
      <w:r>
        <w:rPr>
          <w:rFonts w:ascii="Calibri" w:hAnsi="Calibri"/>
          <w:b/>
          <w:color w:val="0096A6"/>
          <w:sz w:val="26"/>
        </w:rPr>
        <w:t>10.4 Job Satisfaction Heatmap</w:t>
      </w:r>
    </w:p>
    <w:p>
      <w:pPr>
        <w:spacing w:after="120" w:line="276" w:lineRule="auto"/>
      </w:pPr>
      <w:r>
        <w:rPr>
          <w:rFonts w:ascii="Calibri" w:hAnsi="Calibri"/>
          <w:b w:val="0"/>
          <w:i w:val="0"/>
          <w:color w:val="333333"/>
          <w:sz w:val="22"/>
        </w:rPr>
        <w:t>A heatmap-style cross-tab was used to examine job satisfaction ratings across different job roles.</w:t>
      </w:r>
    </w:p>
    <w:p>
      <w:pPr>
        <w:spacing w:after="120" w:line="276" w:lineRule="auto"/>
      </w:pPr>
      <w:r>
        <w:rPr>
          <w:rFonts w:ascii="Calibri" w:hAnsi="Calibri"/>
          <w:b w:val="0"/>
          <w:i w:val="0"/>
          <w:color w:val="333333"/>
          <w:sz w:val="22"/>
        </w:rPr>
        <w:t>The visualization allowed managers to identify roles where lower satisfaction scores appeared more frequently.</w:t>
      </w:r>
    </w:p>
    <w:p>
      <w:pPr>
        <w:keepNext/>
        <w:spacing w:before="240" w:after="80"/>
      </w:pPr>
      <w:r>
        <w:rPr>
          <w:rFonts w:ascii="Calibri" w:hAnsi="Calibri"/>
          <w:b/>
          <w:color w:val="0096A6"/>
          <w:sz w:val="26"/>
        </w:rPr>
        <w:t>10.5 Department Cross-Filtering</w:t>
      </w:r>
    </w:p>
    <w:p>
      <w:pPr>
        <w:spacing w:after="120" w:line="276" w:lineRule="auto"/>
      </w:pPr>
      <w:r>
        <w:rPr>
          <w:rFonts w:ascii="Calibri" w:hAnsi="Calibri"/>
          <w:b w:val="0"/>
          <w:i w:val="0"/>
          <w:color w:val="333333"/>
          <w:sz w:val="22"/>
        </w:rPr>
        <w:t>The dashboard supported interactive department-level exploration.</w:t>
      </w:r>
    </w:p>
    <w:p>
      <w:pPr>
        <w:spacing w:after="120" w:line="276" w:lineRule="auto"/>
      </w:pPr>
      <w:r>
        <w:rPr>
          <w:rFonts w:ascii="Calibri" w:hAnsi="Calibri"/>
          <w:b w:val="0"/>
          <w:i w:val="0"/>
          <w:color w:val="333333"/>
          <w:sz w:val="22"/>
        </w:rPr>
        <w:t>Selecting a department dynamically updated other visualizations, allowing users to investigate workforce characteristics within:</w:t>
      </w:r>
    </w:p>
    <w:p>
      <w:pPr>
        <w:pStyle w:val="ListBullet"/>
        <w:spacing w:after="60" w:line="276" w:lineRule="auto"/>
      </w:pPr>
      <w:r>
        <w:rPr>
          <w:rFonts w:ascii="Calibri" w:hAnsi="Calibri"/>
          <w:color w:val="333333"/>
          <w:sz w:val="22"/>
        </w:rPr>
        <w:t>Sales</w:t>
      </w:r>
    </w:p>
    <w:p>
      <w:pPr>
        <w:pStyle w:val="ListBullet"/>
        <w:spacing w:after="60" w:line="276" w:lineRule="auto"/>
      </w:pPr>
      <w:r>
        <w:rPr>
          <w:rFonts w:ascii="Calibri" w:hAnsi="Calibri"/>
          <w:color w:val="333333"/>
          <w:sz w:val="22"/>
        </w:rPr>
        <w:t>Research &amp; Development</w:t>
      </w:r>
    </w:p>
    <w:p>
      <w:pPr>
        <w:pStyle w:val="ListBullet"/>
        <w:spacing w:after="60" w:line="276" w:lineRule="auto"/>
      </w:pPr>
      <w:r>
        <w:rPr>
          <w:rFonts w:ascii="Calibri" w:hAnsi="Calibri"/>
          <w:color w:val="333333"/>
          <w:sz w:val="22"/>
        </w:rPr>
        <w:t>Human Resources</w:t>
      </w:r>
    </w:p>
    <w:p>
      <w:pPr>
        <w:keepNext/>
        <w:spacing w:before="240" w:after="80"/>
      </w:pPr>
      <w:r>
        <w:rPr>
          <w:rFonts w:ascii="Calibri" w:hAnsi="Calibri"/>
          <w:b/>
          <w:color w:val="0096A6"/>
          <w:sz w:val="26"/>
        </w:rPr>
        <w:t>10.6 Role-Level Exploration</w:t>
      </w:r>
    </w:p>
    <w:p>
      <w:pPr>
        <w:spacing w:after="120" w:line="276" w:lineRule="auto"/>
      </w:pPr>
      <w:r>
        <w:rPr>
          <w:rFonts w:ascii="Calibri" w:hAnsi="Calibri"/>
          <w:b w:val="0"/>
          <w:i w:val="0"/>
          <w:color w:val="333333"/>
          <w:sz w:val="22"/>
        </w:rPr>
        <w:t>The dashboard also allowed users to isolate individual job roles.</w:t>
      </w:r>
    </w:p>
    <w:p>
      <w:pPr>
        <w:spacing w:after="120" w:line="276" w:lineRule="auto"/>
      </w:pPr>
      <w:r>
        <w:rPr>
          <w:rFonts w:ascii="Calibri" w:hAnsi="Calibri"/>
          <w:b w:val="0"/>
          <w:i w:val="0"/>
          <w:color w:val="333333"/>
          <w:sz w:val="22"/>
        </w:rPr>
        <w:t>Examples explored during the dashboard analysis included:</w:t>
      </w:r>
    </w:p>
    <w:p>
      <w:pPr>
        <w:pStyle w:val="ListBullet"/>
        <w:spacing w:after="60" w:line="276" w:lineRule="auto"/>
      </w:pPr>
      <w:r>
        <w:rPr>
          <w:rFonts w:ascii="Calibri" w:hAnsi="Calibri"/>
          <w:color w:val="333333"/>
          <w:sz w:val="22"/>
        </w:rPr>
        <w:t>Laboratory Technicians</w:t>
      </w:r>
    </w:p>
    <w:p>
      <w:pPr>
        <w:pStyle w:val="ListBullet"/>
        <w:spacing w:after="60" w:line="276" w:lineRule="auto"/>
      </w:pPr>
      <w:r>
        <w:rPr>
          <w:rFonts w:ascii="Calibri" w:hAnsi="Calibri"/>
          <w:color w:val="333333"/>
          <w:sz w:val="22"/>
        </w:rPr>
        <w:t>Research Scientists</w:t>
      </w:r>
    </w:p>
    <w:p>
      <w:pPr>
        <w:pStyle w:val="ListBullet"/>
        <w:spacing w:after="60" w:line="276" w:lineRule="auto"/>
      </w:pPr>
      <w:r>
        <w:rPr>
          <w:rFonts w:ascii="Calibri" w:hAnsi="Calibri"/>
          <w:color w:val="333333"/>
          <w:sz w:val="22"/>
        </w:rPr>
        <w:t>Sales Representatives</w:t>
      </w:r>
    </w:p>
    <w:p>
      <w:pPr>
        <w:spacing w:after="120" w:line="276" w:lineRule="auto"/>
      </w:pPr>
      <w:r>
        <w:rPr>
          <w:rFonts w:ascii="Calibri" w:hAnsi="Calibri"/>
          <w:b w:val="0"/>
          <w:i w:val="0"/>
          <w:color w:val="333333"/>
          <w:sz w:val="22"/>
        </w:rPr>
        <w:t>This provided a more granular perspective on employee attrition and workforce composition.</w:t>
      </w:r>
    </w:p>
    <w:p>
      <w:pPr>
        <w:keepNext/>
        <w:spacing w:before="360" w:after="120"/>
      </w:pPr>
      <w:r>
        <w:rPr>
          <w:rFonts w:ascii="Calibri" w:hAnsi="Calibri"/>
          <w:b/>
          <w:color w:val="1B365D"/>
          <w:sz w:val="32"/>
        </w:rPr>
        <w:t>11. Cross-Tool Analytical Findings</w:t>
      </w:r>
    </w:p>
    <w:p>
      <w:pPr>
        <w:spacing w:after="120" w:line="276" w:lineRule="auto"/>
      </w:pPr>
      <w:r>
        <w:rPr>
          <w:rFonts w:ascii="Calibri" w:hAnsi="Calibri"/>
          <w:b w:val="0"/>
          <w:i w:val="0"/>
          <w:color w:val="333333"/>
          <w:sz w:val="22"/>
        </w:rPr>
        <w:t>One of the key strengths of this project is that the same underlying HR dataset was examined through multiple analytical environments.</w:t>
      </w:r>
    </w:p>
    <w:p>
      <w:pPr>
        <w:spacing w:after="120" w:line="276" w:lineRule="auto"/>
      </w:pPr>
      <w:r>
        <w:rPr>
          <w:rFonts w:ascii="Calibri" w:hAnsi="Calibri"/>
          <w:b w:val="0"/>
          <w:i w:val="0"/>
          <w:color w:val="333333"/>
          <w:sz w:val="22"/>
        </w:rPr>
        <w:t>The results across Excel, SQL, Power BI, and Tableau provided a consistent overall picture of the workforce.</w:t>
      </w:r>
    </w:p>
    <w:p>
      <w:pPr>
        <w:spacing w:after="120" w:line="276" w:lineRule="auto"/>
      </w:pPr>
      <w:r>
        <w:rPr>
          <w:rFonts w:ascii="Calibri" w:hAnsi="Calibri"/>
          <w:b w:val="0"/>
          <w:i w:val="0"/>
          <w:color w:val="333333"/>
          <w:sz w:val="22"/>
        </w:rPr>
        <w:t>Several recurring patterns were identified.</w:t>
      </w:r>
    </w:p>
    <w:p>
      <w:pPr>
        <w:keepNext/>
        <w:spacing w:before="240" w:after="80"/>
      </w:pPr>
      <w:r>
        <w:rPr>
          <w:rFonts w:ascii="Calibri" w:hAnsi="Calibri"/>
          <w:b/>
          <w:color w:val="0096A6"/>
          <w:sz w:val="26"/>
        </w:rPr>
        <w:t>11.1 Overall Attrition</w:t>
      </w:r>
    </w:p>
    <w:p>
      <w:pPr>
        <w:spacing w:after="120" w:line="276" w:lineRule="auto"/>
      </w:pPr>
      <w:r>
        <w:rPr>
          <w:rFonts w:ascii="Calibri" w:hAnsi="Calibri"/>
          <w:b w:val="0"/>
          <w:i w:val="0"/>
          <w:color w:val="333333"/>
          <w:sz w:val="22"/>
        </w:rPr>
        <w:t>The organization contained:</w:t>
      </w:r>
    </w:p>
    <w:p>
      <w:pPr>
        <w:pStyle w:val="ListBullet"/>
        <w:spacing w:after="60" w:line="276" w:lineRule="auto"/>
      </w:pPr>
      <w:r>
        <w:rPr>
          <w:rFonts w:ascii="Calibri" w:hAnsi="Calibri"/>
          <w:color w:val="333333"/>
          <w:sz w:val="22"/>
        </w:rPr>
        <w:t>1,470 employees</w:t>
      </w:r>
    </w:p>
    <w:p>
      <w:pPr>
        <w:pStyle w:val="ListBullet"/>
        <w:spacing w:after="60" w:line="276" w:lineRule="auto"/>
      </w:pPr>
      <w:r>
        <w:rPr>
          <w:rFonts w:ascii="Calibri" w:hAnsi="Calibri"/>
          <w:color w:val="333333"/>
          <w:sz w:val="22"/>
        </w:rPr>
        <w:t>237 employee departures</w:t>
      </w:r>
    </w:p>
    <w:p>
      <w:pPr>
        <w:pStyle w:val="ListBullet"/>
        <w:spacing w:after="60" w:line="276" w:lineRule="auto"/>
      </w:pPr>
      <w:r>
        <w:rPr>
          <w:rFonts w:ascii="Calibri" w:hAnsi="Calibri"/>
          <w:color w:val="333333"/>
          <w:sz w:val="22"/>
        </w:rPr>
        <w:t>1,233 active employees</w:t>
      </w:r>
    </w:p>
    <w:p>
      <w:pPr>
        <w:pStyle w:val="ListBullet"/>
        <w:spacing w:after="60" w:line="276" w:lineRule="auto"/>
      </w:pPr>
      <w:r>
        <w:rPr>
          <w:rFonts w:ascii="Calibri" w:hAnsi="Calibri"/>
          <w:color w:val="333333"/>
          <w:sz w:val="22"/>
        </w:rPr>
        <w:t>16.12% overall attrition</w:t>
      </w:r>
    </w:p>
    <w:p>
      <w:pPr>
        <w:spacing w:after="120" w:line="276" w:lineRule="auto"/>
      </w:pPr>
      <w:r>
        <w:rPr>
          <w:rFonts w:ascii="Calibri" w:hAnsi="Calibri"/>
          <w:b w:val="0"/>
          <w:i w:val="0"/>
          <w:color w:val="333333"/>
          <w:sz w:val="22"/>
        </w:rPr>
        <w:t>This served as the primary baseline for interpreting segment-level results.</w:t>
      </w:r>
    </w:p>
    <w:p>
      <w:pPr>
        <w:keepNext/>
        <w:spacing w:before="240" w:after="80"/>
      </w:pPr>
      <w:r>
        <w:rPr>
          <w:rFonts w:ascii="Calibri" w:hAnsi="Calibri"/>
          <w:b/>
          <w:color w:val="0096A6"/>
          <w:sz w:val="26"/>
        </w:rPr>
        <w:t>11.2 Department-Level Attrition</w:t>
      </w:r>
    </w:p>
    <w:p>
      <w:pPr>
        <w:spacing w:after="120" w:line="276" w:lineRule="auto"/>
      </w:pPr>
      <w:r>
        <w:rPr>
          <w:rFonts w:ascii="Calibri" w:hAnsi="Calibri"/>
          <w:b w:val="0"/>
          <w:i w:val="0"/>
          <w:color w:val="333333"/>
          <w:sz w:val="22"/>
        </w:rPr>
        <w:t>The department analysis showed differences in observed attrition rates.</w:t>
      </w:r>
    </w:p>
    <w:p>
      <w:pPr>
        <w:spacing w:after="120" w:line="276" w:lineRule="auto"/>
      </w:pPr>
      <w:r>
        <w:rPr>
          <w:rFonts w:ascii="Calibri" w:hAnsi="Calibri"/>
          <w:b w:val="0"/>
          <w:i w:val="0"/>
          <w:color w:val="333333"/>
          <w:sz w:val="22"/>
        </w:rPr>
        <w:t>Sales recorded the highest departmental attrition rate at approximately 20.63%.</w:t>
      </w:r>
    </w:p>
    <w:p>
      <w:pPr>
        <w:spacing w:after="120" w:line="276" w:lineRule="auto"/>
      </w:pPr>
      <w:r>
        <w:rPr>
          <w:rFonts w:ascii="Calibri" w:hAnsi="Calibri"/>
          <w:b w:val="0"/>
          <w:i w:val="0"/>
          <w:color w:val="333333"/>
          <w:sz w:val="22"/>
        </w:rPr>
        <w:t>Human Resources recorded approximately 19.05%.</w:t>
      </w:r>
    </w:p>
    <w:p>
      <w:pPr>
        <w:spacing w:after="120" w:line="276" w:lineRule="auto"/>
      </w:pPr>
      <w:r>
        <w:rPr>
          <w:rFonts w:ascii="Calibri" w:hAnsi="Calibri"/>
          <w:b w:val="0"/>
          <w:i w:val="0"/>
          <w:color w:val="333333"/>
          <w:sz w:val="22"/>
        </w:rPr>
        <w:t>Research &amp; Development recorded approximately 13.84%.</w:t>
      </w:r>
    </w:p>
    <w:p>
      <w:pPr>
        <w:spacing w:after="120" w:line="276" w:lineRule="auto"/>
      </w:pPr>
      <w:r>
        <w:rPr>
          <w:rFonts w:ascii="Calibri" w:hAnsi="Calibri"/>
          <w:b w:val="0"/>
          <w:i w:val="0"/>
          <w:color w:val="333333"/>
          <w:sz w:val="22"/>
        </w:rPr>
        <w:t>However, Research &amp; Development accounted for the largest absolute number of departures because it had the largest workforce.</w:t>
      </w:r>
    </w:p>
    <w:p>
      <w:pPr>
        <w:spacing w:after="120" w:line="276" w:lineRule="auto"/>
      </w:pPr>
      <w:r>
        <w:rPr>
          <w:rFonts w:ascii="Calibri" w:hAnsi="Calibri"/>
          <w:b w:val="0"/>
          <w:i w:val="0"/>
          <w:color w:val="333333"/>
          <w:sz w:val="22"/>
        </w:rPr>
        <w:t>This highlights the importance of distinguishing between:</w:t>
      </w:r>
    </w:p>
    <w:p>
      <w:pPr>
        <w:pStyle w:val="ListBullet"/>
        <w:spacing w:after="60" w:line="276" w:lineRule="auto"/>
      </w:pPr>
      <w:r>
        <w:rPr>
          <w:rFonts w:ascii="Calibri" w:hAnsi="Calibri"/>
          <w:color w:val="333333"/>
          <w:sz w:val="22"/>
        </w:rPr>
        <w:t>Absolute attrition volume</w:t>
      </w:r>
    </w:p>
    <w:p>
      <w:pPr>
        <w:pStyle w:val="ListBullet"/>
        <w:spacing w:after="60" w:line="276" w:lineRule="auto"/>
      </w:pPr>
      <w:r>
        <w:rPr>
          <w:rFonts w:ascii="Calibri" w:hAnsi="Calibri"/>
          <w:color w:val="333333"/>
          <w:sz w:val="22"/>
        </w:rPr>
        <w:t>Relative attrition rate</w:t>
      </w:r>
    </w:p>
    <w:p>
      <w:pPr>
        <w:spacing w:after="120" w:line="276" w:lineRule="auto"/>
      </w:pPr>
      <w:r>
        <w:rPr>
          <w:rFonts w:ascii="Calibri" w:hAnsi="Calibri"/>
          <w:b w:val="0"/>
          <w:i w:val="0"/>
          <w:color w:val="333333"/>
          <w:sz w:val="22"/>
        </w:rPr>
        <w:t>A department may have the largest number of departures without having the highest attrition rate.</w:t>
      </w:r>
    </w:p>
    <w:p>
      <w:pPr>
        <w:keepNext/>
        <w:spacing w:before="240" w:after="80"/>
      </w:pPr>
      <w:r>
        <w:rPr>
          <w:rFonts w:ascii="Calibri" w:hAnsi="Calibri"/>
          <w:b/>
          <w:color w:val="0096A6"/>
          <w:sz w:val="26"/>
        </w:rPr>
        <w:t>11.3 Job Role Risk</w:t>
      </w:r>
    </w:p>
    <w:p>
      <w:pPr>
        <w:spacing w:after="120" w:line="276" w:lineRule="auto"/>
      </w:pPr>
      <w:r>
        <w:rPr>
          <w:rFonts w:ascii="Calibri" w:hAnsi="Calibri"/>
          <w:b w:val="0"/>
          <w:i w:val="0"/>
          <w:color w:val="333333"/>
          <w:sz w:val="22"/>
        </w:rPr>
        <w:t>The analysis showed substantial differences in observed attrition across job roles.</w:t>
      </w:r>
    </w:p>
    <w:p>
      <w:pPr>
        <w:spacing w:after="120" w:line="276" w:lineRule="auto"/>
      </w:pPr>
      <w:r>
        <w:rPr>
          <w:rFonts w:ascii="Calibri" w:hAnsi="Calibri"/>
          <w:b w:val="0"/>
          <w:i w:val="0"/>
          <w:color w:val="333333"/>
          <w:sz w:val="22"/>
        </w:rPr>
        <w:t>Sales Representatives recorded an observed attrition rate of approximately 39.76%.</w:t>
      </w:r>
    </w:p>
    <w:p>
      <w:pPr>
        <w:spacing w:after="120" w:line="276" w:lineRule="auto"/>
      </w:pPr>
      <w:r>
        <w:rPr>
          <w:rFonts w:ascii="Calibri" w:hAnsi="Calibri"/>
          <w:b w:val="0"/>
          <w:i w:val="0"/>
          <w:color w:val="333333"/>
          <w:sz w:val="22"/>
        </w:rPr>
        <w:t>Laboratory Technicians recorded approximately 23.94%.</w:t>
      </w:r>
    </w:p>
    <w:p>
      <w:pPr>
        <w:spacing w:after="120" w:line="276" w:lineRule="auto"/>
      </w:pPr>
      <w:r>
        <w:rPr>
          <w:rFonts w:ascii="Calibri" w:hAnsi="Calibri"/>
          <w:b w:val="0"/>
          <w:i w:val="0"/>
          <w:color w:val="333333"/>
          <w:sz w:val="22"/>
        </w:rPr>
        <w:t>Human Resources roles recorded approximately 23.08%.</w:t>
      </w:r>
    </w:p>
    <w:p>
      <w:pPr>
        <w:spacing w:after="120" w:line="276" w:lineRule="auto"/>
      </w:pPr>
      <w:r>
        <w:rPr>
          <w:rFonts w:ascii="Calibri" w:hAnsi="Calibri"/>
          <w:b w:val="0"/>
          <w:i w:val="0"/>
          <w:color w:val="333333"/>
          <w:sz w:val="22"/>
        </w:rPr>
        <w:t>At the lower end, Research Directors recorded approximately 2.50%, while Managers recorded approximately 4.90%.</w:t>
      </w:r>
    </w:p>
    <w:p>
      <w:pPr>
        <w:spacing w:after="120" w:line="276" w:lineRule="auto"/>
      </w:pPr>
      <w:r>
        <w:rPr>
          <w:rFonts w:ascii="Calibri" w:hAnsi="Calibri"/>
          <w:b w:val="0"/>
          <w:i w:val="0"/>
          <w:color w:val="333333"/>
          <w:sz w:val="22"/>
        </w:rPr>
        <w:t>These differences suggest that retention challenges may be concentrated within specific job roles rather than being evenly distributed throughout the organization.</w:t>
      </w:r>
    </w:p>
    <w:p>
      <w:pPr>
        <w:keepNext/>
        <w:spacing w:before="240" w:after="80"/>
      </w:pPr>
      <w:r>
        <w:rPr>
          <w:rFonts w:ascii="Calibri" w:hAnsi="Calibri"/>
          <w:b/>
          <w:color w:val="0096A6"/>
          <w:sz w:val="26"/>
        </w:rPr>
        <w:t>11.4 Age and Career Stage</w:t>
      </w:r>
    </w:p>
    <w:p>
      <w:pPr>
        <w:spacing w:after="120" w:line="276" w:lineRule="auto"/>
      </w:pPr>
      <w:r>
        <w:rPr>
          <w:rFonts w:ascii="Calibri" w:hAnsi="Calibri"/>
          <w:b w:val="0"/>
          <w:i w:val="0"/>
          <w:color w:val="333333"/>
          <w:sz w:val="22"/>
        </w:rPr>
        <w:t>Age was another important dimension examined throughout the project.</w:t>
      </w:r>
    </w:p>
    <w:p>
      <w:pPr>
        <w:spacing w:after="120" w:line="276" w:lineRule="auto"/>
      </w:pPr>
      <w:r>
        <w:rPr>
          <w:rFonts w:ascii="Calibri" w:hAnsi="Calibri"/>
          <w:b w:val="0"/>
          <w:i w:val="0"/>
          <w:color w:val="333333"/>
          <w:sz w:val="22"/>
        </w:rPr>
        <w:t>The observed attrition rates were:</w:t>
      </w:r>
    </w:p>
    <w:p>
      <w:pPr>
        <w:pStyle w:val="ListBullet"/>
        <w:spacing w:after="60" w:line="276" w:lineRule="auto"/>
      </w:pPr>
      <w:r>
        <w:rPr>
          <w:rFonts w:ascii="Calibri" w:hAnsi="Calibri"/>
          <w:color w:val="333333"/>
          <w:sz w:val="22"/>
        </w:rPr>
        <w:t>Under 25: 39.18%</w:t>
      </w:r>
    </w:p>
    <w:p>
      <w:pPr>
        <w:pStyle w:val="ListBullet"/>
        <w:spacing w:after="60" w:line="276" w:lineRule="auto"/>
      </w:pPr>
      <w:r>
        <w:rPr>
          <w:rFonts w:ascii="Calibri" w:hAnsi="Calibri"/>
          <w:color w:val="333333"/>
          <w:sz w:val="22"/>
        </w:rPr>
        <w:t>25–34: 20.22%</w:t>
      </w:r>
    </w:p>
    <w:p>
      <w:pPr>
        <w:pStyle w:val="ListBullet"/>
        <w:spacing w:after="60" w:line="276" w:lineRule="auto"/>
      </w:pPr>
      <w:r>
        <w:rPr>
          <w:rFonts w:ascii="Calibri" w:hAnsi="Calibri"/>
          <w:color w:val="333333"/>
          <w:sz w:val="22"/>
        </w:rPr>
        <w:t>35–44: 10.10%</w:t>
      </w:r>
    </w:p>
    <w:p>
      <w:pPr>
        <w:pStyle w:val="ListBullet"/>
        <w:spacing w:after="60" w:line="276" w:lineRule="auto"/>
      </w:pPr>
      <w:r>
        <w:rPr>
          <w:rFonts w:ascii="Calibri" w:hAnsi="Calibri"/>
          <w:color w:val="333333"/>
          <w:sz w:val="22"/>
        </w:rPr>
        <w:t>45–54: 10.20%</w:t>
      </w:r>
    </w:p>
    <w:p>
      <w:pPr>
        <w:pStyle w:val="ListBullet"/>
        <w:spacing w:after="60" w:line="276" w:lineRule="auto"/>
      </w:pPr>
      <w:r>
        <w:rPr>
          <w:rFonts w:ascii="Calibri" w:hAnsi="Calibri"/>
          <w:color w:val="333333"/>
          <w:sz w:val="22"/>
        </w:rPr>
        <w:t>55+: 15.94%</w:t>
      </w:r>
    </w:p>
    <w:p>
      <w:pPr>
        <w:spacing w:after="120" w:line="276" w:lineRule="auto"/>
      </w:pPr>
      <w:r>
        <w:rPr>
          <w:rFonts w:ascii="Calibri" w:hAnsi="Calibri"/>
          <w:b w:val="0"/>
          <w:i w:val="0"/>
          <w:color w:val="333333"/>
          <w:sz w:val="22"/>
        </w:rPr>
        <w:t>The Under 25 employee group showed the highest observed attrition rate.</w:t>
      </w:r>
    </w:p>
    <w:p>
      <w:pPr>
        <w:spacing w:after="120" w:line="276" w:lineRule="auto"/>
      </w:pPr>
      <w:r>
        <w:rPr>
          <w:rFonts w:ascii="Calibri" w:hAnsi="Calibri"/>
          <w:b w:val="0"/>
          <w:i w:val="0"/>
          <w:color w:val="333333"/>
          <w:sz w:val="22"/>
        </w:rPr>
        <w:t>The 25–34 group accounted for the largest absolute number of departures, with 112 employee exits.</w:t>
      </w:r>
    </w:p>
    <w:p>
      <w:pPr>
        <w:spacing w:after="120" w:line="276" w:lineRule="auto"/>
      </w:pPr>
      <w:r>
        <w:rPr>
          <w:rFonts w:ascii="Calibri" w:hAnsi="Calibri"/>
          <w:b w:val="0"/>
          <w:i w:val="0"/>
          <w:color w:val="333333"/>
          <w:sz w:val="22"/>
        </w:rPr>
        <w:t>These results indicate that younger and early-career employee groups may require additional attention in workforce retention strategies.</w:t>
      </w:r>
    </w:p>
    <w:p>
      <w:pPr>
        <w:spacing w:after="120" w:line="276" w:lineRule="auto"/>
      </w:pPr>
      <w:r>
        <w:rPr>
          <w:rFonts w:ascii="Calibri" w:hAnsi="Calibri"/>
          <w:b w:val="0"/>
          <w:i w:val="0"/>
          <w:color w:val="333333"/>
          <w:sz w:val="22"/>
        </w:rPr>
        <w:t>However, the analysis is descriptive and does not establish that age itself causes employee attrition.</w:t>
      </w:r>
    </w:p>
    <w:p>
      <w:pPr>
        <w:keepNext/>
        <w:spacing w:before="240" w:after="80"/>
      </w:pPr>
      <w:r>
        <w:rPr>
          <w:rFonts w:ascii="Calibri" w:hAnsi="Calibri"/>
          <w:b/>
          <w:color w:val="0096A6"/>
          <w:sz w:val="26"/>
        </w:rPr>
        <w:t>11.5 Overtime and Attrition</w:t>
      </w:r>
    </w:p>
    <w:p>
      <w:pPr>
        <w:spacing w:after="120" w:line="276" w:lineRule="auto"/>
      </w:pPr>
      <w:r>
        <w:rPr>
          <w:rFonts w:ascii="Calibri" w:hAnsi="Calibri"/>
          <w:b w:val="0"/>
          <w:i w:val="0"/>
          <w:color w:val="333333"/>
          <w:sz w:val="22"/>
        </w:rPr>
        <w:t>A substantial difference was observed between employees who worked overtime and those who did not.</w:t>
      </w:r>
    </w:p>
    <w:p>
      <w:pPr>
        <w:spacing w:after="120" w:line="276" w:lineRule="auto"/>
      </w:pPr>
      <w:r>
        <w:rPr>
          <w:rFonts w:ascii="Calibri" w:hAnsi="Calibri"/>
          <w:b/>
          <w:i w:val="0"/>
          <w:color w:val="333333"/>
          <w:sz w:val="22"/>
        </w:rPr>
        <w:t>Employees working overtime:</w:t>
      </w:r>
    </w:p>
    <w:p>
      <w:pPr>
        <w:pStyle w:val="ListBullet"/>
        <w:spacing w:after="60" w:line="276" w:lineRule="auto"/>
      </w:pPr>
      <w:r>
        <w:rPr>
          <w:rFonts w:ascii="Calibri" w:hAnsi="Calibri"/>
          <w:color w:val="333333"/>
          <w:sz w:val="22"/>
        </w:rPr>
        <w:t>416 employees</w:t>
      </w:r>
    </w:p>
    <w:p>
      <w:pPr>
        <w:pStyle w:val="ListBullet"/>
        <w:spacing w:after="60" w:line="276" w:lineRule="auto"/>
      </w:pPr>
      <w:r>
        <w:rPr>
          <w:rFonts w:ascii="Calibri" w:hAnsi="Calibri"/>
          <w:color w:val="333333"/>
          <w:sz w:val="22"/>
        </w:rPr>
        <w:t>127 departures</w:t>
      </w:r>
    </w:p>
    <w:p>
      <w:pPr>
        <w:pStyle w:val="ListBullet"/>
        <w:spacing w:after="60" w:line="276" w:lineRule="auto"/>
      </w:pPr>
      <w:r>
        <w:rPr>
          <w:rFonts w:ascii="Calibri" w:hAnsi="Calibri"/>
          <w:color w:val="333333"/>
          <w:sz w:val="22"/>
        </w:rPr>
        <w:t>30.53% attrition rate</w:t>
      </w:r>
    </w:p>
    <w:p>
      <w:pPr>
        <w:spacing w:after="120" w:line="276" w:lineRule="auto"/>
      </w:pPr>
      <w:r>
        <w:rPr>
          <w:rFonts w:ascii="Calibri" w:hAnsi="Calibri"/>
          <w:b/>
          <w:i w:val="0"/>
          <w:color w:val="333333"/>
          <w:sz w:val="22"/>
        </w:rPr>
        <w:t>Employees not working overtime:</w:t>
      </w:r>
    </w:p>
    <w:p>
      <w:pPr>
        <w:pStyle w:val="ListBullet"/>
        <w:spacing w:after="60" w:line="276" w:lineRule="auto"/>
      </w:pPr>
      <w:r>
        <w:rPr>
          <w:rFonts w:ascii="Calibri" w:hAnsi="Calibri"/>
          <w:color w:val="333333"/>
          <w:sz w:val="22"/>
        </w:rPr>
        <w:t>1,054 employees</w:t>
      </w:r>
    </w:p>
    <w:p>
      <w:pPr>
        <w:pStyle w:val="ListBullet"/>
        <w:spacing w:after="60" w:line="276" w:lineRule="auto"/>
      </w:pPr>
      <w:r>
        <w:rPr>
          <w:rFonts w:ascii="Calibri" w:hAnsi="Calibri"/>
          <w:color w:val="333333"/>
          <w:sz w:val="22"/>
        </w:rPr>
        <w:t>110 departures</w:t>
      </w:r>
    </w:p>
    <w:p>
      <w:pPr>
        <w:pStyle w:val="ListBullet"/>
        <w:spacing w:after="60" w:line="276" w:lineRule="auto"/>
      </w:pPr>
      <w:r>
        <w:rPr>
          <w:rFonts w:ascii="Calibri" w:hAnsi="Calibri"/>
          <w:color w:val="333333"/>
          <w:sz w:val="22"/>
        </w:rPr>
        <w:t>10.44% attrition rate</w:t>
      </w:r>
    </w:p>
    <w:p>
      <w:pPr>
        <w:spacing w:after="120" w:line="276" w:lineRule="auto"/>
      </w:pPr>
      <w:r>
        <w:rPr>
          <w:rFonts w:ascii="Calibri" w:hAnsi="Calibri"/>
          <w:b w:val="0"/>
          <w:i w:val="0"/>
          <w:color w:val="333333"/>
          <w:sz w:val="22"/>
        </w:rPr>
        <w:t>The observed difference suggests that workload intensity and overtime exposure may be important areas for HR investigation.</w:t>
      </w:r>
    </w:p>
    <w:p>
      <w:pPr>
        <w:spacing w:after="120" w:line="276" w:lineRule="auto"/>
      </w:pPr>
      <w:r>
        <w:rPr>
          <w:rFonts w:ascii="Calibri" w:hAnsi="Calibri"/>
          <w:b w:val="0"/>
          <w:i w:val="0"/>
          <w:color w:val="333333"/>
          <w:sz w:val="22"/>
        </w:rPr>
        <w:t>However, this analysis does not establish that overtime directly causes employee departures.</w:t>
      </w:r>
    </w:p>
    <w:p>
      <w:pPr>
        <w:spacing w:after="120" w:line="276" w:lineRule="auto"/>
      </w:pPr>
      <w:r>
        <w:rPr>
          <w:rFonts w:ascii="Calibri" w:hAnsi="Calibri"/>
          <w:b w:val="0"/>
          <w:i w:val="0"/>
          <w:color w:val="333333"/>
          <w:sz w:val="22"/>
        </w:rPr>
        <w:t>Further investigation would be required to understand whether overtime is related to other factors such as job role, compensation, workload, career level, or department.</w:t>
      </w:r>
    </w:p>
    <w:p>
      <w:pPr>
        <w:keepNext/>
        <w:spacing w:before="240" w:after="80"/>
      </w:pPr>
      <w:r>
        <w:rPr>
          <w:rFonts w:ascii="Calibri" w:hAnsi="Calibri"/>
          <w:b/>
          <w:color w:val="0096A6"/>
          <w:sz w:val="26"/>
        </w:rPr>
        <w:t>11.6 Marital Status</w:t>
      </w:r>
    </w:p>
    <w:p>
      <w:pPr>
        <w:spacing w:after="120" w:line="276" w:lineRule="auto"/>
      </w:pPr>
      <w:r>
        <w:rPr>
          <w:rFonts w:ascii="Calibri" w:hAnsi="Calibri"/>
          <w:b w:val="0"/>
          <w:i w:val="0"/>
          <w:color w:val="333333"/>
          <w:sz w:val="22"/>
        </w:rPr>
        <w:t>The analysis also identified differences in observed attrition by marital status.</w:t>
      </w:r>
    </w:p>
    <w:p>
      <w:pPr>
        <w:spacing w:after="120" w:line="276" w:lineRule="auto"/>
      </w:pPr>
      <w:r>
        <w:rPr>
          <w:rFonts w:ascii="Calibri" w:hAnsi="Calibri"/>
          <w:b/>
          <w:i w:val="0"/>
          <w:color w:val="333333"/>
          <w:sz w:val="22"/>
        </w:rPr>
        <w:t>Single employees:</w:t>
      </w:r>
    </w:p>
    <w:p>
      <w:pPr>
        <w:pStyle w:val="ListBullet"/>
        <w:spacing w:after="60" w:line="276" w:lineRule="auto"/>
      </w:pPr>
      <w:r>
        <w:rPr>
          <w:rFonts w:ascii="Calibri" w:hAnsi="Calibri"/>
          <w:color w:val="333333"/>
          <w:sz w:val="22"/>
        </w:rPr>
        <w:t>470 employees</w:t>
      </w:r>
    </w:p>
    <w:p>
      <w:pPr>
        <w:pStyle w:val="ListBullet"/>
        <w:spacing w:after="60" w:line="276" w:lineRule="auto"/>
      </w:pPr>
      <w:r>
        <w:rPr>
          <w:rFonts w:ascii="Calibri" w:hAnsi="Calibri"/>
          <w:color w:val="333333"/>
          <w:sz w:val="22"/>
        </w:rPr>
        <w:t>25.53% attrition</w:t>
      </w:r>
    </w:p>
    <w:p>
      <w:pPr>
        <w:spacing w:after="120" w:line="276" w:lineRule="auto"/>
      </w:pPr>
      <w:r>
        <w:rPr>
          <w:rFonts w:ascii="Calibri" w:hAnsi="Calibri"/>
          <w:b/>
          <w:i w:val="0"/>
          <w:color w:val="333333"/>
          <w:sz w:val="22"/>
        </w:rPr>
        <w:t>Married employees:</w:t>
      </w:r>
    </w:p>
    <w:p>
      <w:pPr>
        <w:pStyle w:val="ListBullet"/>
        <w:spacing w:after="60" w:line="276" w:lineRule="auto"/>
      </w:pPr>
      <w:r>
        <w:rPr>
          <w:rFonts w:ascii="Calibri" w:hAnsi="Calibri"/>
          <w:color w:val="333333"/>
          <w:sz w:val="22"/>
        </w:rPr>
        <w:t>673 employees</w:t>
      </w:r>
    </w:p>
    <w:p>
      <w:pPr>
        <w:pStyle w:val="ListBullet"/>
        <w:spacing w:after="60" w:line="276" w:lineRule="auto"/>
      </w:pPr>
      <w:r>
        <w:rPr>
          <w:rFonts w:ascii="Calibri" w:hAnsi="Calibri"/>
          <w:color w:val="333333"/>
          <w:sz w:val="22"/>
        </w:rPr>
        <w:t>12.48% attrition</w:t>
      </w:r>
    </w:p>
    <w:p>
      <w:pPr>
        <w:spacing w:after="120" w:line="276" w:lineRule="auto"/>
      </w:pPr>
      <w:r>
        <w:rPr>
          <w:rFonts w:ascii="Calibri" w:hAnsi="Calibri"/>
          <w:b/>
          <w:i w:val="0"/>
          <w:color w:val="333333"/>
          <w:sz w:val="22"/>
        </w:rPr>
        <w:t>Divorced employees:</w:t>
      </w:r>
    </w:p>
    <w:p>
      <w:pPr>
        <w:pStyle w:val="ListBullet"/>
        <w:spacing w:after="60" w:line="276" w:lineRule="auto"/>
      </w:pPr>
      <w:r>
        <w:rPr>
          <w:rFonts w:ascii="Calibri" w:hAnsi="Calibri"/>
          <w:color w:val="333333"/>
          <w:sz w:val="22"/>
        </w:rPr>
        <w:t>327 employees</w:t>
      </w:r>
    </w:p>
    <w:p>
      <w:pPr>
        <w:pStyle w:val="ListBullet"/>
        <w:spacing w:after="60" w:line="276" w:lineRule="auto"/>
      </w:pPr>
      <w:r>
        <w:rPr>
          <w:rFonts w:ascii="Calibri" w:hAnsi="Calibri"/>
          <w:color w:val="333333"/>
          <w:sz w:val="22"/>
        </w:rPr>
        <w:t>10.09% attrition</w:t>
      </w:r>
    </w:p>
    <w:p>
      <w:pPr>
        <w:spacing w:after="120" w:line="276" w:lineRule="auto"/>
      </w:pPr>
      <w:r>
        <w:rPr>
          <w:rFonts w:ascii="Calibri" w:hAnsi="Calibri"/>
          <w:b w:val="0"/>
          <w:i w:val="0"/>
          <w:color w:val="333333"/>
          <w:sz w:val="22"/>
        </w:rPr>
        <w:t>The higher observed attrition among single employees suggests that this segment may warrant additional investigation.</w:t>
      </w:r>
    </w:p>
    <w:p>
      <w:pPr>
        <w:spacing w:after="120" w:line="276" w:lineRule="auto"/>
      </w:pPr>
      <w:r>
        <w:rPr>
          <w:rFonts w:ascii="Calibri" w:hAnsi="Calibri"/>
          <w:b w:val="0"/>
          <w:i w:val="0"/>
          <w:color w:val="333333"/>
          <w:sz w:val="22"/>
        </w:rPr>
        <w:t>The result should not be interpreted as evidence that marital status causes attrition.</w:t>
      </w:r>
    </w:p>
    <w:p>
      <w:pPr>
        <w:keepNext/>
        <w:spacing w:before="240" w:after="80"/>
      </w:pPr>
      <w:r>
        <w:rPr>
          <w:rFonts w:ascii="Calibri" w:hAnsi="Calibri"/>
          <w:b/>
          <w:color w:val="0096A6"/>
          <w:sz w:val="26"/>
        </w:rPr>
        <w:t>11.7 Compensation Differences</w:t>
      </w:r>
    </w:p>
    <w:p>
      <w:pPr>
        <w:spacing w:after="120" w:line="276" w:lineRule="auto"/>
      </w:pPr>
      <w:r>
        <w:rPr>
          <w:rFonts w:ascii="Calibri" w:hAnsi="Calibri"/>
          <w:b w:val="0"/>
          <w:i w:val="0"/>
          <w:color w:val="333333"/>
          <w:sz w:val="22"/>
        </w:rPr>
        <w:t>Average monthly income differed between employees who remained with the organization and employees who departed.</w:t>
      </w:r>
    </w:p>
    <w:p>
      <w:pPr>
        <w:spacing w:after="120" w:line="276" w:lineRule="auto"/>
      </w:pPr>
      <w:r>
        <w:rPr>
          <w:rFonts w:ascii="Calibri" w:hAnsi="Calibri"/>
          <w:b/>
          <w:i w:val="0"/>
          <w:color w:val="333333"/>
          <w:sz w:val="22"/>
        </w:rPr>
        <w:t>Retained employees:</w:t>
      </w:r>
    </w:p>
    <w:p>
      <w:pPr>
        <w:pStyle w:val="ListBullet"/>
        <w:spacing w:after="60" w:line="276" w:lineRule="auto"/>
      </w:pPr>
      <w:r>
        <w:rPr>
          <w:rFonts w:ascii="Calibri" w:hAnsi="Calibri"/>
          <w:color w:val="333333"/>
          <w:sz w:val="22"/>
        </w:rPr>
        <w:t>Average monthly income: approximately $6,832.74</w:t>
      </w:r>
    </w:p>
    <w:p>
      <w:pPr>
        <w:spacing w:after="120" w:line="276" w:lineRule="auto"/>
      </w:pPr>
      <w:r>
        <w:rPr>
          <w:rFonts w:ascii="Calibri" w:hAnsi="Calibri"/>
          <w:b/>
          <w:i w:val="0"/>
          <w:color w:val="333333"/>
          <w:sz w:val="22"/>
        </w:rPr>
        <w:t>Departed employees:</w:t>
      </w:r>
    </w:p>
    <w:p>
      <w:pPr>
        <w:pStyle w:val="ListBullet"/>
        <w:spacing w:after="60" w:line="276" w:lineRule="auto"/>
      </w:pPr>
      <w:r>
        <w:rPr>
          <w:rFonts w:ascii="Calibri" w:hAnsi="Calibri"/>
          <w:color w:val="333333"/>
          <w:sz w:val="22"/>
        </w:rPr>
        <w:t>Average monthly income: approximately $4,787.09</w:t>
      </w:r>
    </w:p>
    <w:p>
      <w:pPr>
        <w:spacing w:after="120" w:line="276" w:lineRule="auto"/>
      </w:pPr>
      <w:r>
        <w:rPr>
          <w:rFonts w:ascii="Calibri" w:hAnsi="Calibri"/>
          <w:b w:val="0"/>
          <w:i w:val="0"/>
          <w:color w:val="333333"/>
          <w:sz w:val="22"/>
        </w:rPr>
        <w:t>The difference was approximately $2,045.65 per month, representing roughly 30% lower average monthly income among departed employees.</w:t>
      </w:r>
    </w:p>
    <w:p>
      <w:pPr>
        <w:spacing w:after="120" w:line="276" w:lineRule="auto"/>
      </w:pPr>
      <w:r>
        <w:rPr>
          <w:rFonts w:ascii="Calibri" w:hAnsi="Calibri"/>
          <w:b w:val="0"/>
          <w:i w:val="0"/>
          <w:color w:val="333333"/>
          <w:sz w:val="22"/>
        </w:rPr>
        <w:t>This pattern suggests that compensation may be an important area for further investigation, particularly within high-attrition entry-level and operational roles.</w:t>
      </w:r>
    </w:p>
    <w:p>
      <w:pPr>
        <w:spacing w:after="120" w:line="276" w:lineRule="auto"/>
      </w:pPr>
      <w:r>
        <w:rPr>
          <w:rFonts w:ascii="Calibri" w:hAnsi="Calibri"/>
          <w:b w:val="0"/>
          <w:i w:val="0"/>
          <w:color w:val="333333"/>
          <w:sz w:val="22"/>
        </w:rPr>
        <w:t>However, the analysis does not establish that lower income directly caused employee departures.</w:t>
      </w:r>
    </w:p>
    <w:p>
      <w:pPr>
        <w:keepNext/>
        <w:spacing w:before="240" w:after="80"/>
      </w:pPr>
      <w:r>
        <w:rPr>
          <w:rFonts w:ascii="Calibri" w:hAnsi="Calibri"/>
          <w:b/>
          <w:color w:val="0096A6"/>
          <w:sz w:val="26"/>
        </w:rPr>
        <w:t>11.8 Job Satisfaction and Engagement</w:t>
      </w:r>
    </w:p>
    <w:p>
      <w:pPr>
        <w:spacing w:after="120" w:line="276" w:lineRule="auto"/>
      </w:pPr>
      <w:r>
        <w:rPr>
          <w:rFonts w:ascii="Calibri" w:hAnsi="Calibri"/>
          <w:b w:val="0"/>
          <w:i w:val="0"/>
          <w:color w:val="333333"/>
          <w:sz w:val="22"/>
        </w:rPr>
        <w:t>The analysis compared satisfaction measures between retained and departed employees.</w:t>
      </w:r>
    </w:p>
    <w:p>
      <w:pPr>
        <w:spacing w:after="120" w:line="276" w:lineRule="auto"/>
      </w:pPr>
      <w:r>
        <w:rPr>
          <w:rFonts w:ascii="Calibri" w:hAnsi="Calibri"/>
          <w:b w:val="0"/>
          <w:i w:val="0"/>
          <w:color w:val="333333"/>
          <w:sz w:val="22"/>
        </w:rPr>
        <w:t>Observed average scores included:</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shd w:fill="1B365D"/>
            <w:tcMar>
              <w:top w:w="120" w:type="dxa"/>
              <w:bottom w:w="120" w:type="dxa"/>
              <w:left w:w="150" w:type="dxa"/>
              <w:right w:w="150" w:type="dxa"/>
            </w:tcMar>
          </w:tcPr>
          <w:p>
            <w:pPr>
              <w:spacing w:after="0"/>
            </w:pPr>
            <w:r>
              <w:rPr>
                <w:b/>
                <w:color w:val="FFFFFF"/>
              </w:rPr>
              <w:t>Measure</w:t>
            </w:r>
          </w:p>
        </w:tc>
        <w:tc>
          <w:tcPr>
            <w:tcW w:type="dxa" w:w="3120"/>
            <w:shd w:fill="1B365D"/>
            <w:tcMar>
              <w:top w:w="120" w:type="dxa"/>
              <w:bottom w:w="120" w:type="dxa"/>
              <w:left w:w="150" w:type="dxa"/>
              <w:right w:w="150" w:type="dxa"/>
            </w:tcMar>
          </w:tcPr>
          <w:p>
            <w:pPr>
              <w:spacing w:after="0"/>
            </w:pPr>
            <w:r>
              <w:rPr>
                <w:b/>
                <w:color w:val="FFFFFF"/>
              </w:rPr>
              <w:t>Retained</w:t>
            </w:r>
          </w:p>
        </w:tc>
        <w:tc>
          <w:tcPr>
            <w:tcW w:type="dxa" w:w="3120"/>
            <w:shd w:fill="1B365D"/>
            <w:tcMar>
              <w:top w:w="120" w:type="dxa"/>
              <w:bottom w:w="120" w:type="dxa"/>
              <w:left w:w="150" w:type="dxa"/>
              <w:right w:w="150" w:type="dxa"/>
            </w:tcMar>
          </w:tcPr>
          <w:p>
            <w:pPr>
              <w:spacing w:after="0"/>
            </w:pPr>
            <w:r>
              <w:rPr>
                <w:b/>
                <w:color w:val="FFFFFF"/>
              </w:rPr>
              <w:t>Departed</w:t>
            </w:r>
          </w:p>
        </w:tc>
      </w:tr>
      <w:tr>
        <w:tc>
          <w:tcPr>
            <w:tcW w:type="dxa" w:w="3120"/>
            <w:shd w:fill="F9FAFB"/>
            <w:tcMar>
              <w:top w:w="100" w:type="dxa"/>
              <w:bottom w:w="100" w:type="dxa"/>
              <w:left w:w="150" w:type="dxa"/>
              <w:right w:w="150" w:type="dxa"/>
            </w:tcMar>
          </w:tcPr>
          <w:p>
            <w:pPr>
              <w:spacing w:after="0"/>
            </w:pPr>
            <w:r>
              <w:rPr>
                <w:color w:val="333333"/>
              </w:rPr>
              <w:t>Environment Satisfaction</w:t>
            </w:r>
          </w:p>
        </w:tc>
        <w:tc>
          <w:tcPr>
            <w:tcW w:type="dxa" w:w="3120"/>
            <w:shd w:fill="F9FAFB"/>
            <w:tcMar>
              <w:top w:w="100" w:type="dxa"/>
              <w:bottom w:w="100" w:type="dxa"/>
              <w:left w:w="150" w:type="dxa"/>
              <w:right w:w="150" w:type="dxa"/>
            </w:tcMar>
          </w:tcPr>
          <w:p>
            <w:pPr>
              <w:spacing w:after="0"/>
            </w:pPr>
            <w:r>
              <w:rPr>
                <w:color w:val="333333"/>
              </w:rPr>
              <w:t>2.77</w:t>
            </w:r>
          </w:p>
        </w:tc>
        <w:tc>
          <w:tcPr>
            <w:tcW w:type="dxa" w:w="3120"/>
            <w:shd w:fill="F9FAFB"/>
            <w:tcMar>
              <w:top w:w="100" w:type="dxa"/>
              <w:bottom w:w="100" w:type="dxa"/>
              <w:left w:w="150" w:type="dxa"/>
              <w:right w:w="150" w:type="dxa"/>
            </w:tcMar>
          </w:tcPr>
          <w:p>
            <w:pPr>
              <w:spacing w:after="0"/>
            </w:pPr>
            <w:r>
              <w:rPr>
                <w:color w:val="333333"/>
              </w:rPr>
              <w:t>2.46</w:t>
            </w:r>
          </w:p>
        </w:tc>
      </w:tr>
      <w:tr>
        <w:tc>
          <w:tcPr>
            <w:tcW w:type="dxa" w:w="3120"/>
            <w:shd w:fill="FFFFFF"/>
            <w:tcMar>
              <w:top w:w="100" w:type="dxa"/>
              <w:bottom w:w="100" w:type="dxa"/>
              <w:left w:w="150" w:type="dxa"/>
              <w:right w:w="150" w:type="dxa"/>
            </w:tcMar>
          </w:tcPr>
          <w:p>
            <w:pPr>
              <w:spacing w:after="0"/>
            </w:pPr>
            <w:r>
              <w:rPr>
                <w:color w:val="333333"/>
              </w:rPr>
              <w:t>Job Satisfaction</w:t>
            </w:r>
          </w:p>
        </w:tc>
        <w:tc>
          <w:tcPr>
            <w:tcW w:type="dxa" w:w="3120"/>
            <w:shd w:fill="FFFFFF"/>
            <w:tcMar>
              <w:top w:w="100" w:type="dxa"/>
              <w:bottom w:w="100" w:type="dxa"/>
              <w:left w:w="150" w:type="dxa"/>
              <w:right w:w="150" w:type="dxa"/>
            </w:tcMar>
          </w:tcPr>
          <w:p>
            <w:pPr>
              <w:spacing w:after="0"/>
            </w:pPr>
            <w:r>
              <w:rPr>
                <w:color w:val="333333"/>
              </w:rPr>
              <w:t>2.78</w:t>
            </w:r>
          </w:p>
        </w:tc>
        <w:tc>
          <w:tcPr>
            <w:tcW w:type="dxa" w:w="3120"/>
            <w:shd w:fill="FFFFFF"/>
            <w:tcMar>
              <w:top w:w="100" w:type="dxa"/>
              <w:bottom w:w="100" w:type="dxa"/>
              <w:left w:w="150" w:type="dxa"/>
              <w:right w:w="150" w:type="dxa"/>
            </w:tcMar>
          </w:tcPr>
          <w:p>
            <w:pPr>
              <w:spacing w:after="0"/>
            </w:pPr>
            <w:r>
              <w:rPr>
                <w:color w:val="333333"/>
              </w:rPr>
              <w:t>2.47</w:t>
            </w:r>
          </w:p>
        </w:tc>
      </w:tr>
      <w:tr>
        <w:tc>
          <w:tcPr>
            <w:tcW w:type="dxa" w:w="3120"/>
            <w:shd w:fill="F9FAFB"/>
            <w:tcMar>
              <w:top w:w="100" w:type="dxa"/>
              <w:bottom w:w="100" w:type="dxa"/>
              <w:left w:w="150" w:type="dxa"/>
              <w:right w:w="150" w:type="dxa"/>
            </w:tcMar>
          </w:tcPr>
          <w:p>
            <w:pPr>
              <w:spacing w:after="0"/>
            </w:pPr>
            <w:r>
              <w:rPr>
                <w:color w:val="333333"/>
              </w:rPr>
              <w:t>Job Involvement</w:t>
            </w:r>
          </w:p>
        </w:tc>
        <w:tc>
          <w:tcPr>
            <w:tcW w:type="dxa" w:w="3120"/>
            <w:shd w:fill="F9FAFB"/>
            <w:tcMar>
              <w:top w:w="100" w:type="dxa"/>
              <w:bottom w:w="100" w:type="dxa"/>
              <w:left w:w="150" w:type="dxa"/>
              <w:right w:w="150" w:type="dxa"/>
            </w:tcMar>
          </w:tcPr>
          <w:p>
            <w:pPr>
              <w:spacing w:after="0"/>
            </w:pPr>
            <w:r>
              <w:rPr>
                <w:color w:val="333333"/>
              </w:rPr>
              <w:t>2.77</w:t>
            </w:r>
          </w:p>
        </w:tc>
        <w:tc>
          <w:tcPr>
            <w:tcW w:type="dxa" w:w="3120"/>
            <w:shd w:fill="F9FAFB"/>
            <w:tcMar>
              <w:top w:w="100" w:type="dxa"/>
              <w:bottom w:w="100" w:type="dxa"/>
              <w:left w:w="150" w:type="dxa"/>
              <w:right w:w="150" w:type="dxa"/>
            </w:tcMar>
          </w:tcPr>
          <w:p>
            <w:pPr>
              <w:spacing w:after="0"/>
            </w:pPr>
            <w:r>
              <w:rPr>
                <w:color w:val="333333"/>
              </w:rPr>
              <w:t>2.52</w:t>
            </w:r>
          </w:p>
        </w:tc>
      </w:tr>
      <w:tr>
        <w:tc>
          <w:tcPr>
            <w:tcW w:type="dxa" w:w="3120"/>
            <w:shd w:fill="FFFFFF"/>
            <w:tcMar>
              <w:top w:w="100" w:type="dxa"/>
              <w:bottom w:w="100" w:type="dxa"/>
              <w:left w:w="150" w:type="dxa"/>
              <w:right w:w="150" w:type="dxa"/>
            </w:tcMar>
          </w:tcPr>
          <w:p>
            <w:pPr>
              <w:spacing w:after="0"/>
            </w:pPr>
            <w:r>
              <w:rPr>
                <w:color w:val="333333"/>
              </w:rPr>
              <w:t>Work-Life Balance</w:t>
            </w:r>
          </w:p>
        </w:tc>
        <w:tc>
          <w:tcPr>
            <w:tcW w:type="dxa" w:w="3120"/>
            <w:shd w:fill="FFFFFF"/>
            <w:tcMar>
              <w:top w:w="100" w:type="dxa"/>
              <w:bottom w:w="100" w:type="dxa"/>
              <w:left w:w="150" w:type="dxa"/>
              <w:right w:w="150" w:type="dxa"/>
            </w:tcMar>
          </w:tcPr>
          <w:p>
            <w:pPr>
              <w:spacing w:after="0"/>
            </w:pPr>
            <w:r>
              <w:rPr>
                <w:color w:val="333333"/>
              </w:rPr>
              <w:t>2.78</w:t>
            </w:r>
          </w:p>
        </w:tc>
        <w:tc>
          <w:tcPr>
            <w:tcW w:type="dxa" w:w="3120"/>
            <w:shd w:fill="FFFFFF"/>
            <w:tcMar>
              <w:top w:w="100" w:type="dxa"/>
              <w:bottom w:w="100" w:type="dxa"/>
              <w:left w:w="150" w:type="dxa"/>
              <w:right w:w="150" w:type="dxa"/>
            </w:tcMar>
          </w:tcPr>
          <w:p>
            <w:pPr>
              <w:spacing w:after="0"/>
            </w:pPr>
            <w:r>
              <w:rPr>
                <w:color w:val="333333"/>
              </w:rPr>
              <w:t>2.66</w:t>
            </w:r>
          </w:p>
        </w:tc>
      </w:tr>
    </w:tbl>
    <w:p>
      <w:pPr>
        <w:spacing w:after="120"/>
      </w:pPr>
    </w:p>
    <w:p>
      <w:pPr>
        <w:spacing w:after="120" w:line="276" w:lineRule="auto"/>
      </w:pPr>
      <w:r>
        <w:rPr>
          <w:rFonts w:ascii="Calibri" w:hAnsi="Calibri"/>
          <w:b w:val="0"/>
          <w:i w:val="0"/>
          <w:color w:val="333333"/>
          <w:sz w:val="22"/>
        </w:rPr>
        <w:t>Across these measures, employees who remained with the organization recorded higher average scores than employees who departed.</w:t>
      </w:r>
    </w:p>
    <w:p>
      <w:pPr>
        <w:spacing w:after="120" w:line="276" w:lineRule="auto"/>
      </w:pPr>
      <w:r>
        <w:rPr>
          <w:rFonts w:ascii="Calibri" w:hAnsi="Calibri"/>
          <w:b w:val="0"/>
          <w:i w:val="0"/>
          <w:color w:val="333333"/>
          <w:sz w:val="22"/>
        </w:rPr>
        <w:t>The pattern suggests that employee engagement and satisfaction may be useful areas for further retention analysis.</w:t>
      </w:r>
    </w:p>
    <w:p>
      <w:pPr>
        <w:spacing w:after="120" w:line="276" w:lineRule="auto"/>
      </w:pPr>
      <w:r>
        <w:rPr>
          <w:rFonts w:ascii="Calibri" w:hAnsi="Calibri"/>
          <w:b w:val="0"/>
          <w:i w:val="0"/>
          <w:color w:val="333333"/>
          <w:sz w:val="22"/>
        </w:rPr>
        <w:t>However, these results are observational and do not demonstrate that satisfaction scores independently predict or cause attrition.</w:t>
      </w:r>
    </w:p>
    <w:p>
      <w:pPr>
        <w:keepNext/>
        <w:spacing w:before="240" w:after="80"/>
      </w:pPr>
      <w:r>
        <w:rPr>
          <w:rFonts w:ascii="Calibri" w:hAnsi="Calibri"/>
          <w:b/>
          <w:color w:val="0096A6"/>
          <w:sz w:val="26"/>
        </w:rPr>
        <w:t>11.9 Business Travel</w:t>
      </w:r>
    </w:p>
    <w:p>
      <w:pPr>
        <w:spacing w:after="120" w:line="276" w:lineRule="auto"/>
      </w:pPr>
      <w:r>
        <w:rPr>
          <w:rFonts w:ascii="Calibri" w:hAnsi="Calibri"/>
          <w:b w:val="0"/>
          <w:i w:val="0"/>
          <w:color w:val="333333"/>
          <w:sz w:val="22"/>
        </w:rPr>
        <w:t>Observed attrition also varied according to business travel frequency.</w:t>
      </w:r>
    </w:p>
    <w:p>
      <w:pPr>
        <w:spacing w:after="120" w:line="276" w:lineRule="auto"/>
      </w:pPr>
      <w:r>
        <w:rPr>
          <w:rFonts w:ascii="Calibri" w:hAnsi="Calibri"/>
          <w:b w:val="0"/>
          <w:i w:val="0"/>
          <w:color w:val="333333"/>
          <w:sz w:val="22"/>
        </w:rPr>
        <w:t>Frequent travelers recorded an observed attrition rate of approximately 24.91%.</w:t>
      </w:r>
    </w:p>
    <w:p>
      <w:pPr>
        <w:spacing w:after="120" w:line="276" w:lineRule="auto"/>
      </w:pPr>
      <w:r>
        <w:rPr>
          <w:rFonts w:ascii="Calibri" w:hAnsi="Calibri"/>
          <w:b w:val="0"/>
          <w:i w:val="0"/>
          <w:color w:val="333333"/>
          <w:sz w:val="22"/>
        </w:rPr>
        <w:t>Rare travelers recorded approximately 14.96%.</w:t>
      </w:r>
    </w:p>
    <w:p>
      <w:pPr>
        <w:spacing w:after="120" w:line="276" w:lineRule="auto"/>
      </w:pPr>
      <w:r>
        <w:rPr>
          <w:rFonts w:ascii="Calibri" w:hAnsi="Calibri"/>
          <w:b w:val="0"/>
          <w:i w:val="0"/>
          <w:color w:val="333333"/>
          <w:sz w:val="22"/>
        </w:rPr>
        <w:t>Non-travelers recorded approximately 8.00%.</w:t>
      </w:r>
    </w:p>
    <w:p>
      <w:pPr>
        <w:spacing w:after="120" w:line="276" w:lineRule="auto"/>
      </w:pPr>
      <w:r>
        <w:rPr>
          <w:rFonts w:ascii="Calibri" w:hAnsi="Calibri"/>
          <w:b w:val="0"/>
          <w:i w:val="0"/>
          <w:color w:val="333333"/>
          <w:sz w:val="22"/>
        </w:rPr>
        <w:t>This pattern suggests that employee mobility and travel requirements may be relevant factors for HR investigation.</w:t>
      </w:r>
    </w:p>
    <w:p>
      <w:pPr>
        <w:spacing w:after="120" w:line="276" w:lineRule="auto"/>
      </w:pPr>
      <w:r>
        <w:rPr>
          <w:rFonts w:ascii="Calibri" w:hAnsi="Calibri"/>
          <w:b w:val="0"/>
          <w:i w:val="0"/>
          <w:color w:val="333333"/>
          <w:sz w:val="22"/>
        </w:rPr>
        <w:t>Further analysis would be necessary to determine whether travel itself contributes to attrition or whether travel frequency is associated with other job characteristics.</w:t>
      </w:r>
    </w:p>
    <w:p>
      <w:pPr>
        <w:keepNext/>
        <w:spacing w:before="360" w:after="120"/>
      </w:pPr>
      <w:r>
        <w:rPr>
          <w:rFonts w:ascii="Calibri" w:hAnsi="Calibri"/>
          <w:b/>
          <w:color w:val="1B365D"/>
          <w:sz w:val="32"/>
        </w:rPr>
        <w:t>12. Department and Segment Deep-Dive Analysis</w:t>
      </w:r>
    </w:p>
    <w:p>
      <w:pPr>
        <w:spacing w:after="120" w:line="276" w:lineRule="auto"/>
      </w:pPr>
      <w:r>
        <w:rPr>
          <w:rFonts w:ascii="Calibri" w:hAnsi="Calibri"/>
          <w:b w:val="0"/>
          <w:i w:val="0"/>
          <w:color w:val="333333"/>
          <w:sz w:val="22"/>
        </w:rPr>
        <w:t>The dashboard-based analysis provided additional segment-level observations.</w:t>
      </w:r>
    </w:p>
    <w:p>
      <w:pPr>
        <w:keepNext/>
        <w:spacing w:before="240" w:after="80"/>
      </w:pPr>
      <w:r>
        <w:rPr>
          <w:rFonts w:ascii="Calibri" w:hAnsi="Calibri"/>
          <w:b/>
          <w:color w:val="0096A6"/>
          <w:sz w:val="26"/>
        </w:rPr>
        <w:t>12.1 Sales Department</w:t>
      </w:r>
    </w:p>
    <w:p>
      <w:pPr>
        <w:spacing w:after="120" w:line="276" w:lineRule="auto"/>
      </w:pPr>
      <w:r>
        <w:rPr>
          <w:rFonts w:ascii="Calibri" w:hAnsi="Calibri"/>
          <w:b w:val="0"/>
          <w:i w:val="0"/>
          <w:color w:val="333333"/>
          <w:sz w:val="22"/>
        </w:rPr>
        <w:t>Sales represented the department with the highest observed attrition rate.</w:t>
      </w:r>
    </w:p>
    <w:p>
      <w:pPr>
        <w:spacing w:after="120" w:line="276" w:lineRule="auto"/>
      </w:pPr>
      <w:r>
        <w:rPr>
          <w:rFonts w:ascii="Calibri" w:hAnsi="Calibri"/>
          <w:b w:val="0"/>
          <w:i w:val="0"/>
          <w:color w:val="333333"/>
          <w:sz w:val="22"/>
        </w:rPr>
        <w:t>The analysis highlighted particularly high attrition among Sales Representatives.</w:t>
      </w:r>
    </w:p>
    <w:p>
      <w:pPr>
        <w:spacing w:after="120" w:line="276" w:lineRule="auto"/>
      </w:pPr>
      <w:r>
        <w:rPr>
          <w:rFonts w:ascii="Calibri" w:hAnsi="Calibri"/>
          <w:b w:val="0"/>
          <w:i w:val="0"/>
          <w:color w:val="333333"/>
          <w:sz w:val="22"/>
        </w:rPr>
        <w:t>Sales Representatives recorded an observed attrition rate of approximately 39.76%.</w:t>
      </w:r>
    </w:p>
    <w:p>
      <w:pPr>
        <w:spacing w:after="120" w:line="276" w:lineRule="auto"/>
      </w:pPr>
      <w:r>
        <w:rPr>
          <w:rFonts w:ascii="Calibri" w:hAnsi="Calibri"/>
          <w:b w:val="0"/>
          <w:i w:val="0"/>
          <w:color w:val="333333"/>
          <w:sz w:val="22"/>
        </w:rPr>
        <w:t>The Sales department also showed elevated attrition among younger employees and employees with certain educational backgrounds.</w:t>
      </w:r>
    </w:p>
    <w:p>
      <w:pPr>
        <w:spacing w:after="120" w:line="276" w:lineRule="auto"/>
      </w:pPr>
      <w:r>
        <w:rPr>
          <w:rFonts w:ascii="Calibri" w:hAnsi="Calibri"/>
          <w:b w:val="0"/>
          <w:i w:val="0"/>
          <w:color w:val="333333"/>
          <w:sz w:val="22"/>
        </w:rPr>
        <w:t>The combination of high turnover and relatively lower average compensation in some sales-oriented roles suggests that compensation competitiveness, workload, career progression, and employee engagement may warrant further investigation.</w:t>
      </w:r>
    </w:p>
    <w:p>
      <w:pPr>
        <w:keepNext/>
        <w:spacing w:before="240" w:after="80"/>
      </w:pPr>
      <w:r>
        <w:rPr>
          <w:rFonts w:ascii="Calibri" w:hAnsi="Calibri"/>
          <w:b/>
          <w:color w:val="0096A6"/>
          <w:sz w:val="26"/>
        </w:rPr>
        <w:t>12.2 Research &amp; Development</w:t>
      </w:r>
    </w:p>
    <w:p>
      <w:pPr>
        <w:spacing w:after="120" w:line="276" w:lineRule="auto"/>
      </w:pPr>
      <w:r>
        <w:rPr>
          <w:rFonts w:ascii="Calibri" w:hAnsi="Calibri"/>
          <w:b w:val="0"/>
          <w:i w:val="0"/>
          <w:color w:val="333333"/>
          <w:sz w:val="22"/>
        </w:rPr>
        <w:t>Research &amp; Development had the largest workforce and therefore accounted for the largest absolute number of departures.</w:t>
      </w:r>
    </w:p>
    <w:p>
      <w:pPr>
        <w:spacing w:after="120" w:line="276" w:lineRule="auto"/>
      </w:pPr>
      <w:r>
        <w:rPr>
          <w:rFonts w:ascii="Calibri" w:hAnsi="Calibri"/>
          <w:b w:val="0"/>
          <w:i w:val="0"/>
          <w:color w:val="333333"/>
          <w:sz w:val="22"/>
        </w:rPr>
        <w:t>However, its observed attrition rate was lower than that of Sales and Human Resources.</w:t>
      </w:r>
    </w:p>
    <w:p>
      <w:pPr>
        <w:spacing w:after="120" w:line="276" w:lineRule="auto"/>
      </w:pPr>
      <w:r>
        <w:rPr>
          <w:rFonts w:ascii="Calibri" w:hAnsi="Calibri"/>
          <w:b w:val="0"/>
          <w:i w:val="0"/>
          <w:color w:val="333333"/>
          <w:sz w:val="22"/>
        </w:rPr>
        <w:t>The analysis also identified differences across educational backgrounds and job roles within R&amp;D.</w:t>
      </w:r>
    </w:p>
    <w:p>
      <w:pPr>
        <w:spacing w:after="120" w:line="276" w:lineRule="auto"/>
      </w:pPr>
      <w:r>
        <w:rPr>
          <w:rFonts w:ascii="Calibri" w:hAnsi="Calibri"/>
          <w:b w:val="0"/>
          <w:i w:val="0"/>
          <w:color w:val="333333"/>
          <w:sz w:val="22"/>
        </w:rPr>
        <w:t>Technical Degree holders showed elevated observed attrition in several dashboard segments and comparatively lower job satisfaction scores in some filtered views.</w:t>
      </w:r>
    </w:p>
    <w:p>
      <w:pPr>
        <w:spacing w:after="120" w:line="276" w:lineRule="auto"/>
      </w:pPr>
      <w:r>
        <w:rPr>
          <w:rFonts w:ascii="Calibri" w:hAnsi="Calibri"/>
          <w:b w:val="0"/>
          <w:i w:val="0"/>
          <w:color w:val="333333"/>
          <w:sz w:val="22"/>
        </w:rPr>
        <w:t>These observations may suggest a potential need to examine role alignment and career expectations among specific employee groups.</w:t>
      </w:r>
    </w:p>
    <w:p>
      <w:pPr>
        <w:keepNext/>
        <w:spacing w:before="240" w:after="80"/>
      </w:pPr>
      <w:r>
        <w:rPr>
          <w:rFonts w:ascii="Calibri" w:hAnsi="Calibri"/>
          <w:b/>
          <w:color w:val="0096A6"/>
          <w:sz w:val="26"/>
        </w:rPr>
        <w:t>12.3 Human Resources</w:t>
      </w:r>
    </w:p>
    <w:p>
      <w:pPr>
        <w:spacing w:after="120" w:line="276" w:lineRule="auto"/>
      </w:pPr>
      <w:r>
        <w:rPr>
          <w:rFonts w:ascii="Calibri" w:hAnsi="Calibri"/>
          <w:b w:val="0"/>
          <w:i w:val="0"/>
          <w:color w:val="333333"/>
          <w:sz w:val="22"/>
        </w:rPr>
        <w:t>The Human Resources department was relatively small compared with Sales and Research &amp; Development.</w:t>
      </w:r>
    </w:p>
    <w:p>
      <w:pPr>
        <w:spacing w:after="120" w:line="276" w:lineRule="auto"/>
      </w:pPr>
      <w:r>
        <w:rPr>
          <w:rFonts w:ascii="Calibri" w:hAnsi="Calibri"/>
          <w:b w:val="0"/>
          <w:i w:val="0"/>
          <w:color w:val="333333"/>
          <w:sz w:val="22"/>
        </w:rPr>
        <w:t>Despite its smaller size, the department showed an elevated observed attrition rate.</w:t>
      </w:r>
    </w:p>
    <w:p>
      <w:pPr>
        <w:spacing w:after="120" w:line="276" w:lineRule="auto"/>
      </w:pPr>
      <w:r>
        <w:rPr>
          <w:rFonts w:ascii="Calibri" w:hAnsi="Calibri"/>
          <w:b w:val="0"/>
          <w:i w:val="0"/>
          <w:color w:val="333333"/>
          <w:sz w:val="22"/>
        </w:rPr>
        <w:t>The analysis of dashboard segments also indicated variation by gender and educational background.</w:t>
      </w:r>
    </w:p>
    <w:p>
      <w:pPr>
        <w:spacing w:after="120" w:line="276" w:lineRule="auto"/>
      </w:pPr>
      <w:r>
        <w:rPr>
          <w:rFonts w:ascii="Calibri" w:hAnsi="Calibri"/>
          <w:b w:val="0"/>
          <w:i w:val="0"/>
          <w:color w:val="333333"/>
          <w:sz w:val="22"/>
        </w:rPr>
        <w:t>Because the department is responsible for supporting workforce management and organizational culture, its internal retention patterns may deserve additional attention.</w:t>
      </w:r>
    </w:p>
    <w:p>
      <w:pPr>
        <w:spacing w:after="120" w:line="276" w:lineRule="auto"/>
      </w:pPr>
      <w:r>
        <w:rPr>
          <w:rFonts w:ascii="Calibri" w:hAnsi="Calibri"/>
          <w:b w:val="0"/>
          <w:i w:val="0"/>
          <w:color w:val="333333"/>
          <w:sz w:val="22"/>
        </w:rPr>
        <w:t>However, small subgroup sizes should be considered when interpreting highly variable percentages.</w:t>
      </w:r>
    </w:p>
    <w:p>
      <w:pPr>
        <w:keepNext/>
        <w:spacing w:before="360" w:after="120"/>
      </w:pPr>
      <w:r>
        <w:rPr>
          <w:rFonts w:ascii="Calibri" w:hAnsi="Calibri"/>
          <w:b/>
          <w:color w:val="1B365D"/>
          <w:sz w:val="32"/>
        </w:rPr>
        <w:t>13. Quality Assurance and Validation</w:t>
      </w:r>
    </w:p>
    <w:p>
      <w:pPr>
        <w:spacing w:after="120" w:line="276" w:lineRule="auto"/>
      </w:pPr>
      <w:r>
        <w:rPr>
          <w:rFonts w:ascii="Calibri" w:hAnsi="Calibri"/>
          <w:b w:val="0"/>
          <w:i w:val="0"/>
          <w:color w:val="333333"/>
          <w:sz w:val="22"/>
        </w:rPr>
        <w:t>Quality assurance was an important component of the project.</w:t>
      </w:r>
    </w:p>
    <w:p>
      <w:pPr>
        <w:spacing w:after="120" w:line="276" w:lineRule="auto"/>
      </w:pPr>
      <w:r>
        <w:rPr>
          <w:rFonts w:ascii="Calibri" w:hAnsi="Calibri"/>
          <w:b w:val="0"/>
          <w:i w:val="0"/>
          <w:color w:val="333333"/>
          <w:sz w:val="22"/>
        </w:rPr>
        <w:t>The objective was to ensure that key dashboard metrics were consistent with analytical calculations derived from SQL.</w:t>
      </w:r>
    </w:p>
    <w:p>
      <w:pPr>
        <w:spacing w:after="120" w:line="276" w:lineRule="auto"/>
      </w:pPr>
      <w:r>
        <w:rPr>
          <w:rFonts w:ascii="Calibri" w:hAnsi="Calibri"/>
          <w:b w:val="0"/>
          <w:i w:val="0"/>
          <w:color w:val="333333"/>
          <w:sz w:val="22"/>
        </w:rPr>
        <w:t>The validation process covered 11 analytical test areas:</w:t>
      </w:r>
    </w:p>
    <w:p>
      <w:pPr>
        <w:pStyle w:val="ListBullet"/>
        <w:spacing w:after="60" w:line="276" w:lineRule="auto"/>
      </w:pPr>
      <w:r>
        <w:rPr>
          <w:rFonts w:ascii="Calibri" w:hAnsi="Calibri"/>
          <w:color w:val="333333"/>
          <w:sz w:val="22"/>
        </w:rPr>
        <w:t>Employee Count</w:t>
      </w:r>
    </w:p>
    <w:p>
      <w:pPr>
        <w:pStyle w:val="ListBullet"/>
        <w:spacing w:after="60" w:line="276" w:lineRule="auto"/>
      </w:pPr>
      <w:r>
        <w:rPr>
          <w:rFonts w:ascii="Calibri" w:hAnsi="Calibri"/>
          <w:color w:val="333333"/>
          <w:sz w:val="22"/>
        </w:rPr>
        <w:t>Attrition Count</w:t>
      </w:r>
    </w:p>
    <w:p>
      <w:pPr>
        <w:pStyle w:val="ListBullet"/>
        <w:spacing w:after="60" w:line="276" w:lineRule="auto"/>
      </w:pPr>
      <w:r>
        <w:rPr>
          <w:rFonts w:ascii="Calibri" w:hAnsi="Calibri"/>
          <w:color w:val="333333"/>
          <w:sz w:val="22"/>
        </w:rPr>
        <w:t>Attrition Rate</w:t>
      </w:r>
    </w:p>
    <w:p>
      <w:pPr>
        <w:pStyle w:val="ListBullet"/>
        <w:spacing w:after="60" w:line="276" w:lineRule="auto"/>
      </w:pPr>
      <w:r>
        <w:rPr>
          <w:rFonts w:ascii="Calibri" w:hAnsi="Calibri"/>
          <w:color w:val="333333"/>
          <w:sz w:val="22"/>
        </w:rPr>
        <w:t>Active Employee Count</w:t>
      </w:r>
    </w:p>
    <w:p>
      <w:pPr>
        <w:pStyle w:val="ListBullet"/>
        <w:spacing w:after="60" w:line="276" w:lineRule="auto"/>
      </w:pPr>
      <w:r>
        <w:rPr>
          <w:rFonts w:ascii="Calibri" w:hAnsi="Calibri"/>
          <w:color w:val="333333"/>
          <w:sz w:val="22"/>
        </w:rPr>
        <w:t>Average Age</w:t>
      </w:r>
    </w:p>
    <w:p>
      <w:pPr>
        <w:pStyle w:val="ListBullet"/>
        <w:spacing w:after="60" w:line="276" w:lineRule="auto"/>
      </w:pPr>
      <w:r>
        <w:rPr>
          <w:rFonts w:ascii="Calibri" w:hAnsi="Calibri"/>
          <w:color w:val="333333"/>
          <w:sz w:val="22"/>
        </w:rPr>
        <w:t>Attrition by Gender</w:t>
      </w:r>
    </w:p>
    <w:p>
      <w:pPr>
        <w:pStyle w:val="ListBullet"/>
        <w:spacing w:after="60" w:line="276" w:lineRule="auto"/>
      </w:pPr>
      <w:r>
        <w:rPr>
          <w:rFonts w:ascii="Calibri" w:hAnsi="Calibri"/>
          <w:color w:val="333333"/>
          <w:sz w:val="22"/>
        </w:rPr>
        <w:t>Department-wise Attrition</w:t>
      </w:r>
    </w:p>
    <w:p>
      <w:pPr>
        <w:pStyle w:val="ListBullet"/>
        <w:spacing w:after="60" w:line="276" w:lineRule="auto"/>
      </w:pPr>
      <w:r>
        <w:rPr>
          <w:rFonts w:ascii="Calibri" w:hAnsi="Calibri"/>
          <w:color w:val="333333"/>
          <w:sz w:val="22"/>
        </w:rPr>
        <w:t>Employee Distribution by Age / Age Group</w:t>
      </w:r>
    </w:p>
    <w:p>
      <w:pPr>
        <w:pStyle w:val="ListBullet"/>
        <w:spacing w:after="60" w:line="276" w:lineRule="auto"/>
      </w:pPr>
      <w:r>
        <w:rPr>
          <w:rFonts w:ascii="Calibri" w:hAnsi="Calibri"/>
          <w:color w:val="333333"/>
          <w:sz w:val="22"/>
        </w:rPr>
        <w:t>Education Field-wise Attrition</w:t>
      </w:r>
    </w:p>
    <w:p>
      <w:pPr>
        <w:pStyle w:val="ListBullet"/>
        <w:spacing w:after="60" w:line="276" w:lineRule="auto"/>
      </w:pPr>
      <w:r>
        <w:rPr>
          <w:rFonts w:ascii="Calibri" w:hAnsi="Calibri"/>
          <w:color w:val="333333"/>
          <w:sz w:val="22"/>
        </w:rPr>
        <w:t>Attrition by Gender and Age Group</w:t>
      </w:r>
    </w:p>
    <w:p>
      <w:pPr>
        <w:pStyle w:val="ListBullet"/>
        <w:spacing w:after="60" w:line="276" w:lineRule="auto"/>
      </w:pPr>
      <w:r>
        <w:rPr>
          <w:rFonts w:ascii="Calibri" w:hAnsi="Calibri"/>
          <w:color w:val="333333"/>
          <w:sz w:val="22"/>
        </w:rPr>
        <w:t>Job Satisfaction Rating</w:t>
      </w:r>
    </w:p>
    <w:p>
      <w:pPr>
        <w:spacing w:after="120" w:line="276" w:lineRule="auto"/>
      </w:pPr>
      <w:r>
        <w:rPr>
          <w:rFonts w:ascii="Calibri" w:hAnsi="Calibri"/>
          <w:b w:val="0"/>
          <w:i w:val="0"/>
          <w:color w:val="333333"/>
          <w:sz w:val="22"/>
        </w:rPr>
        <w:t>The QA results were:</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4680"/>
            <w:shd w:fill="1B365D"/>
            <w:tcMar>
              <w:top w:w="120" w:type="dxa"/>
              <w:bottom w:w="120" w:type="dxa"/>
              <w:left w:w="150" w:type="dxa"/>
              <w:right w:w="150" w:type="dxa"/>
            </w:tcMar>
          </w:tcPr>
          <w:p>
            <w:pPr>
              <w:spacing w:after="0"/>
            </w:pPr>
            <w:r>
              <w:rPr>
                <w:b/>
                <w:color w:val="FFFFFF"/>
              </w:rPr>
              <w:t>Test Status</w:t>
            </w:r>
          </w:p>
        </w:tc>
        <w:tc>
          <w:tcPr>
            <w:tcW w:type="dxa" w:w="4680"/>
            <w:shd w:fill="1B365D"/>
            <w:tcMar>
              <w:top w:w="120" w:type="dxa"/>
              <w:bottom w:w="120" w:type="dxa"/>
              <w:left w:w="150" w:type="dxa"/>
              <w:right w:w="150" w:type="dxa"/>
            </w:tcMar>
          </w:tcPr>
          <w:p>
            <w:pPr>
              <w:spacing w:after="0"/>
            </w:pPr>
            <w:r>
              <w:rPr>
                <w:b/>
                <w:color w:val="FFFFFF"/>
              </w:rPr>
              <w:t>Count</w:t>
            </w:r>
          </w:p>
        </w:tc>
      </w:tr>
      <w:tr>
        <w:tc>
          <w:tcPr>
            <w:tcW w:type="dxa" w:w="4320"/>
            <w:shd w:fill="F9FAFB"/>
            <w:tcMar>
              <w:top w:w="100" w:type="dxa"/>
              <w:bottom w:w="100" w:type="dxa"/>
              <w:left w:w="150" w:type="dxa"/>
              <w:right w:w="150" w:type="dxa"/>
            </w:tcMar>
          </w:tcPr>
          <w:p>
            <w:pPr>
              <w:spacing w:after="0"/>
            </w:pPr>
            <w:r>
              <w:rPr>
                <w:color w:val="333333"/>
              </w:rPr>
              <w:t>Total Tests</w:t>
            </w:r>
          </w:p>
        </w:tc>
        <w:tc>
          <w:tcPr>
            <w:tcW w:type="dxa" w:w="4320"/>
            <w:shd w:fill="F9FAFB"/>
            <w:tcMar>
              <w:top w:w="100" w:type="dxa"/>
              <w:bottom w:w="100" w:type="dxa"/>
              <w:left w:w="150" w:type="dxa"/>
              <w:right w:w="150" w:type="dxa"/>
            </w:tcMar>
          </w:tcPr>
          <w:p>
            <w:pPr>
              <w:spacing w:after="0"/>
            </w:pPr>
            <w:r>
              <w:rPr>
                <w:color w:val="333333"/>
              </w:rPr>
              <w:t>11</w:t>
            </w:r>
          </w:p>
        </w:tc>
      </w:tr>
      <w:tr>
        <w:tc>
          <w:tcPr>
            <w:tcW w:type="dxa" w:w="4320"/>
            <w:shd w:fill="FFFFFF"/>
            <w:tcMar>
              <w:top w:w="100" w:type="dxa"/>
              <w:bottom w:w="100" w:type="dxa"/>
              <w:left w:w="150" w:type="dxa"/>
              <w:right w:w="150" w:type="dxa"/>
            </w:tcMar>
          </w:tcPr>
          <w:p>
            <w:pPr>
              <w:spacing w:after="0"/>
            </w:pPr>
            <w:r>
              <w:rPr>
                <w:b/>
                <w:color w:val="333333"/>
              </w:rPr>
              <w:t>Passed</w:t>
            </w:r>
          </w:p>
        </w:tc>
        <w:tc>
          <w:tcPr>
            <w:tcW w:type="dxa" w:w="4320"/>
            <w:shd w:fill="FFFFFF"/>
            <w:tcMar>
              <w:top w:w="100" w:type="dxa"/>
              <w:bottom w:w="100" w:type="dxa"/>
              <w:left w:w="150" w:type="dxa"/>
              <w:right w:w="150" w:type="dxa"/>
            </w:tcMar>
          </w:tcPr>
          <w:p>
            <w:pPr>
              <w:spacing w:after="0"/>
            </w:pPr>
            <w:r>
              <w:rPr>
                <w:b/>
                <w:color w:val="333333"/>
              </w:rPr>
              <w:t>11</w:t>
            </w:r>
          </w:p>
        </w:tc>
      </w:tr>
      <w:tr>
        <w:tc>
          <w:tcPr>
            <w:tcW w:type="dxa" w:w="4320"/>
            <w:shd w:fill="F9FAFB"/>
            <w:tcMar>
              <w:top w:w="100" w:type="dxa"/>
              <w:bottom w:w="100" w:type="dxa"/>
              <w:left w:w="150" w:type="dxa"/>
              <w:right w:w="150" w:type="dxa"/>
            </w:tcMar>
          </w:tcPr>
          <w:p>
            <w:pPr>
              <w:spacing w:after="0"/>
            </w:pPr>
            <w:r>
              <w:rPr>
                <w:color w:val="333333"/>
              </w:rPr>
              <w:t>Failed</w:t>
            </w:r>
          </w:p>
        </w:tc>
        <w:tc>
          <w:tcPr>
            <w:tcW w:type="dxa" w:w="4320"/>
            <w:shd w:fill="F9FAFB"/>
            <w:tcMar>
              <w:top w:w="100" w:type="dxa"/>
              <w:bottom w:w="100" w:type="dxa"/>
              <w:left w:w="150" w:type="dxa"/>
              <w:right w:w="150" w:type="dxa"/>
            </w:tcMar>
          </w:tcPr>
          <w:p>
            <w:pPr>
              <w:spacing w:after="0"/>
            </w:pPr>
            <w:r>
              <w:rPr>
                <w:color w:val="333333"/>
              </w:rPr>
              <w:t>0</w:t>
            </w:r>
          </w:p>
        </w:tc>
      </w:tr>
      <w:tr>
        <w:tc>
          <w:tcPr>
            <w:tcW w:type="dxa" w:w="4320"/>
            <w:shd w:fill="FFFFFF"/>
            <w:tcMar>
              <w:top w:w="100" w:type="dxa"/>
              <w:bottom w:w="100" w:type="dxa"/>
              <w:left w:w="150" w:type="dxa"/>
              <w:right w:w="150" w:type="dxa"/>
            </w:tcMar>
          </w:tcPr>
          <w:p>
            <w:pPr>
              <w:spacing w:after="0"/>
            </w:pPr>
            <w:r>
              <w:rPr>
                <w:color w:val="333333"/>
              </w:rPr>
              <w:t>Blocked</w:t>
            </w:r>
          </w:p>
        </w:tc>
        <w:tc>
          <w:tcPr>
            <w:tcW w:type="dxa" w:w="4320"/>
            <w:shd w:fill="FFFFFF"/>
            <w:tcMar>
              <w:top w:w="100" w:type="dxa"/>
              <w:bottom w:w="100" w:type="dxa"/>
              <w:left w:w="150" w:type="dxa"/>
              <w:right w:w="150" w:type="dxa"/>
            </w:tcMar>
          </w:tcPr>
          <w:p>
            <w:pPr>
              <w:spacing w:after="0"/>
            </w:pPr>
            <w:r>
              <w:rPr>
                <w:color w:val="333333"/>
              </w:rPr>
              <w:t>0</w:t>
            </w:r>
          </w:p>
        </w:tc>
      </w:tr>
      <w:tr>
        <w:tc>
          <w:tcPr>
            <w:tcW w:type="dxa" w:w="4320"/>
            <w:shd w:fill="F9FAFB"/>
            <w:tcMar>
              <w:top w:w="100" w:type="dxa"/>
              <w:bottom w:w="100" w:type="dxa"/>
              <w:left w:w="150" w:type="dxa"/>
              <w:right w:w="150" w:type="dxa"/>
            </w:tcMar>
          </w:tcPr>
          <w:p>
            <w:pPr>
              <w:spacing w:after="0"/>
            </w:pPr>
            <w:r>
              <w:rPr>
                <w:color w:val="333333"/>
              </w:rPr>
              <w:t>Not Executed</w:t>
            </w:r>
          </w:p>
        </w:tc>
        <w:tc>
          <w:tcPr>
            <w:tcW w:type="dxa" w:w="4320"/>
            <w:shd w:fill="F9FAFB"/>
            <w:tcMar>
              <w:top w:w="100" w:type="dxa"/>
              <w:bottom w:w="100" w:type="dxa"/>
              <w:left w:w="150" w:type="dxa"/>
              <w:right w:w="150" w:type="dxa"/>
            </w:tcMar>
          </w:tcPr>
          <w:p>
            <w:pPr>
              <w:spacing w:after="0"/>
            </w:pPr>
            <w:r>
              <w:rPr>
                <w:color w:val="333333"/>
              </w:rPr>
              <w:t>0</w:t>
            </w:r>
          </w:p>
        </w:tc>
      </w:tr>
    </w:tbl>
    <w:p>
      <w:pPr>
        <w:spacing w:after="120"/>
      </w:pPr>
    </w:p>
    <w:p>
      <w:pPr>
        <w:spacing w:after="120" w:line="276" w:lineRule="auto"/>
      </w:pPr>
      <w:r>
        <w:rPr>
          <w:rFonts w:ascii="Calibri" w:hAnsi="Calibri"/>
          <w:b w:val="0"/>
          <w:i w:val="0"/>
          <w:color w:val="333333"/>
          <w:sz w:val="22"/>
        </w:rPr>
        <w:t>The results indicate that all documented analytical validation tests were successfully completed.</w:t>
      </w:r>
    </w:p>
    <w:p>
      <w:pPr>
        <w:spacing w:after="120" w:line="276" w:lineRule="auto"/>
      </w:pPr>
      <w:r>
        <w:rPr>
          <w:rFonts w:ascii="Calibri" w:hAnsi="Calibri"/>
          <w:b w:val="0"/>
          <w:i w:val="0"/>
          <w:color w:val="333333"/>
          <w:sz w:val="22"/>
        </w:rPr>
        <w:t>The QA process strengthened confidence that the key metrics presented in the Power BI and Tableau dashboards were aligned with the SQL-based analytical reference calculations.</w:t>
      </w:r>
    </w:p>
    <w:p>
      <w:pPr>
        <w:spacing w:after="120" w:line="276" w:lineRule="auto"/>
      </w:pPr>
      <w:r>
        <w:rPr>
          <w:rFonts w:ascii="Calibri" w:hAnsi="Calibri"/>
          <w:b w:val="0"/>
          <w:i w:val="0"/>
          <w:color w:val="333333"/>
          <w:sz w:val="22"/>
        </w:rPr>
        <w:t>The QA documentation is maintained within the project's QA-Testing directory.</w:t>
      </w:r>
    </w:p>
    <w:p>
      <w:pPr>
        <w:keepNext/>
        <w:spacing w:before="360" w:after="120"/>
      </w:pPr>
      <w:r>
        <w:rPr>
          <w:rFonts w:ascii="Calibri" w:hAnsi="Calibri"/>
          <w:b/>
          <w:color w:val="1B365D"/>
          <w:sz w:val="32"/>
        </w:rPr>
        <w:t>14. Key Business Insights</w:t>
      </w:r>
    </w:p>
    <w:p>
      <w:pPr>
        <w:spacing w:after="120" w:line="276" w:lineRule="auto"/>
      </w:pPr>
      <w:r>
        <w:rPr>
          <w:rFonts w:ascii="Calibri" w:hAnsi="Calibri"/>
          <w:b w:val="0"/>
          <w:i w:val="0"/>
          <w:color w:val="333333"/>
          <w:sz w:val="22"/>
        </w:rPr>
        <w:t>The overall analysis identified several areas that may be relevant to HR retention strategy.</w:t>
      </w:r>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40" w:type="dxa"/>
              <w:right w:w="240" w:type="dxa"/>
            </w:tcMar>
            <w:tcBorders>
              <w:left w:val="single" w:sz="24" w:space="0" w:color="1B365D"/>
              <w:top w:val="none"/>
              <w:right w:val="none"/>
              <w:bottom w:val="none"/>
            </w:tcBorders>
          </w:tcPr>
          <w:p>
            <w:pPr>
              <w:spacing w:after="0" w:line="276" w:lineRule="auto"/>
            </w:pPr>
            <w:r>
              <w:rPr>
                <w:rFonts w:ascii="Calibri" w:hAnsi="Calibri"/>
                <w:b/>
                <w:color w:val="1B365D"/>
              </w:rPr>
              <w:t>Insight 1: Attrition Is Concentrated in Specific Workforce Segments</w:t>
              <w:br/>
            </w:r>
            <w:r>
              <w:rPr>
                <w:rFonts w:ascii="Calibri" w:hAnsi="Calibri"/>
                <w:color w:val="333333"/>
              </w:rPr>
              <w:t>The overall attrition rate was 16.12%, but specific job roles and demographic groups showed considerably higher observed attrition.</w:t>
              <w:br/>
              <w:t>This indicates that organization-wide attrition metrics alone may not provide sufficient detail for retention planning.</w:t>
              <w:br/>
              <w:t>HR teams may benefit from segment-level monitoring.</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40" w:type="dxa"/>
              <w:right w:w="240" w:type="dxa"/>
            </w:tcMar>
            <w:tcBorders>
              <w:left w:val="single" w:sz="24" w:space="0" w:color="1B365D"/>
              <w:top w:val="none"/>
              <w:right w:val="none"/>
              <w:bottom w:val="none"/>
            </w:tcBorders>
          </w:tcPr>
          <w:p>
            <w:pPr>
              <w:spacing w:after="0" w:line="276" w:lineRule="auto"/>
            </w:pPr>
            <w:r>
              <w:rPr>
                <w:rFonts w:ascii="Calibri" w:hAnsi="Calibri"/>
                <w:b/>
                <w:color w:val="1B365D"/>
              </w:rPr>
              <w:t>Insight 2: Younger Employees Show Higher Observed Attrition</w:t>
              <w:br/>
            </w:r>
            <w:r>
              <w:rPr>
                <w:rFonts w:ascii="Calibri" w:hAnsi="Calibri"/>
                <w:color w:val="333333"/>
              </w:rPr>
              <w:t>Employees under 25 recorded the highest observed attrition rate.</w:t>
              <w:br/>
              <w:t>The 25–34 age group accounted for the largest absolute number of departures.</w:t>
              <w:br/>
              <w:t>This suggests that early-career employee retention may be an important strategic area.</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40" w:type="dxa"/>
              <w:right w:w="240" w:type="dxa"/>
            </w:tcMar>
            <w:tcBorders>
              <w:left w:val="single" w:sz="24" w:space="0" w:color="1B365D"/>
              <w:top w:val="none"/>
              <w:right w:val="none"/>
              <w:bottom w:val="none"/>
            </w:tcBorders>
          </w:tcPr>
          <w:p>
            <w:pPr>
              <w:spacing w:after="0" w:line="276" w:lineRule="auto"/>
            </w:pPr>
            <w:r>
              <w:rPr>
                <w:rFonts w:ascii="Calibri" w:hAnsi="Calibri"/>
                <w:b/>
                <w:color w:val="1B365D"/>
              </w:rPr>
              <w:t>Insight 3: Sales Representatives Represent a High-Risk Role</w:t>
              <w:br/>
            </w:r>
            <w:r>
              <w:rPr>
                <w:rFonts w:ascii="Calibri" w:hAnsi="Calibri"/>
                <w:color w:val="333333"/>
              </w:rPr>
              <w:t>Sales Representatives recorded an observed attrition rate of approximately 39.76%.</w:t>
              <w:br/>
              <w:t>This is substantially higher than the overall organizational rate.</w:t>
              <w:br/>
              <w:t>The role may therefore warrant additional analysis involving:</w:t>
              <w:br/>
              <w:t>Compensation</w:t>
              <w:br/>
              <w:t>Workload</w:t>
              <w:br/>
              <w:t>Overtime</w:t>
              <w:br/>
              <w:t>Career progression</w:t>
              <w:br/>
              <w:t>Job satisfaction</w:t>
              <w:br/>
              <w:t>Management practices</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40" w:type="dxa"/>
              <w:right w:w="240" w:type="dxa"/>
            </w:tcMar>
            <w:tcBorders>
              <w:left w:val="single" w:sz="24" w:space="0" w:color="1B365D"/>
              <w:top w:val="none"/>
              <w:right w:val="none"/>
              <w:bottom w:val="none"/>
            </w:tcBorders>
          </w:tcPr>
          <w:p>
            <w:pPr>
              <w:spacing w:after="0" w:line="276" w:lineRule="auto"/>
            </w:pPr>
            <w:r>
              <w:rPr>
                <w:rFonts w:ascii="Calibri" w:hAnsi="Calibri"/>
                <w:b/>
                <w:color w:val="1B365D"/>
              </w:rPr>
              <w:t>Insight 4: Overtime Is Associated with Higher Observed Attrition</w:t>
              <w:br/>
            </w:r>
            <w:r>
              <w:rPr>
                <w:rFonts w:ascii="Calibri" w:hAnsi="Calibri"/>
                <w:color w:val="333333"/>
              </w:rPr>
              <w:t>Employees working overtime recorded an attrition rate of 30.53%, compared with 10.44% among employees who did not work overtime.</w:t>
              <w:br/>
              <w:t>This substantial difference highlights workload and overtime as important areas for further investigation.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40" w:type="dxa"/>
              <w:right w:w="240" w:type="dxa"/>
            </w:tcMar>
            <w:tcBorders>
              <w:left w:val="single" w:sz="24" w:space="0" w:color="1B365D"/>
              <w:top w:val="none"/>
              <w:right w:val="none"/>
              <w:bottom w:val="none"/>
            </w:tcBorders>
          </w:tcPr>
          <w:p>
            <w:pPr>
              <w:spacing w:after="0" w:line="276" w:lineRule="auto"/>
            </w:pPr>
            <w:r>
              <w:rPr>
                <w:rFonts w:ascii="Calibri" w:hAnsi="Calibri"/>
                <w:b/>
                <w:color w:val="1B365D"/>
              </w:rPr>
              <w:t>Insight 5: Departed Employees Had Lower Average Income</w:t>
              <w:br/>
            </w:r>
            <w:r>
              <w:rPr>
                <w:rFonts w:ascii="Calibri" w:hAnsi="Calibri"/>
                <w:color w:val="333333"/>
              </w:rPr>
              <w:t>Departed employees had a lower average monthly income than retained employees.</w:t>
              <w:br/>
              <w:t>The observed difference was approximately $2,045.65 per month.</w:t>
              <w:br/>
              <w:t>This suggests that compensation competitiveness may be relevant to retention, particularly within lower-paid and higher-turnover roles.</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40" w:type="dxa"/>
              <w:right w:w="240" w:type="dxa"/>
            </w:tcMar>
            <w:tcBorders>
              <w:left w:val="single" w:sz="24" w:space="0" w:color="1B365D"/>
              <w:top w:val="none"/>
              <w:right w:val="none"/>
              <w:bottom w:val="none"/>
            </w:tcBorders>
          </w:tcPr>
          <w:p>
            <w:pPr>
              <w:spacing w:after="0" w:line="276" w:lineRule="auto"/>
            </w:pPr>
            <w:r>
              <w:rPr>
                <w:rFonts w:ascii="Calibri" w:hAnsi="Calibri"/>
                <w:b/>
                <w:color w:val="1B365D"/>
              </w:rPr>
              <w:t>Insight 6: Satisfaction Scores Were Lower Among Departed Employees</w:t>
              <w:br/>
            </w:r>
            <w:r>
              <w:rPr>
                <w:rFonts w:ascii="Calibri" w:hAnsi="Calibri"/>
                <w:color w:val="333333"/>
              </w:rPr>
              <w:t>Across multiple satisfaction measures, departed employees reported lower average scores than retained employees.</w:t>
              <w:br/>
              <w:t>This suggests that employee engagement and workplace experience may be relevant dimensions for future retention analysis.</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40" w:type="dxa"/>
              <w:right w:w="240" w:type="dxa"/>
            </w:tcMar>
            <w:tcBorders>
              <w:left w:val="single" w:sz="24" w:space="0" w:color="1B365D"/>
              <w:top w:val="none"/>
              <w:right w:val="none"/>
              <w:bottom w:val="none"/>
            </w:tcBorders>
          </w:tcPr>
          <w:p>
            <w:pPr>
              <w:spacing w:after="0" w:line="276" w:lineRule="auto"/>
            </w:pPr>
            <w:r>
              <w:rPr>
                <w:rFonts w:ascii="Calibri" w:hAnsi="Calibri"/>
                <w:b/>
                <w:color w:val="1B365D"/>
              </w:rPr>
              <w:t>Insight 7: Attrition Rate and Attrition Volume Should Be Distinguished</w:t>
              <w:br/>
            </w:r>
            <w:r>
              <w:rPr>
                <w:rFonts w:ascii="Calibri" w:hAnsi="Calibri"/>
                <w:color w:val="333333"/>
              </w:rPr>
              <w:t>Research &amp; Development had the largest absolute number of departures because of its larger workforce.</w:t>
              <w:br/>
              <w:t>However, Sales had a higher relative attrition rate.</w:t>
              <w:br/>
              <w:t>This demonstrates why HR dashboards should report both:</w:t>
              <w:br/>
              <w:t>Total attrition count</w:t>
              <w:br/>
              <w:t>Attrition rate</w:t>
              <w:br/>
              <w:t>Looking at only one metric can produce an incomplete interpretation of workforce risk.</w:t>
            </w:r>
          </w:p>
        </w:tc>
      </w:tr>
    </w:tbl>
    <w:p>
      <w:pPr>
        <w:spacing w:after="120"/>
      </w:pPr>
    </w:p>
    <w:p>
      <w:pPr>
        <w:keepNext/>
        <w:spacing w:before="360" w:after="120"/>
      </w:pPr>
      <w:r>
        <w:rPr>
          <w:rFonts w:ascii="Calibri" w:hAnsi="Calibri"/>
          <w:b/>
          <w:color w:val="1B365D"/>
          <w:sz w:val="32"/>
        </w:rPr>
        <w:t>15. Strategic Recommendations</w:t>
      </w:r>
    </w:p>
    <w:p>
      <w:pPr>
        <w:spacing w:after="120" w:line="276" w:lineRule="auto"/>
      </w:pPr>
      <w:r>
        <w:rPr>
          <w:rFonts w:ascii="Calibri" w:hAnsi="Calibri"/>
          <w:b w:val="0"/>
          <w:i w:val="0"/>
          <w:color w:val="333333"/>
          <w:sz w:val="22"/>
        </w:rPr>
        <w:t>Based on the descriptive findings, the following recommendations are proposed.</w:t>
      </w:r>
    </w:p>
    <w:p>
      <w:pPr>
        <w:keepNext/>
        <w:spacing w:before="240" w:after="80"/>
      </w:pPr>
      <w:r>
        <w:rPr>
          <w:rFonts w:ascii="Calibri" w:hAnsi="Calibri"/>
          <w:b/>
          <w:color w:val="0096A6"/>
          <w:sz w:val="26"/>
        </w:rPr>
        <w:t>15.1 Review Overtime and Workload</w:t>
      </w:r>
    </w:p>
    <w:p>
      <w:pPr>
        <w:spacing w:after="120" w:line="276" w:lineRule="auto"/>
      </w:pPr>
      <w:r>
        <w:rPr>
          <w:rFonts w:ascii="Calibri" w:hAnsi="Calibri"/>
          <w:b w:val="0"/>
          <w:i w:val="0"/>
          <w:color w:val="333333"/>
          <w:sz w:val="22"/>
        </w:rPr>
        <w:t>HR and department managers should review overtime patterns within high-attrition roles.</w:t>
      </w:r>
    </w:p>
    <w:p>
      <w:pPr>
        <w:spacing w:after="120" w:line="276" w:lineRule="auto"/>
      </w:pPr>
      <w:r>
        <w:rPr>
          <w:rFonts w:ascii="Calibri" w:hAnsi="Calibri"/>
          <w:b w:val="0"/>
          <w:i w:val="0"/>
          <w:color w:val="333333"/>
          <w:sz w:val="22"/>
        </w:rPr>
        <w:t>Potential actions include:</w:t>
      </w:r>
    </w:p>
    <w:p>
      <w:pPr>
        <w:pStyle w:val="ListBullet"/>
        <w:spacing w:after="60" w:line="276" w:lineRule="auto"/>
      </w:pPr>
      <w:r>
        <w:rPr>
          <w:rFonts w:ascii="Calibri" w:hAnsi="Calibri"/>
          <w:color w:val="333333"/>
          <w:sz w:val="22"/>
        </w:rPr>
        <w:t>Reviewing workload allocation</w:t>
      </w:r>
    </w:p>
    <w:p>
      <w:pPr>
        <w:pStyle w:val="ListBullet"/>
        <w:spacing w:after="60" w:line="276" w:lineRule="auto"/>
      </w:pPr>
      <w:r>
        <w:rPr>
          <w:rFonts w:ascii="Calibri" w:hAnsi="Calibri"/>
          <w:color w:val="333333"/>
          <w:sz w:val="22"/>
        </w:rPr>
        <w:t>Monitoring excessive overtime</w:t>
      </w:r>
    </w:p>
    <w:p>
      <w:pPr>
        <w:pStyle w:val="ListBullet"/>
        <w:spacing w:after="60" w:line="276" w:lineRule="auto"/>
      </w:pPr>
      <w:r>
        <w:rPr>
          <w:rFonts w:ascii="Calibri" w:hAnsi="Calibri"/>
          <w:color w:val="333333"/>
          <w:sz w:val="22"/>
        </w:rPr>
        <w:t>Evaluating staffing levels</w:t>
      </w:r>
    </w:p>
    <w:p>
      <w:pPr>
        <w:pStyle w:val="ListBullet"/>
        <w:spacing w:after="60" w:line="276" w:lineRule="auto"/>
      </w:pPr>
      <w:r>
        <w:rPr>
          <w:rFonts w:ascii="Calibri" w:hAnsi="Calibri"/>
          <w:color w:val="333333"/>
          <w:sz w:val="22"/>
        </w:rPr>
        <w:t>Investigating workload differences between departments</w:t>
      </w:r>
    </w:p>
    <w:p>
      <w:pPr>
        <w:pStyle w:val="ListBullet"/>
        <w:spacing w:after="60" w:line="276" w:lineRule="auto"/>
      </w:pPr>
      <w:r>
        <w:rPr>
          <w:rFonts w:ascii="Calibri" w:hAnsi="Calibri"/>
          <w:color w:val="333333"/>
          <w:sz w:val="22"/>
        </w:rPr>
        <w:t>Conducting employee feedback sessions</w:t>
      </w:r>
    </w:p>
    <w:p>
      <w:pPr>
        <w:spacing w:after="120" w:line="276" w:lineRule="auto"/>
      </w:pPr>
      <w:r>
        <w:rPr>
          <w:rFonts w:ascii="Calibri" w:hAnsi="Calibri"/>
          <w:b w:val="0"/>
          <w:i w:val="0"/>
          <w:color w:val="333333"/>
          <w:sz w:val="22"/>
        </w:rPr>
        <w:t>The objective should be to determine whether workload intensity is contributing to employee dissatisfaction or retention challenges.</w:t>
      </w:r>
    </w:p>
    <w:p>
      <w:pPr>
        <w:keepNext/>
        <w:spacing w:before="240" w:after="80"/>
      </w:pPr>
      <w:r>
        <w:rPr>
          <w:rFonts w:ascii="Calibri" w:hAnsi="Calibri"/>
          <w:b/>
          <w:color w:val="0096A6"/>
          <w:sz w:val="26"/>
        </w:rPr>
        <w:t>15.2 Strengthen Early-Career Retention</w:t>
      </w:r>
    </w:p>
    <w:p>
      <w:pPr>
        <w:spacing w:after="120" w:line="276" w:lineRule="auto"/>
      </w:pPr>
      <w:r>
        <w:rPr>
          <w:rFonts w:ascii="Calibri" w:hAnsi="Calibri"/>
          <w:b w:val="0"/>
          <w:i w:val="0"/>
          <w:color w:val="333333"/>
          <w:sz w:val="22"/>
        </w:rPr>
        <w:t>The higher observed attrition among younger employees suggests a potential need for stronger early-career support.</w:t>
      </w:r>
    </w:p>
    <w:p>
      <w:pPr>
        <w:spacing w:after="120" w:line="276" w:lineRule="auto"/>
      </w:pPr>
      <w:r>
        <w:rPr>
          <w:rFonts w:ascii="Calibri" w:hAnsi="Calibri"/>
          <w:b w:val="0"/>
          <w:i w:val="0"/>
          <w:color w:val="333333"/>
          <w:sz w:val="22"/>
        </w:rPr>
        <w:t>Possible initiatives include:</w:t>
      </w:r>
    </w:p>
    <w:p>
      <w:pPr>
        <w:pStyle w:val="ListBullet"/>
        <w:spacing w:after="60" w:line="276" w:lineRule="auto"/>
      </w:pPr>
      <w:r>
        <w:rPr>
          <w:rFonts w:ascii="Calibri" w:hAnsi="Calibri"/>
          <w:color w:val="333333"/>
          <w:sz w:val="22"/>
        </w:rPr>
        <w:t>Mentorship programs</w:t>
      </w:r>
    </w:p>
    <w:p>
      <w:pPr>
        <w:pStyle w:val="ListBullet"/>
        <w:spacing w:after="60" w:line="276" w:lineRule="auto"/>
      </w:pPr>
      <w:r>
        <w:rPr>
          <w:rFonts w:ascii="Calibri" w:hAnsi="Calibri"/>
          <w:color w:val="333333"/>
          <w:sz w:val="22"/>
        </w:rPr>
        <w:t>Structured onboarding</w:t>
      </w:r>
    </w:p>
    <w:p>
      <w:pPr>
        <w:pStyle w:val="ListBullet"/>
        <w:spacing w:after="60" w:line="276" w:lineRule="auto"/>
      </w:pPr>
      <w:r>
        <w:rPr>
          <w:rFonts w:ascii="Calibri" w:hAnsi="Calibri"/>
          <w:color w:val="333333"/>
          <w:sz w:val="22"/>
        </w:rPr>
        <w:t>Career development plans</w:t>
      </w:r>
    </w:p>
    <w:p>
      <w:pPr>
        <w:pStyle w:val="ListBullet"/>
        <w:spacing w:after="60" w:line="276" w:lineRule="auto"/>
      </w:pPr>
      <w:r>
        <w:rPr>
          <w:rFonts w:ascii="Calibri" w:hAnsi="Calibri"/>
          <w:color w:val="333333"/>
          <w:sz w:val="22"/>
        </w:rPr>
        <w:t>Clear promotion pathways</w:t>
      </w:r>
    </w:p>
    <w:p>
      <w:pPr>
        <w:pStyle w:val="ListBullet"/>
        <w:spacing w:after="60" w:line="276" w:lineRule="auto"/>
      </w:pPr>
      <w:r>
        <w:rPr>
          <w:rFonts w:ascii="Calibri" w:hAnsi="Calibri"/>
          <w:color w:val="333333"/>
          <w:sz w:val="22"/>
        </w:rPr>
        <w:t>Early-career training</w:t>
      </w:r>
    </w:p>
    <w:p>
      <w:pPr>
        <w:pStyle w:val="ListBullet"/>
        <w:spacing w:after="60" w:line="276" w:lineRule="auto"/>
      </w:pPr>
      <w:r>
        <w:rPr>
          <w:rFonts w:ascii="Calibri" w:hAnsi="Calibri"/>
          <w:color w:val="333333"/>
          <w:sz w:val="22"/>
        </w:rPr>
        <w:t>Regular employee check-ins</w:t>
      </w:r>
    </w:p>
    <w:p>
      <w:pPr>
        <w:keepNext/>
        <w:spacing w:before="240" w:after="80"/>
      </w:pPr>
      <w:r>
        <w:rPr>
          <w:rFonts w:ascii="Calibri" w:hAnsi="Calibri"/>
          <w:b/>
          <w:color w:val="0096A6"/>
          <w:sz w:val="26"/>
        </w:rPr>
        <w:t>15.3 Investigate High-Attrition Job Roles</w:t>
      </w:r>
    </w:p>
    <w:p>
      <w:pPr>
        <w:spacing w:after="120" w:line="276" w:lineRule="auto"/>
      </w:pPr>
      <w:r>
        <w:rPr>
          <w:rFonts w:ascii="Calibri" w:hAnsi="Calibri"/>
          <w:b w:val="0"/>
          <w:i w:val="0"/>
          <w:color w:val="333333"/>
          <w:sz w:val="22"/>
        </w:rPr>
        <w:t>Roles such as Sales Representatives and Laboratory Technicians should be examined in greater detail.</w:t>
      </w:r>
    </w:p>
    <w:p>
      <w:pPr>
        <w:spacing w:after="120" w:line="276" w:lineRule="auto"/>
      </w:pPr>
      <w:r>
        <w:rPr>
          <w:rFonts w:ascii="Calibri" w:hAnsi="Calibri"/>
          <w:b w:val="0"/>
          <w:i w:val="0"/>
          <w:color w:val="333333"/>
          <w:sz w:val="22"/>
        </w:rPr>
        <w:t>HR teams could investigate:</w:t>
      </w:r>
    </w:p>
    <w:p>
      <w:pPr>
        <w:pStyle w:val="ListBullet"/>
        <w:spacing w:after="60" w:line="276" w:lineRule="auto"/>
      </w:pPr>
      <w:r>
        <w:rPr>
          <w:rFonts w:ascii="Calibri" w:hAnsi="Calibri"/>
          <w:color w:val="333333"/>
          <w:sz w:val="22"/>
        </w:rPr>
        <w:t>Compensation</w:t>
      </w:r>
    </w:p>
    <w:p>
      <w:pPr>
        <w:pStyle w:val="ListBullet"/>
        <w:spacing w:after="60" w:line="276" w:lineRule="auto"/>
      </w:pPr>
      <w:r>
        <w:rPr>
          <w:rFonts w:ascii="Calibri" w:hAnsi="Calibri"/>
          <w:color w:val="333333"/>
          <w:sz w:val="22"/>
        </w:rPr>
        <w:t>Workload</w:t>
      </w:r>
    </w:p>
    <w:p>
      <w:pPr>
        <w:pStyle w:val="ListBullet"/>
        <w:spacing w:after="60" w:line="276" w:lineRule="auto"/>
      </w:pPr>
      <w:r>
        <w:rPr>
          <w:rFonts w:ascii="Calibri" w:hAnsi="Calibri"/>
          <w:color w:val="333333"/>
          <w:sz w:val="22"/>
        </w:rPr>
        <w:t>Overtime</w:t>
      </w:r>
    </w:p>
    <w:p>
      <w:pPr>
        <w:pStyle w:val="ListBullet"/>
        <w:spacing w:after="60" w:line="276" w:lineRule="auto"/>
      </w:pPr>
      <w:r>
        <w:rPr>
          <w:rFonts w:ascii="Calibri" w:hAnsi="Calibri"/>
          <w:color w:val="333333"/>
          <w:sz w:val="22"/>
        </w:rPr>
        <w:t>Career progression</w:t>
      </w:r>
    </w:p>
    <w:p>
      <w:pPr>
        <w:pStyle w:val="ListBullet"/>
        <w:spacing w:after="60" w:line="276" w:lineRule="auto"/>
      </w:pPr>
      <w:r>
        <w:rPr>
          <w:rFonts w:ascii="Calibri" w:hAnsi="Calibri"/>
          <w:color w:val="333333"/>
          <w:sz w:val="22"/>
        </w:rPr>
        <w:t>Managerial support</w:t>
      </w:r>
    </w:p>
    <w:p>
      <w:pPr>
        <w:pStyle w:val="ListBullet"/>
        <w:spacing w:after="60" w:line="276" w:lineRule="auto"/>
      </w:pPr>
      <w:r>
        <w:rPr>
          <w:rFonts w:ascii="Calibri" w:hAnsi="Calibri"/>
          <w:color w:val="333333"/>
          <w:sz w:val="22"/>
        </w:rPr>
        <w:t>Job satisfaction</w:t>
      </w:r>
    </w:p>
    <w:p>
      <w:pPr>
        <w:pStyle w:val="ListBullet"/>
        <w:spacing w:after="60" w:line="276" w:lineRule="auto"/>
      </w:pPr>
      <w:r>
        <w:rPr>
          <w:rFonts w:ascii="Calibri" w:hAnsi="Calibri"/>
          <w:color w:val="333333"/>
          <w:sz w:val="22"/>
        </w:rPr>
        <w:t>Recruitment expectations</w:t>
      </w:r>
    </w:p>
    <w:p>
      <w:pPr>
        <w:spacing w:after="120" w:line="276" w:lineRule="auto"/>
      </w:pPr>
      <w:r>
        <w:rPr>
          <w:rFonts w:ascii="Calibri" w:hAnsi="Calibri"/>
          <w:b w:val="0"/>
          <w:i w:val="0"/>
          <w:color w:val="333333"/>
          <w:sz w:val="22"/>
        </w:rPr>
        <w:t>This would help determine whether the observed attrition is linked to specific organizational conditions.</w:t>
      </w:r>
    </w:p>
    <w:p>
      <w:pPr>
        <w:keepNext/>
        <w:spacing w:before="240" w:after="80"/>
      </w:pPr>
      <w:r>
        <w:rPr>
          <w:rFonts w:ascii="Calibri" w:hAnsi="Calibri"/>
          <w:b/>
          <w:color w:val="0096A6"/>
          <w:sz w:val="26"/>
        </w:rPr>
        <w:t>15.4 Review Compensation in High-Risk Roles</w:t>
      </w:r>
    </w:p>
    <w:p>
      <w:pPr>
        <w:spacing w:after="120" w:line="276" w:lineRule="auto"/>
      </w:pPr>
      <w:r>
        <w:rPr>
          <w:rFonts w:ascii="Calibri" w:hAnsi="Calibri"/>
          <w:b w:val="0"/>
          <w:i w:val="0"/>
          <w:color w:val="333333"/>
          <w:sz w:val="22"/>
        </w:rPr>
        <w:t>The lower average monthly income observed among departed employees suggests that compensation may warrant further investigation.</w:t>
      </w:r>
    </w:p>
    <w:p>
      <w:pPr>
        <w:spacing w:after="120" w:line="276" w:lineRule="auto"/>
      </w:pPr>
      <w:r>
        <w:rPr>
          <w:rFonts w:ascii="Calibri" w:hAnsi="Calibri"/>
          <w:b w:val="0"/>
          <w:i w:val="0"/>
          <w:color w:val="333333"/>
          <w:sz w:val="22"/>
        </w:rPr>
        <w:t>HR teams could compare compensation levels with:</w:t>
      </w:r>
    </w:p>
    <w:p>
      <w:pPr>
        <w:pStyle w:val="ListBullet"/>
        <w:spacing w:after="60" w:line="276" w:lineRule="auto"/>
      </w:pPr>
      <w:r>
        <w:rPr>
          <w:rFonts w:ascii="Calibri" w:hAnsi="Calibri"/>
          <w:color w:val="333333"/>
          <w:sz w:val="22"/>
        </w:rPr>
        <w:t>Employee tenure</w:t>
      </w:r>
    </w:p>
    <w:p>
      <w:pPr>
        <w:pStyle w:val="ListBullet"/>
        <w:spacing w:after="60" w:line="276" w:lineRule="auto"/>
      </w:pPr>
      <w:r>
        <w:rPr>
          <w:rFonts w:ascii="Calibri" w:hAnsi="Calibri"/>
          <w:color w:val="333333"/>
          <w:sz w:val="22"/>
        </w:rPr>
        <w:t>Job role</w:t>
      </w:r>
    </w:p>
    <w:p>
      <w:pPr>
        <w:pStyle w:val="ListBullet"/>
        <w:spacing w:after="60" w:line="276" w:lineRule="auto"/>
      </w:pPr>
      <w:r>
        <w:rPr>
          <w:rFonts w:ascii="Calibri" w:hAnsi="Calibri"/>
          <w:color w:val="333333"/>
          <w:sz w:val="22"/>
        </w:rPr>
        <w:t>Department</w:t>
      </w:r>
    </w:p>
    <w:p>
      <w:pPr>
        <w:pStyle w:val="ListBullet"/>
        <w:spacing w:after="60" w:line="276" w:lineRule="auto"/>
      </w:pPr>
      <w:r>
        <w:rPr>
          <w:rFonts w:ascii="Calibri" w:hAnsi="Calibri"/>
          <w:color w:val="333333"/>
          <w:sz w:val="22"/>
        </w:rPr>
        <w:t>Performance</w:t>
      </w:r>
    </w:p>
    <w:p>
      <w:pPr>
        <w:pStyle w:val="ListBullet"/>
        <w:spacing w:after="60" w:line="276" w:lineRule="auto"/>
      </w:pPr>
      <w:r>
        <w:rPr>
          <w:rFonts w:ascii="Calibri" w:hAnsi="Calibri"/>
          <w:color w:val="333333"/>
          <w:sz w:val="22"/>
        </w:rPr>
        <w:t>Market salary benchmarks</w:t>
      </w:r>
    </w:p>
    <w:p>
      <w:pPr>
        <w:spacing w:after="120" w:line="276" w:lineRule="auto"/>
      </w:pPr>
      <w:r>
        <w:rPr>
          <w:rFonts w:ascii="Calibri" w:hAnsi="Calibri"/>
          <w:b w:val="0"/>
          <w:i w:val="0"/>
          <w:color w:val="333333"/>
          <w:sz w:val="22"/>
        </w:rPr>
        <w:t>This would provide a more complete understanding of whether compensation competitiveness is relevant to retention.</w:t>
      </w:r>
    </w:p>
    <w:p>
      <w:pPr>
        <w:keepNext/>
        <w:spacing w:before="240" w:after="80"/>
      </w:pPr>
      <w:r>
        <w:rPr>
          <w:rFonts w:ascii="Calibri" w:hAnsi="Calibri"/>
          <w:b/>
          <w:color w:val="0096A6"/>
          <w:sz w:val="26"/>
        </w:rPr>
        <w:t>15.5 Monitor Employee Satisfaction</w:t>
      </w:r>
    </w:p>
    <w:p>
      <w:pPr>
        <w:spacing w:after="120" w:line="276" w:lineRule="auto"/>
      </w:pPr>
      <w:r>
        <w:rPr>
          <w:rFonts w:ascii="Calibri" w:hAnsi="Calibri"/>
          <w:b w:val="0"/>
          <w:i w:val="0"/>
          <w:color w:val="333333"/>
          <w:sz w:val="22"/>
        </w:rPr>
        <w:t>Employee satisfaction should be monitored alongside attrition metrics.</w:t>
      </w:r>
    </w:p>
    <w:p>
      <w:pPr>
        <w:spacing w:after="120" w:line="276" w:lineRule="auto"/>
      </w:pPr>
      <w:r>
        <w:rPr>
          <w:rFonts w:ascii="Calibri" w:hAnsi="Calibri"/>
          <w:b w:val="0"/>
          <w:i w:val="0"/>
          <w:color w:val="333333"/>
          <w:sz w:val="22"/>
        </w:rPr>
        <w:t>Organizations could introduce regular engagement surveys and track changes in:</w:t>
      </w:r>
    </w:p>
    <w:p>
      <w:pPr>
        <w:pStyle w:val="ListBullet"/>
        <w:spacing w:after="60" w:line="276" w:lineRule="auto"/>
      </w:pPr>
      <w:r>
        <w:rPr>
          <w:rFonts w:ascii="Calibri" w:hAnsi="Calibri"/>
          <w:color w:val="333333"/>
          <w:sz w:val="22"/>
        </w:rPr>
        <w:t>Job satisfaction</w:t>
      </w:r>
    </w:p>
    <w:p>
      <w:pPr>
        <w:pStyle w:val="ListBullet"/>
        <w:spacing w:after="60" w:line="276" w:lineRule="auto"/>
      </w:pPr>
      <w:r>
        <w:rPr>
          <w:rFonts w:ascii="Calibri" w:hAnsi="Calibri"/>
          <w:color w:val="333333"/>
          <w:sz w:val="22"/>
        </w:rPr>
        <w:t>Environment satisfaction</w:t>
      </w:r>
    </w:p>
    <w:p>
      <w:pPr>
        <w:pStyle w:val="ListBullet"/>
        <w:spacing w:after="60" w:line="276" w:lineRule="auto"/>
      </w:pPr>
      <w:r>
        <w:rPr>
          <w:rFonts w:ascii="Calibri" w:hAnsi="Calibri"/>
          <w:color w:val="333333"/>
          <w:sz w:val="22"/>
        </w:rPr>
        <w:t>Job involvement</w:t>
      </w:r>
    </w:p>
    <w:p>
      <w:pPr>
        <w:pStyle w:val="ListBullet"/>
        <w:spacing w:after="60" w:line="276" w:lineRule="auto"/>
      </w:pPr>
      <w:r>
        <w:rPr>
          <w:rFonts w:ascii="Calibri" w:hAnsi="Calibri"/>
          <w:color w:val="333333"/>
          <w:sz w:val="22"/>
        </w:rPr>
        <w:t>Work-life balance</w:t>
      </w:r>
    </w:p>
    <w:p>
      <w:pPr>
        <w:spacing w:after="120" w:line="276" w:lineRule="auto"/>
      </w:pPr>
      <w:r>
        <w:rPr>
          <w:rFonts w:ascii="Calibri" w:hAnsi="Calibri"/>
          <w:b w:val="0"/>
          <w:i w:val="0"/>
          <w:color w:val="333333"/>
          <w:sz w:val="22"/>
        </w:rPr>
        <w:t>These metrics could then be compared with attrition trends over time.</w:t>
      </w:r>
    </w:p>
    <w:p>
      <w:pPr>
        <w:keepNext/>
        <w:spacing w:before="240" w:after="80"/>
      </w:pPr>
      <w:r>
        <w:rPr>
          <w:rFonts w:ascii="Calibri" w:hAnsi="Calibri"/>
          <w:b/>
          <w:color w:val="0096A6"/>
          <w:sz w:val="26"/>
        </w:rPr>
        <w:t>15.6 Use Interactive Dashboards for Ongoing Monitoring</w:t>
      </w:r>
    </w:p>
    <w:p>
      <w:pPr>
        <w:spacing w:after="120" w:line="276" w:lineRule="auto"/>
      </w:pPr>
      <w:r>
        <w:rPr>
          <w:rFonts w:ascii="Calibri" w:hAnsi="Calibri"/>
          <w:b w:val="0"/>
          <w:i w:val="0"/>
          <w:color w:val="333333"/>
          <w:sz w:val="22"/>
        </w:rPr>
        <w:t>The Power BI and Tableau dashboards demonstrate the value of interactive workforce reporting.</w:t>
      </w:r>
    </w:p>
    <w:p>
      <w:pPr>
        <w:spacing w:after="120" w:line="276" w:lineRule="auto"/>
      </w:pPr>
      <w:r>
        <w:rPr>
          <w:rFonts w:ascii="Calibri" w:hAnsi="Calibri"/>
          <w:b w:val="0"/>
          <w:i w:val="0"/>
          <w:color w:val="333333"/>
          <w:sz w:val="22"/>
        </w:rPr>
        <w:t>An operational HR analytics solution could use similar dashboards to monitor:</w:t>
      </w:r>
    </w:p>
    <w:p>
      <w:pPr>
        <w:pStyle w:val="ListBullet"/>
        <w:spacing w:after="60" w:line="276" w:lineRule="auto"/>
      </w:pPr>
      <w:r>
        <w:rPr>
          <w:rFonts w:ascii="Calibri" w:hAnsi="Calibri"/>
          <w:color w:val="333333"/>
          <w:sz w:val="22"/>
        </w:rPr>
        <w:t>Attrition rate</w:t>
      </w:r>
    </w:p>
    <w:p>
      <w:pPr>
        <w:pStyle w:val="ListBullet"/>
        <w:spacing w:after="60" w:line="276" w:lineRule="auto"/>
      </w:pPr>
      <w:r>
        <w:rPr>
          <w:rFonts w:ascii="Calibri" w:hAnsi="Calibri"/>
          <w:color w:val="333333"/>
          <w:sz w:val="22"/>
        </w:rPr>
        <w:t>Attrition count</w:t>
      </w:r>
    </w:p>
    <w:p>
      <w:pPr>
        <w:pStyle w:val="ListBullet"/>
        <w:spacing w:after="60" w:line="276" w:lineRule="auto"/>
      </w:pPr>
      <w:r>
        <w:rPr>
          <w:rFonts w:ascii="Calibri" w:hAnsi="Calibri"/>
          <w:color w:val="333333"/>
          <w:sz w:val="22"/>
        </w:rPr>
        <w:t>Department performance</w:t>
      </w:r>
    </w:p>
    <w:p>
      <w:pPr>
        <w:pStyle w:val="ListBullet"/>
        <w:spacing w:after="60" w:line="276" w:lineRule="auto"/>
      </w:pPr>
      <w:r>
        <w:rPr>
          <w:rFonts w:ascii="Calibri" w:hAnsi="Calibri"/>
          <w:color w:val="333333"/>
          <w:sz w:val="22"/>
        </w:rPr>
        <w:t>Job-role risk</w:t>
      </w:r>
    </w:p>
    <w:p>
      <w:pPr>
        <w:pStyle w:val="ListBullet"/>
        <w:spacing w:after="60" w:line="276" w:lineRule="auto"/>
      </w:pPr>
      <w:r>
        <w:rPr>
          <w:rFonts w:ascii="Calibri" w:hAnsi="Calibri"/>
          <w:color w:val="333333"/>
          <w:sz w:val="22"/>
        </w:rPr>
        <w:t>Age-group patterns</w:t>
      </w:r>
    </w:p>
    <w:p>
      <w:pPr>
        <w:pStyle w:val="ListBullet"/>
        <w:spacing w:after="60" w:line="276" w:lineRule="auto"/>
      </w:pPr>
      <w:r>
        <w:rPr>
          <w:rFonts w:ascii="Calibri" w:hAnsi="Calibri"/>
          <w:color w:val="333333"/>
          <w:sz w:val="22"/>
        </w:rPr>
        <w:t>Employee satisfaction</w:t>
      </w:r>
    </w:p>
    <w:p>
      <w:pPr>
        <w:pStyle w:val="ListBullet"/>
        <w:spacing w:after="60" w:line="276" w:lineRule="auto"/>
      </w:pPr>
      <w:r>
        <w:rPr>
          <w:rFonts w:ascii="Calibri" w:hAnsi="Calibri"/>
          <w:color w:val="333333"/>
          <w:sz w:val="22"/>
        </w:rPr>
        <w:t>Overtime exposure</w:t>
      </w:r>
    </w:p>
    <w:p>
      <w:pPr>
        <w:spacing w:after="120" w:line="276" w:lineRule="auto"/>
      </w:pPr>
      <w:r>
        <w:rPr>
          <w:rFonts w:ascii="Calibri" w:hAnsi="Calibri"/>
          <w:b w:val="0"/>
          <w:i w:val="0"/>
          <w:color w:val="333333"/>
          <w:sz w:val="22"/>
        </w:rPr>
        <w:t>This would allow HR managers to move from static reporting toward continuous workforce monitoring.</w:t>
      </w:r>
    </w:p>
    <w:p>
      <w:pPr>
        <w:keepNext/>
        <w:spacing w:before="360" w:after="120"/>
      </w:pPr>
      <w:r>
        <w:rPr>
          <w:rFonts w:ascii="Calibri" w:hAnsi="Calibri"/>
          <w:b/>
          <w:color w:val="1B365D"/>
          <w:sz w:val="32"/>
        </w:rPr>
        <w:t>16. Project Limitations</w:t>
      </w:r>
    </w:p>
    <w:p>
      <w:pPr>
        <w:spacing w:after="120" w:line="276" w:lineRule="auto"/>
      </w:pPr>
      <w:r>
        <w:rPr>
          <w:rFonts w:ascii="Calibri" w:hAnsi="Calibri"/>
          <w:b w:val="0"/>
          <w:i w:val="0"/>
          <w:color w:val="333333"/>
          <w:sz w:val="22"/>
        </w:rPr>
        <w:t>Several limitations should be considered when interpreting the findings.</w:t>
      </w:r>
    </w:p>
    <w:p>
      <w:pPr>
        <w:keepNext/>
        <w:spacing w:before="240" w:after="80"/>
      </w:pPr>
      <w:r>
        <w:rPr>
          <w:rFonts w:ascii="Calibri" w:hAnsi="Calibri"/>
          <w:b/>
          <w:color w:val="0096A6"/>
          <w:sz w:val="26"/>
        </w:rPr>
        <w:t>16.1 Observational Analysis</w:t>
      </w:r>
    </w:p>
    <w:p>
      <w:pPr>
        <w:spacing w:after="120" w:line="276" w:lineRule="auto"/>
      </w:pPr>
      <w:r>
        <w:rPr>
          <w:rFonts w:ascii="Calibri" w:hAnsi="Calibri"/>
          <w:b w:val="0"/>
          <w:i w:val="0"/>
          <w:color w:val="333333"/>
          <w:sz w:val="22"/>
        </w:rPr>
        <w:t>The project is primarily descriptive and observational.</w:t>
      </w:r>
    </w:p>
    <w:p>
      <w:pPr>
        <w:spacing w:after="120" w:line="276" w:lineRule="auto"/>
      </w:pPr>
      <w:r>
        <w:rPr>
          <w:rFonts w:ascii="Calibri" w:hAnsi="Calibri"/>
          <w:b w:val="0"/>
          <w:i w:val="0"/>
          <w:color w:val="333333"/>
          <w:sz w:val="22"/>
        </w:rPr>
        <w:t>The findings identify patterns within the dataset but do not establish causal relationships.</w:t>
      </w:r>
    </w:p>
    <w:p>
      <w:pPr>
        <w:spacing w:after="120" w:line="276" w:lineRule="auto"/>
      </w:pPr>
      <w:r>
        <w:rPr>
          <w:rFonts w:ascii="Calibri" w:hAnsi="Calibri"/>
          <w:b w:val="0"/>
          <w:i w:val="0"/>
          <w:color w:val="333333"/>
          <w:sz w:val="22"/>
        </w:rPr>
        <w:t>For example, the higher attrition rate among overtime employees does not prove that overtime directly causes employees to leave.</w:t>
      </w:r>
    </w:p>
    <w:p>
      <w:pPr>
        <w:keepNext/>
        <w:spacing w:before="240" w:after="80"/>
      </w:pPr>
      <w:r>
        <w:rPr>
          <w:rFonts w:ascii="Calibri" w:hAnsi="Calibri"/>
          <w:b/>
          <w:color w:val="0096A6"/>
          <w:sz w:val="26"/>
        </w:rPr>
        <w:t>16.2 No Predictive Modeling</w:t>
      </w:r>
    </w:p>
    <w:p>
      <w:pPr>
        <w:spacing w:after="120" w:line="276" w:lineRule="auto"/>
      </w:pPr>
      <w:r>
        <w:rPr>
          <w:rFonts w:ascii="Calibri" w:hAnsi="Calibri"/>
          <w:b w:val="0"/>
          <w:i w:val="0"/>
          <w:color w:val="333333"/>
          <w:sz w:val="22"/>
        </w:rPr>
        <w:t>The project did not implement a machine learning model or statistical predictive model to predict individual employee attrition risk.</w:t>
      </w:r>
    </w:p>
    <w:p>
      <w:pPr>
        <w:spacing w:after="120" w:line="276" w:lineRule="auto"/>
      </w:pPr>
      <w:r>
        <w:rPr>
          <w:rFonts w:ascii="Calibri" w:hAnsi="Calibri"/>
          <w:b w:val="0"/>
          <w:i w:val="0"/>
          <w:color w:val="333333"/>
          <w:sz w:val="22"/>
        </w:rPr>
        <w:t>Future work could explore predictive techniques such as:</w:t>
      </w:r>
    </w:p>
    <w:p>
      <w:pPr>
        <w:pStyle w:val="ListBullet"/>
        <w:spacing w:after="60" w:line="276" w:lineRule="auto"/>
      </w:pPr>
      <w:r>
        <w:rPr>
          <w:rFonts w:ascii="Calibri" w:hAnsi="Calibri"/>
          <w:color w:val="333333"/>
          <w:sz w:val="22"/>
        </w:rPr>
        <w:t>Logistic regression</w:t>
      </w:r>
    </w:p>
    <w:p>
      <w:pPr>
        <w:pStyle w:val="ListBullet"/>
        <w:spacing w:after="60" w:line="276" w:lineRule="auto"/>
      </w:pPr>
      <w:r>
        <w:rPr>
          <w:rFonts w:ascii="Calibri" w:hAnsi="Calibri"/>
          <w:color w:val="333333"/>
          <w:sz w:val="22"/>
        </w:rPr>
        <w:t>Decision trees</w:t>
      </w:r>
    </w:p>
    <w:p>
      <w:pPr>
        <w:pStyle w:val="ListBullet"/>
        <w:spacing w:after="60" w:line="276" w:lineRule="auto"/>
      </w:pPr>
      <w:r>
        <w:rPr>
          <w:rFonts w:ascii="Calibri" w:hAnsi="Calibri"/>
          <w:color w:val="333333"/>
          <w:sz w:val="22"/>
        </w:rPr>
        <w:t>Random forests</w:t>
      </w:r>
    </w:p>
    <w:p>
      <w:pPr>
        <w:pStyle w:val="ListBullet"/>
        <w:spacing w:after="60" w:line="276" w:lineRule="auto"/>
      </w:pPr>
      <w:r>
        <w:rPr>
          <w:rFonts w:ascii="Calibri" w:hAnsi="Calibri"/>
          <w:color w:val="333333"/>
          <w:sz w:val="22"/>
        </w:rPr>
        <w:t>Gradient boosting</w:t>
      </w:r>
    </w:p>
    <w:p>
      <w:pPr>
        <w:keepNext/>
        <w:spacing w:before="240" w:after="80"/>
      </w:pPr>
      <w:r>
        <w:rPr>
          <w:rFonts w:ascii="Calibri" w:hAnsi="Calibri"/>
          <w:b/>
          <w:color w:val="0096A6"/>
          <w:sz w:val="26"/>
        </w:rPr>
        <w:t>16.3 No Formal Statistical Significance Testing</w:t>
      </w:r>
    </w:p>
    <w:p>
      <w:pPr>
        <w:spacing w:after="120" w:line="276" w:lineRule="auto"/>
      </w:pPr>
      <w:r>
        <w:rPr>
          <w:rFonts w:ascii="Calibri" w:hAnsi="Calibri"/>
          <w:b w:val="0"/>
          <w:i w:val="0"/>
          <w:color w:val="333333"/>
          <w:sz w:val="22"/>
        </w:rPr>
        <w:t>The project primarily focused on descriptive analysis and dashboard-based exploration.</w:t>
      </w:r>
    </w:p>
    <w:p>
      <w:pPr>
        <w:spacing w:after="120" w:line="276" w:lineRule="auto"/>
      </w:pPr>
      <w:r>
        <w:rPr>
          <w:rFonts w:ascii="Calibri" w:hAnsi="Calibri"/>
          <w:b w:val="0"/>
          <w:i w:val="0"/>
          <w:color w:val="333333"/>
          <w:sz w:val="22"/>
        </w:rPr>
        <w:t>Formal statistical testing was not conducted to determine whether differences between employee groups were statistically significant.</w:t>
      </w:r>
    </w:p>
    <w:p>
      <w:pPr>
        <w:keepNext/>
        <w:spacing w:before="240" w:after="80"/>
      </w:pPr>
      <w:r>
        <w:rPr>
          <w:rFonts w:ascii="Calibri" w:hAnsi="Calibri"/>
          <w:b/>
          <w:color w:val="0096A6"/>
          <w:sz w:val="26"/>
        </w:rPr>
        <w:t>16.4 Historical Dataset</w:t>
      </w:r>
    </w:p>
    <w:p>
      <w:pPr>
        <w:spacing w:after="120" w:line="276" w:lineRule="auto"/>
      </w:pPr>
      <w:r>
        <w:rPr>
          <w:rFonts w:ascii="Calibri" w:hAnsi="Calibri"/>
          <w:b w:val="0"/>
          <w:i w:val="0"/>
          <w:color w:val="333333"/>
          <w:sz w:val="22"/>
        </w:rPr>
        <w:t>The analysis is based on a fixed dataset.</w:t>
      </w:r>
    </w:p>
    <w:p>
      <w:pPr>
        <w:spacing w:after="120" w:line="276" w:lineRule="auto"/>
      </w:pPr>
      <w:r>
        <w:rPr>
          <w:rFonts w:ascii="Calibri" w:hAnsi="Calibri"/>
          <w:b w:val="0"/>
          <w:i w:val="0"/>
          <w:color w:val="333333"/>
          <w:sz w:val="22"/>
        </w:rPr>
        <w:t>The results may not represent current workforce conditions in a real organization.</w:t>
      </w:r>
    </w:p>
    <w:p>
      <w:pPr>
        <w:keepNext/>
        <w:spacing w:before="240" w:after="80"/>
      </w:pPr>
      <w:r>
        <w:rPr>
          <w:rFonts w:ascii="Calibri" w:hAnsi="Calibri"/>
          <w:b/>
          <w:color w:val="0096A6"/>
          <w:sz w:val="26"/>
        </w:rPr>
        <w:t>16.5 Small Subgroup Sizes</w:t>
      </w:r>
    </w:p>
    <w:p>
      <w:pPr>
        <w:spacing w:after="120" w:line="276" w:lineRule="auto"/>
      </w:pPr>
      <w:r>
        <w:rPr>
          <w:rFonts w:ascii="Calibri" w:hAnsi="Calibri"/>
          <w:b w:val="0"/>
          <w:i w:val="0"/>
          <w:color w:val="333333"/>
          <w:sz w:val="22"/>
        </w:rPr>
        <w:t>Some dashboard filters produced very small employee groups.</w:t>
      </w:r>
    </w:p>
    <w:p>
      <w:pPr>
        <w:spacing w:after="120" w:line="276" w:lineRule="auto"/>
      </w:pPr>
      <w:r>
        <w:rPr>
          <w:rFonts w:ascii="Calibri" w:hAnsi="Calibri"/>
          <w:b w:val="0"/>
          <w:i w:val="0"/>
          <w:color w:val="333333"/>
          <w:sz w:val="22"/>
        </w:rPr>
        <w:t>High attrition percentages within small groups should therefore be interpreted cautiously.</w:t>
      </w:r>
    </w:p>
    <w:p>
      <w:pPr>
        <w:spacing w:after="120" w:line="276" w:lineRule="auto"/>
      </w:pPr>
      <w:r>
        <w:rPr>
          <w:rFonts w:ascii="Calibri" w:hAnsi="Calibri"/>
          <w:b w:val="0"/>
          <w:i w:val="0"/>
          <w:color w:val="333333"/>
          <w:sz w:val="22"/>
        </w:rPr>
        <w:t>For example, an attrition rate of 100% in a group containing one employee does not necessarily indicate a broader organizational trend.</w:t>
      </w:r>
    </w:p>
    <w:p>
      <w:pPr>
        <w:keepNext/>
        <w:spacing w:before="240" w:after="80"/>
      </w:pPr>
      <w:r>
        <w:rPr>
          <w:rFonts w:ascii="Calibri" w:hAnsi="Calibri"/>
          <w:b/>
          <w:color w:val="0096A6"/>
          <w:sz w:val="26"/>
        </w:rPr>
        <w:t>16.6 Tutorial-Based Learning Context</w:t>
      </w:r>
    </w:p>
    <w:p>
      <w:pPr>
        <w:spacing w:after="120" w:line="276" w:lineRule="auto"/>
      </w:pPr>
      <w:r>
        <w:rPr>
          <w:rFonts w:ascii="Calibri" w:hAnsi="Calibri"/>
          <w:b w:val="0"/>
          <w:i w:val="0"/>
          <w:color w:val="333333"/>
          <w:sz w:val="22"/>
        </w:rPr>
        <w:t>The project was developed as a hands-on learning project following a structured tutorial workflow.</w:t>
      </w:r>
    </w:p>
    <w:p>
      <w:pPr>
        <w:spacing w:after="120" w:line="276" w:lineRule="auto"/>
      </w:pPr>
      <w:r>
        <w:rPr>
          <w:rFonts w:ascii="Calibri" w:hAnsi="Calibri"/>
          <w:b w:val="0"/>
          <w:i w:val="0"/>
          <w:color w:val="333333"/>
          <w:sz w:val="22"/>
        </w:rPr>
        <w:t>The tutorial provided guidance on the dataset, analytical approach, dashboard development, SQL analysis, and validation processes.</w:t>
      </w:r>
    </w:p>
    <w:p>
      <w:pPr>
        <w:spacing w:after="120" w:line="276" w:lineRule="auto"/>
      </w:pPr>
      <w:r>
        <w:rPr>
          <w:rFonts w:ascii="Calibri" w:hAnsi="Calibri"/>
          <w:b w:val="0"/>
          <w:i w:val="0"/>
          <w:color w:val="333333"/>
          <w:sz w:val="22"/>
        </w:rPr>
        <w:t>The project has been independently organized and documented as part of the portfolio, but the underlying work should be understood as a learning project rather than an original organizational HR consulting engagement.</w:t>
      </w:r>
    </w:p>
    <w:p>
      <w:pPr>
        <w:keepNext/>
        <w:spacing w:before="360" w:after="120"/>
      </w:pPr>
      <w:r>
        <w:rPr>
          <w:rFonts w:ascii="Calibri" w:hAnsi="Calibri"/>
          <w:b/>
          <w:color w:val="1B365D"/>
          <w:sz w:val="32"/>
        </w:rPr>
        <w:t>17. Learning Outcomes</w:t>
      </w:r>
    </w:p>
    <w:p>
      <w:pPr>
        <w:spacing w:after="120" w:line="276" w:lineRule="auto"/>
      </w:pPr>
      <w:r>
        <w:rPr>
          <w:rFonts w:ascii="Calibri" w:hAnsi="Calibri"/>
          <w:b w:val="0"/>
          <w:i w:val="0"/>
          <w:color w:val="333333"/>
          <w:sz w:val="22"/>
        </w:rPr>
        <w:t>This project provided practical exposure to a broad range of data analytics and business intelligence skills.</w:t>
      </w:r>
    </w:p>
    <w:p>
      <w:pPr>
        <w:spacing w:after="120" w:line="276" w:lineRule="auto"/>
      </w:pPr>
      <w:r>
        <w:rPr>
          <w:rFonts w:ascii="Calibri" w:hAnsi="Calibri"/>
          <w:b/>
          <w:i w:val="0"/>
          <w:color w:val="1B365D"/>
          <w:sz w:val="22"/>
        </w:rPr>
        <w:t>Data Analysis</w:t>
      </w:r>
    </w:p>
    <w:p>
      <w:pPr>
        <w:pStyle w:val="ListBullet"/>
        <w:spacing w:after="60" w:line="276" w:lineRule="auto"/>
      </w:pPr>
      <w:r>
        <w:rPr>
          <w:rFonts w:ascii="Calibri" w:hAnsi="Calibri"/>
          <w:color w:val="333333"/>
          <w:sz w:val="22"/>
        </w:rPr>
        <w:t>Data exploration</w:t>
      </w:r>
    </w:p>
    <w:p>
      <w:pPr>
        <w:pStyle w:val="ListBullet"/>
        <w:spacing w:after="60" w:line="276" w:lineRule="auto"/>
      </w:pPr>
      <w:r>
        <w:rPr>
          <w:rFonts w:ascii="Calibri" w:hAnsi="Calibri"/>
          <w:color w:val="333333"/>
          <w:sz w:val="22"/>
        </w:rPr>
        <w:t>Data preparation</w:t>
      </w:r>
    </w:p>
    <w:p>
      <w:pPr>
        <w:pStyle w:val="ListBullet"/>
        <w:spacing w:after="60" w:line="276" w:lineRule="auto"/>
      </w:pPr>
      <w:r>
        <w:rPr>
          <w:rFonts w:ascii="Calibri" w:hAnsi="Calibri"/>
          <w:color w:val="333333"/>
          <w:sz w:val="22"/>
        </w:rPr>
        <w:t>Descriptive analysis</w:t>
      </w:r>
    </w:p>
    <w:p>
      <w:pPr>
        <w:pStyle w:val="ListBullet"/>
        <w:spacing w:after="60" w:line="276" w:lineRule="auto"/>
      </w:pPr>
      <w:r>
        <w:rPr>
          <w:rFonts w:ascii="Calibri" w:hAnsi="Calibri"/>
          <w:color w:val="333333"/>
          <w:sz w:val="22"/>
        </w:rPr>
        <w:t>Grouped analysis</w:t>
      </w:r>
    </w:p>
    <w:p>
      <w:pPr>
        <w:pStyle w:val="ListBullet"/>
        <w:spacing w:after="60" w:line="276" w:lineRule="auto"/>
      </w:pPr>
      <w:r>
        <w:rPr>
          <w:rFonts w:ascii="Calibri" w:hAnsi="Calibri"/>
          <w:color w:val="333333"/>
          <w:sz w:val="22"/>
        </w:rPr>
        <w:t>KPI calculation</w:t>
      </w:r>
    </w:p>
    <w:p>
      <w:pPr>
        <w:spacing w:after="120" w:line="276" w:lineRule="auto"/>
      </w:pPr>
      <w:r>
        <w:rPr>
          <w:rFonts w:ascii="Calibri" w:hAnsi="Calibri"/>
          <w:b/>
          <w:i w:val="0"/>
          <w:color w:val="1B365D"/>
          <w:sz w:val="22"/>
        </w:rPr>
        <w:t>SQL and Databases</w:t>
      </w:r>
    </w:p>
    <w:p>
      <w:pPr>
        <w:pStyle w:val="ListBullet"/>
        <w:spacing w:after="60" w:line="276" w:lineRule="auto"/>
      </w:pPr>
      <w:r>
        <w:rPr>
          <w:rFonts w:ascii="Calibri" w:hAnsi="Calibri"/>
          <w:color w:val="333333"/>
          <w:sz w:val="22"/>
        </w:rPr>
        <w:t>PostgreSQL</w:t>
      </w:r>
    </w:p>
    <w:p>
      <w:pPr>
        <w:pStyle w:val="ListBullet"/>
        <w:spacing w:after="60" w:line="276" w:lineRule="auto"/>
      </w:pPr>
      <w:r>
        <w:rPr>
          <w:rFonts w:ascii="Calibri" w:hAnsi="Calibri"/>
          <w:color w:val="333333"/>
          <w:sz w:val="22"/>
        </w:rPr>
        <w:t>SQL querying</w:t>
      </w:r>
    </w:p>
    <w:p>
      <w:pPr>
        <w:pStyle w:val="ListBullet"/>
        <w:spacing w:after="60" w:line="276" w:lineRule="auto"/>
      </w:pPr>
      <w:r>
        <w:rPr>
          <w:rFonts w:ascii="Calibri" w:hAnsi="Calibri"/>
          <w:color w:val="333333"/>
          <w:sz w:val="22"/>
        </w:rPr>
        <w:t>Aggregation</w:t>
      </w:r>
    </w:p>
    <w:p>
      <w:pPr>
        <w:pStyle w:val="ListBullet"/>
        <w:spacing w:after="60" w:line="276" w:lineRule="auto"/>
      </w:pPr>
      <w:r>
        <w:rPr>
          <w:rFonts w:ascii="Calibri" w:hAnsi="Calibri"/>
          <w:color w:val="333333"/>
          <w:sz w:val="22"/>
        </w:rPr>
        <w:t>Filtering</w:t>
      </w:r>
    </w:p>
    <w:p>
      <w:pPr>
        <w:pStyle w:val="ListBullet"/>
        <w:spacing w:after="60" w:line="276" w:lineRule="auto"/>
      </w:pPr>
      <w:r>
        <w:rPr>
          <w:rFonts w:ascii="Calibri" w:hAnsi="Calibri"/>
          <w:color w:val="333333"/>
          <w:sz w:val="22"/>
        </w:rPr>
        <w:t>Grouping</w:t>
      </w:r>
    </w:p>
    <w:p>
      <w:pPr>
        <w:pStyle w:val="ListBullet"/>
        <w:spacing w:after="60" w:line="276" w:lineRule="auto"/>
      </w:pPr>
      <w:r>
        <w:rPr>
          <w:rFonts w:ascii="Calibri" w:hAnsi="Calibri"/>
          <w:color w:val="333333"/>
          <w:sz w:val="22"/>
        </w:rPr>
        <w:t>Conditional calculations</w:t>
      </w:r>
    </w:p>
    <w:p>
      <w:pPr>
        <w:pStyle w:val="ListBullet"/>
        <w:spacing w:after="60" w:line="276" w:lineRule="auto"/>
      </w:pPr>
      <w:r>
        <w:rPr>
          <w:rFonts w:ascii="Calibri" w:hAnsi="Calibri"/>
          <w:color w:val="333333"/>
          <w:sz w:val="22"/>
        </w:rPr>
        <w:t>Crosstab analysis</w:t>
      </w:r>
    </w:p>
    <w:p>
      <w:pPr>
        <w:spacing w:after="120" w:line="276" w:lineRule="auto"/>
      </w:pPr>
      <w:r>
        <w:rPr>
          <w:rFonts w:ascii="Calibri" w:hAnsi="Calibri"/>
          <w:b/>
          <w:i w:val="0"/>
          <w:color w:val="1B365D"/>
          <w:sz w:val="22"/>
        </w:rPr>
        <w:t>Microsoft Excel</w:t>
      </w:r>
    </w:p>
    <w:p>
      <w:pPr>
        <w:pStyle w:val="ListBullet"/>
        <w:spacing w:after="60" w:line="276" w:lineRule="auto"/>
      </w:pPr>
      <w:r>
        <w:rPr>
          <w:rFonts w:ascii="Calibri" w:hAnsi="Calibri"/>
          <w:color w:val="333333"/>
          <w:sz w:val="22"/>
        </w:rPr>
        <w:t>Workforce analysis</w:t>
      </w:r>
    </w:p>
    <w:p>
      <w:pPr>
        <w:pStyle w:val="ListBullet"/>
        <w:spacing w:after="60" w:line="276" w:lineRule="auto"/>
      </w:pPr>
      <w:r>
        <w:rPr>
          <w:rFonts w:ascii="Calibri" w:hAnsi="Calibri"/>
          <w:color w:val="333333"/>
          <w:sz w:val="22"/>
        </w:rPr>
        <w:t>KPI analysis</w:t>
      </w:r>
    </w:p>
    <w:p>
      <w:pPr>
        <w:pStyle w:val="ListBullet"/>
        <w:spacing w:after="60" w:line="276" w:lineRule="auto"/>
      </w:pPr>
      <w:r>
        <w:rPr>
          <w:rFonts w:ascii="Calibri" w:hAnsi="Calibri"/>
          <w:color w:val="333333"/>
          <w:sz w:val="22"/>
        </w:rPr>
        <w:t>Dashboard development</w:t>
      </w:r>
    </w:p>
    <w:p>
      <w:pPr>
        <w:pStyle w:val="ListBullet"/>
        <w:spacing w:after="60" w:line="276" w:lineRule="auto"/>
      </w:pPr>
      <w:r>
        <w:rPr>
          <w:rFonts w:ascii="Calibri" w:hAnsi="Calibri"/>
          <w:color w:val="333333"/>
          <w:sz w:val="22"/>
        </w:rPr>
        <w:t>Data visualization</w:t>
      </w:r>
    </w:p>
    <w:p>
      <w:pPr>
        <w:spacing w:after="120" w:line="276" w:lineRule="auto"/>
      </w:pPr>
      <w:r>
        <w:rPr>
          <w:rFonts w:ascii="Calibri" w:hAnsi="Calibri"/>
          <w:b/>
          <w:i w:val="0"/>
          <w:color w:val="1B365D"/>
          <w:sz w:val="22"/>
        </w:rPr>
        <w:t>Power BI</w:t>
      </w:r>
    </w:p>
    <w:p>
      <w:pPr>
        <w:pStyle w:val="ListBullet"/>
        <w:spacing w:after="60" w:line="276" w:lineRule="auto"/>
      </w:pPr>
      <w:r>
        <w:rPr>
          <w:rFonts w:ascii="Calibri" w:hAnsi="Calibri"/>
          <w:color w:val="333333"/>
          <w:sz w:val="22"/>
        </w:rPr>
        <w:t>Interactive dashboard development</w:t>
      </w:r>
    </w:p>
    <w:p>
      <w:pPr>
        <w:pStyle w:val="ListBullet"/>
        <w:spacing w:after="60" w:line="276" w:lineRule="auto"/>
      </w:pPr>
      <w:r>
        <w:rPr>
          <w:rFonts w:ascii="Calibri" w:hAnsi="Calibri"/>
          <w:color w:val="333333"/>
          <w:sz w:val="22"/>
        </w:rPr>
        <w:t>KPI cards</w:t>
      </w:r>
    </w:p>
    <w:p>
      <w:pPr>
        <w:pStyle w:val="ListBullet"/>
        <w:spacing w:after="60" w:line="276" w:lineRule="auto"/>
      </w:pPr>
      <w:r>
        <w:rPr>
          <w:rFonts w:ascii="Calibri" w:hAnsi="Calibri"/>
          <w:color w:val="333333"/>
          <w:sz w:val="22"/>
        </w:rPr>
        <w:t>Data visualization</w:t>
      </w:r>
    </w:p>
    <w:p>
      <w:pPr>
        <w:pStyle w:val="ListBullet"/>
        <w:spacing w:after="60" w:line="276" w:lineRule="auto"/>
      </w:pPr>
      <w:r>
        <w:rPr>
          <w:rFonts w:ascii="Calibri" w:hAnsi="Calibri"/>
          <w:color w:val="333333"/>
          <w:sz w:val="22"/>
        </w:rPr>
        <w:t>Filtering</w:t>
      </w:r>
    </w:p>
    <w:p>
      <w:pPr>
        <w:pStyle w:val="ListBullet"/>
        <w:spacing w:after="60" w:line="276" w:lineRule="auto"/>
      </w:pPr>
      <w:r>
        <w:rPr>
          <w:rFonts w:ascii="Calibri" w:hAnsi="Calibri"/>
          <w:color w:val="333333"/>
          <w:sz w:val="22"/>
        </w:rPr>
        <w:t>Cross-filtering</w:t>
      </w:r>
    </w:p>
    <w:p>
      <w:pPr>
        <w:pStyle w:val="ListBullet"/>
        <w:spacing w:after="60" w:line="276" w:lineRule="auto"/>
      </w:pPr>
      <w:r>
        <w:rPr>
          <w:rFonts w:ascii="Calibri" w:hAnsi="Calibri"/>
          <w:color w:val="333333"/>
          <w:sz w:val="22"/>
        </w:rPr>
        <w:t>DAX exposure</w:t>
      </w:r>
    </w:p>
    <w:p>
      <w:pPr>
        <w:pStyle w:val="ListBullet"/>
        <w:spacing w:after="60" w:line="276" w:lineRule="auto"/>
      </w:pPr>
      <w:r>
        <w:rPr>
          <w:rFonts w:ascii="Calibri" w:hAnsi="Calibri"/>
          <w:color w:val="333333"/>
          <w:sz w:val="22"/>
        </w:rPr>
        <w:t>Data modeling exposure</w:t>
      </w:r>
    </w:p>
    <w:p>
      <w:pPr>
        <w:pStyle w:val="ListBullet"/>
        <w:spacing w:after="60" w:line="276" w:lineRule="auto"/>
      </w:pPr>
      <w:r>
        <w:rPr>
          <w:rFonts w:ascii="Calibri" w:hAnsi="Calibri"/>
          <w:color w:val="333333"/>
          <w:sz w:val="22"/>
        </w:rPr>
        <w:t>ETL workflow exposure</w:t>
      </w:r>
    </w:p>
    <w:p>
      <w:pPr>
        <w:spacing w:after="120" w:line="276" w:lineRule="auto"/>
      </w:pPr>
      <w:r>
        <w:rPr>
          <w:rFonts w:ascii="Calibri" w:hAnsi="Calibri"/>
          <w:b/>
          <w:i w:val="0"/>
          <w:color w:val="1B365D"/>
          <w:sz w:val="22"/>
        </w:rPr>
        <w:t>Tableau</w:t>
      </w:r>
    </w:p>
    <w:p>
      <w:pPr>
        <w:pStyle w:val="ListBullet"/>
        <w:spacing w:after="60" w:line="276" w:lineRule="auto"/>
      </w:pPr>
      <w:r>
        <w:rPr>
          <w:rFonts w:ascii="Calibri" w:hAnsi="Calibri"/>
          <w:color w:val="333333"/>
          <w:sz w:val="22"/>
        </w:rPr>
        <w:t>Dashboard design</w:t>
      </w:r>
    </w:p>
    <w:p>
      <w:pPr>
        <w:pStyle w:val="ListBullet"/>
        <w:spacing w:after="60" w:line="276" w:lineRule="auto"/>
      </w:pPr>
      <w:r>
        <w:rPr>
          <w:rFonts w:ascii="Calibri" w:hAnsi="Calibri"/>
          <w:color w:val="333333"/>
          <w:sz w:val="22"/>
        </w:rPr>
        <w:t>Interactive filters</w:t>
      </w:r>
    </w:p>
    <w:p>
      <w:pPr>
        <w:pStyle w:val="ListBullet"/>
        <w:spacing w:after="60" w:line="276" w:lineRule="auto"/>
      </w:pPr>
      <w:r>
        <w:rPr>
          <w:rFonts w:ascii="Calibri" w:hAnsi="Calibri"/>
          <w:color w:val="333333"/>
          <w:sz w:val="22"/>
        </w:rPr>
        <w:t>Cross-filtering</w:t>
      </w:r>
    </w:p>
    <w:p>
      <w:pPr>
        <w:pStyle w:val="ListBullet"/>
        <w:spacing w:after="60" w:line="276" w:lineRule="auto"/>
      </w:pPr>
      <w:r>
        <w:rPr>
          <w:rFonts w:ascii="Calibri" w:hAnsi="Calibri"/>
          <w:color w:val="333333"/>
          <w:sz w:val="22"/>
        </w:rPr>
        <w:t>Dynamic age bins</w:t>
      </w:r>
    </w:p>
    <w:p>
      <w:pPr>
        <w:pStyle w:val="ListBullet"/>
        <w:spacing w:after="60" w:line="276" w:lineRule="auto"/>
      </w:pPr>
      <w:r>
        <w:rPr>
          <w:rFonts w:ascii="Calibri" w:hAnsi="Calibri"/>
          <w:color w:val="333333"/>
          <w:sz w:val="22"/>
        </w:rPr>
        <w:t>Heatmaps</w:t>
      </w:r>
    </w:p>
    <w:p>
      <w:pPr>
        <w:pStyle w:val="ListBullet"/>
        <w:spacing w:after="60" w:line="276" w:lineRule="auto"/>
      </w:pPr>
      <w:r>
        <w:rPr>
          <w:rFonts w:ascii="Calibri" w:hAnsi="Calibri"/>
          <w:color w:val="333333"/>
          <w:sz w:val="22"/>
        </w:rPr>
        <w:t>Demographic analysis</w:t>
      </w:r>
    </w:p>
    <w:p>
      <w:pPr>
        <w:pStyle w:val="ListBullet"/>
        <w:spacing w:after="60" w:line="276" w:lineRule="auto"/>
      </w:pPr>
      <w:r>
        <w:rPr>
          <w:rFonts w:ascii="Calibri" w:hAnsi="Calibri"/>
          <w:color w:val="333333"/>
          <w:sz w:val="22"/>
        </w:rPr>
        <w:t>Managerial reporting</w:t>
      </w:r>
    </w:p>
    <w:p>
      <w:pPr>
        <w:spacing w:after="120" w:line="276" w:lineRule="auto"/>
      </w:pPr>
      <w:r>
        <w:rPr>
          <w:rFonts w:ascii="Calibri" w:hAnsi="Calibri"/>
          <w:b/>
          <w:i w:val="0"/>
          <w:color w:val="1B365D"/>
          <w:sz w:val="22"/>
        </w:rPr>
        <w:t>Quality Assurance</w:t>
      </w:r>
    </w:p>
    <w:p>
      <w:pPr>
        <w:pStyle w:val="ListBullet"/>
        <w:spacing w:after="60" w:line="276" w:lineRule="auto"/>
      </w:pPr>
      <w:r>
        <w:rPr>
          <w:rFonts w:ascii="Calibri" w:hAnsi="Calibri"/>
          <w:color w:val="333333"/>
          <w:sz w:val="22"/>
        </w:rPr>
        <w:t>Metric validation</w:t>
      </w:r>
    </w:p>
    <w:p>
      <w:pPr>
        <w:pStyle w:val="ListBullet"/>
        <w:spacing w:after="60" w:line="276" w:lineRule="auto"/>
      </w:pPr>
      <w:r>
        <w:rPr>
          <w:rFonts w:ascii="Calibri" w:hAnsi="Calibri"/>
          <w:color w:val="333333"/>
          <w:sz w:val="22"/>
        </w:rPr>
        <w:t>SQL-to-dashboard comparison</w:t>
      </w:r>
    </w:p>
    <w:p>
      <w:pPr>
        <w:pStyle w:val="ListBullet"/>
        <w:spacing w:after="60" w:line="276" w:lineRule="auto"/>
      </w:pPr>
      <w:r>
        <w:rPr>
          <w:rFonts w:ascii="Calibri" w:hAnsi="Calibri"/>
          <w:color w:val="333333"/>
          <w:sz w:val="22"/>
        </w:rPr>
        <w:t>QA test documentation</w:t>
      </w:r>
    </w:p>
    <w:p>
      <w:pPr>
        <w:pStyle w:val="ListBullet"/>
        <w:spacing w:after="60" w:line="276" w:lineRule="auto"/>
      </w:pPr>
      <w:r>
        <w:rPr>
          <w:rFonts w:ascii="Calibri" w:hAnsi="Calibri"/>
          <w:color w:val="333333"/>
          <w:sz w:val="22"/>
        </w:rPr>
        <w:t>Analytical consistency checking</w:t>
      </w:r>
    </w:p>
    <w:p>
      <w:pPr>
        <w:spacing w:after="120" w:line="276" w:lineRule="auto"/>
      </w:pPr>
      <w:r>
        <w:rPr>
          <w:rFonts w:ascii="Calibri" w:hAnsi="Calibri"/>
          <w:b/>
          <w:i w:val="0"/>
          <w:color w:val="1B365D"/>
          <w:sz w:val="22"/>
        </w:rPr>
        <w:t>Professional Analytics</w:t>
      </w:r>
    </w:p>
    <w:p>
      <w:pPr>
        <w:pStyle w:val="ListBullet"/>
        <w:spacing w:after="60" w:line="276" w:lineRule="auto"/>
      </w:pPr>
      <w:r>
        <w:rPr>
          <w:rFonts w:ascii="Calibri" w:hAnsi="Calibri"/>
          <w:color w:val="333333"/>
          <w:sz w:val="22"/>
        </w:rPr>
        <w:t>Business insight generation</w:t>
      </w:r>
    </w:p>
    <w:p>
      <w:pPr>
        <w:pStyle w:val="ListBullet"/>
        <w:spacing w:after="60" w:line="276" w:lineRule="auto"/>
      </w:pPr>
      <w:r>
        <w:rPr>
          <w:rFonts w:ascii="Calibri" w:hAnsi="Calibri"/>
          <w:color w:val="333333"/>
          <w:sz w:val="22"/>
        </w:rPr>
        <w:t>Recommendation development</w:t>
      </w:r>
    </w:p>
    <w:p>
      <w:pPr>
        <w:pStyle w:val="ListBullet"/>
        <w:spacing w:after="60" w:line="276" w:lineRule="auto"/>
      </w:pPr>
      <w:r>
        <w:rPr>
          <w:rFonts w:ascii="Calibri" w:hAnsi="Calibri"/>
          <w:color w:val="333333"/>
          <w:sz w:val="22"/>
        </w:rPr>
        <w:t>Analytical storytelling</w:t>
      </w:r>
    </w:p>
    <w:p>
      <w:pPr>
        <w:pStyle w:val="ListBullet"/>
        <w:spacing w:after="60" w:line="276" w:lineRule="auto"/>
      </w:pPr>
      <w:r>
        <w:rPr>
          <w:rFonts w:ascii="Calibri" w:hAnsi="Calibri"/>
          <w:color w:val="333333"/>
          <w:sz w:val="22"/>
        </w:rPr>
        <w:t>Portfolio documentation</w:t>
      </w:r>
    </w:p>
    <w:p>
      <w:pPr>
        <w:pStyle w:val="ListBullet"/>
        <w:spacing w:after="60" w:line="276" w:lineRule="auto"/>
      </w:pPr>
      <w:r>
        <w:rPr>
          <w:rFonts w:ascii="Calibri" w:hAnsi="Calibri"/>
          <w:color w:val="333333"/>
          <w:sz w:val="22"/>
        </w:rPr>
        <w:t>GitHub project organization</w:t>
      </w:r>
    </w:p>
    <w:p>
      <w:pPr>
        <w:keepNext/>
        <w:spacing w:before="360" w:after="120"/>
      </w:pPr>
      <w:r>
        <w:rPr>
          <w:rFonts w:ascii="Calibri" w:hAnsi="Calibri"/>
          <w:b/>
          <w:color w:val="1B365D"/>
          <w:sz w:val="32"/>
        </w:rPr>
        <w:t>18. Portfolio Project Value</w:t>
      </w:r>
    </w:p>
    <w:p>
      <w:pPr>
        <w:spacing w:after="120" w:line="276" w:lineRule="auto"/>
      </w:pPr>
      <w:r>
        <w:rPr>
          <w:rFonts w:ascii="Calibri" w:hAnsi="Calibri"/>
          <w:b w:val="0"/>
          <w:i w:val="0"/>
          <w:color w:val="333333"/>
          <w:sz w:val="22"/>
        </w:rPr>
        <w:t>This project demonstrates an end-to-end analytics workflow rather than focusing on a single software tool.</w:t>
      </w:r>
    </w:p>
    <w:p>
      <w:pPr>
        <w:spacing w:after="120" w:line="276" w:lineRule="auto"/>
      </w:pPr>
      <w:r>
        <w:rPr>
          <w:rFonts w:ascii="Calibri" w:hAnsi="Calibri"/>
          <w:b w:val="0"/>
          <w:i w:val="0"/>
          <w:color w:val="333333"/>
          <w:sz w:val="22"/>
        </w:rPr>
        <w:t>The project shows the progression:</w:t>
      </w:r>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40" w:type="dxa"/>
              <w:right w:w="240" w:type="dxa"/>
            </w:tcMar>
            <w:tcBorders>
              <w:left w:val="single" w:sz="24" w:space="0" w:color="1B365D"/>
              <w:top w:val="none"/>
              <w:right w:val="none"/>
              <w:bottom w:val="none"/>
            </w:tcBorders>
          </w:tcPr>
          <w:p>
            <w:pPr>
              <w:spacing w:after="0" w:line="276" w:lineRule="auto"/>
            </w:pPr>
            <w:r>
              <w:rPr>
                <w:rFonts w:ascii="Calibri" w:hAnsi="Calibri"/>
                <w:b/>
                <w:color w:val="1B365D"/>
              </w:rPr>
              <w:t>End-to-End Progression:</w:t>
              <w:br/>
            </w:r>
            <w:r>
              <w:rPr>
                <w:rFonts w:ascii="Calibri" w:hAnsi="Calibri"/>
                <w:color w:val="333333"/>
              </w:rPr>
              <w:t xml:space="preserve">Raw HR Data  ↓  </w:t>
              <w:br/>
              <w:t xml:space="preserve">Data Preparation  ↓  </w:t>
              <w:br/>
              <w:t xml:space="preserve">Exploratory Analysis  ↓  </w:t>
              <w:br/>
              <w:t xml:space="preserve">Excel Analytics  ↓  </w:t>
              <w:br/>
              <w:t xml:space="preserve">SQL Analysis  ↓  </w:t>
              <w:br/>
              <w:t xml:space="preserve">Power BI Dashboard  ↓  </w:t>
              <w:br/>
              <w:t xml:space="preserve">Tableau Dashboard  ↓  </w:t>
              <w:br/>
              <w:t xml:space="preserve">Cross-Tool Validation  ↓  </w:t>
              <w:br/>
              <w:t xml:space="preserve">Quality Assurance  ↓  </w:t>
              <w:br/>
              <w:t xml:space="preserve">Business Insights  ↓  </w:t>
              <w:br/>
              <w:t>Strategic Recommendations</w:t>
            </w:r>
          </w:p>
        </w:tc>
      </w:tr>
    </w:tbl>
    <w:p>
      <w:pPr>
        <w:spacing w:after="120"/>
      </w:pPr>
    </w:p>
    <w:p>
      <w:pPr>
        <w:spacing w:after="120" w:line="276" w:lineRule="auto"/>
      </w:pPr>
      <w:r>
        <w:rPr>
          <w:rFonts w:ascii="Calibri" w:hAnsi="Calibri"/>
          <w:b w:val="0"/>
          <w:i w:val="0"/>
          <w:color w:val="333333"/>
          <w:sz w:val="22"/>
        </w:rPr>
        <w:t>This workflow demonstrates practical exposure to multiple stages of the data analytics lifecycle.</w:t>
      </w:r>
    </w:p>
    <w:p>
      <w:pPr>
        <w:spacing w:after="120" w:line="276" w:lineRule="auto"/>
      </w:pPr>
      <w:r>
        <w:rPr>
          <w:rFonts w:ascii="Calibri" w:hAnsi="Calibri"/>
          <w:b w:val="0"/>
          <w:i w:val="0"/>
          <w:color w:val="333333"/>
          <w:sz w:val="22"/>
        </w:rPr>
        <w:t>The project also demonstrates the ability to use different technologies for complementary purposes rather than treating each tool as an isolated skill.</w:t>
      </w:r>
    </w:p>
    <w:p>
      <w:pPr>
        <w:keepNext/>
        <w:spacing w:before="360" w:after="120"/>
      </w:pPr>
      <w:r>
        <w:rPr>
          <w:rFonts w:ascii="Calibri" w:hAnsi="Calibri"/>
          <w:b/>
          <w:color w:val="1B365D"/>
          <w:sz w:val="32"/>
        </w:rPr>
        <w:t>19. Conclusion</w:t>
      </w:r>
    </w:p>
    <w:p>
      <w:pPr>
        <w:spacing w:after="120" w:line="276" w:lineRule="auto"/>
      </w:pPr>
      <w:r>
        <w:rPr>
          <w:rFonts w:ascii="Calibri" w:hAnsi="Calibri"/>
          <w:b w:val="0"/>
          <w:i w:val="0"/>
          <w:color w:val="333333"/>
          <w:sz w:val="22"/>
        </w:rPr>
        <w:t>The HR Analytics Pipeline project provided a practical opportunity to explore employee workforce characteristics and attrition patterns using multiple data analytics and business intelligence technologies.</w:t>
      </w:r>
    </w:p>
    <w:p>
      <w:pPr>
        <w:spacing w:after="120" w:line="276" w:lineRule="auto"/>
      </w:pPr>
      <w:r>
        <w:rPr>
          <w:rFonts w:ascii="Calibri" w:hAnsi="Calibri"/>
          <w:b w:val="0"/>
          <w:i w:val="0"/>
          <w:color w:val="333333"/>
          <w:sz w:val="22"/>
        </w:rPr>
        <w:t>Analysis of 1,470 employee records identified an overall attrition rate of 16.12%, with substantial differences observed across departments, job roles, age groups, overtime status, marital status, compensation levels, and employee satisfaction measures.</w:t>
      </w:r>
    </w:p>
    <w:p>
      <w:pPr>
        <w:spacing w:after="120" w:line="276" w:lineRule="auto"/>
      </w:pPr>
      <w:r>
        <w:rPr>
          <w:rFonts w:ascii="Calibri" w:hAnsi="Calibri"/>
          <w:b w:val="0"/>
          <w:i w:val="0"/>
          <w:color w:val="333333"/>
          <w:sz w:val="22"/>
        </w:rPr>
        <w:t>The analysis identified several segments that may warrant further HR investigation, including younger employees, Sales Representatives, Laboratory Technicians, employees working overtime, and employees with lower observed compensation and satisfaction scores.</w:t>
      </w:r>
    </w:p>
    <w:p>
      <w:pPr>
        <w:spacing w:after="120" w:line="276" w:lineRule="auto"/>
      </w:pPr>
      <w:r>
        <w:rPr>
          <w:rFonts w:ascii="Calibri" w:hAnsi="Calibri"/>
          <w:b w:val="0"/>
          <w:i w:val="0"/>
          <w:color w:val="333333"/>
          <w:sz w:val="22"/>
        </w:rPr>
        <w:t>The project also demonstrated the importance of combining multiple analytical tools.</w:t>
      </w:r>
    </w:p>
    <w:p>
      <w:pPr>
        <w:spacing w:after="120" w:line="276" w:lineRule="auto"/>
      </w:pPr>
      <w:r>
        <w:rPr>
          <w:rFonts w:ascii="Calibri" w:hAnsi="Calibri"/>
          <w:b w:val="0"/>
          <w:i w:val="0"/>
          <w:color w:val="333333"/>
          <w:sz w:val="22"/>
        </w:rPr>
        <w:t>Excel supported initial exploration and dashboard development.</w:t>
      </w:r>
    </w:p>
    <w:p>
      <w:pPr>
        <w:spacing w:after="120" w:line="276" w:lineRule="auto"/>
      </w:pPr>
      <w:r>
        <w:rPr>
          <w:rFonts w:ascii="Calibri" w:hAnsi="Calibri"/>
          <w:b w:val="0"/>
          <w:i w:val="0"/>
          <w:color w:val="333333"/>
          <w:sz w:val="22"/>
        </w:rPr>
        <w:t>SQL provided structured calculations and validation.</w:t>
      </w:r>
    </w:p>
    <w:p>
      <w:pPr>
        <w:spacing w:after="120" w:line="276" w:lineRule="auto"/>
      </w:pPr>
      <w:r>
        <w:rPr>
          <w:rFonts w:ascii="Calibri" w:hAnsi="Calibri"/>
          <w:b w:val="0"/>
          <w:i w:val="0"/>
          <w:color w:val="333333"/>
          <w:sz w:val="22"/>
        </w:rPr>
        <w:t>Power BI enabled interactive business intelligence reporting.</w:t>
      </w:r>
    </w:p>
    <w:p>
      <w:pPr>
        <w:spacing w:after="120" w:line="276" w:lineRule="auto"/>
      </w:pPr>
      <w:r>
        <w:rPr>
          <w:rFonts w:ascii="Calibri" w:hAnsi="Calibri"/>
          <w:b w:val="0"/>
          <w:i w:val="0"/>
          <w:color w:val="333333"/>
          <w:sz w:val="22"/>
        </w:rPr>
        <w:t>Tableau provided an interactive management-oriented analytical dashboard.</w:t>
      </w:r>
    </w:p>
    <w:p>
      <w:pPr>
        <w:spacing w:after="120" w:line="276" w:lineRule="auto"/>
      </w:pPr>
      <w:r>
        <w:rPr>
          <w:rFonts w:ascii="Calibri" w:hAnsi="Calibri"/>
          <w:b w:val="0"/>
          <w:i w:val="0"/>
          <w:color w:val="333333"/>
          <w:sz w:val="22"/>
        </w:rPr>
        <w:t>The quality assurance process further strengthened the project by validating 11 analytical areas, with all 11 tests passing.</w:t>
      </w:r>
    </w:p>
    <w:p>
      <w:pPr>
        <w:spacing w:after="120" w:line="276" w:lineRule="auto"/>
      </w:pPr>
      <w:r>
        <w:rPr>
          <w:rFonts w:ascii="Calibri" w:hAnsi="Calibri"/>
          <w:b w:val="0"/>
          <w:i w:val="0"/>
          <w:color w:val="333333"/>
          <w:sz w:val="22"/>
        </w:rPr>
        <w:t>Overall, the project demonstrates practical experience in transforming an HR dataset into a structured analytics workflow that includes data analysis, SQL querying, dashboard development, validation, business interpretation, and professional reporting.</w:t>
      </w:r>
    </w:p>
    <w:p>
      <w:pPr>
        <w:spacing w:after="120" w:line="276" w:lineRule="auto"/>
      </w:pPr>
      <w:r>
        <w:rPr>
          <w:rFonts w:ascii="Calibri" w:hAnsi="Calibri"/>
          <w:b w:val="0"/>
          <w:i w:val="0"/>
          <w:color w:val="333333"/>
          <w:sz w:val="22"/>
        </w:rPr>
        <w:t>The findings should be viewed as descriptive insights from the available dataset rather than causal conclusions. Further work could extend the project through statistical hypothesis testing, predictive modeling, employee attrition risk scoring, and longitudinal workforce analysis.</w:t>
      </w:r>
    </w:p>
    <w:p>
      <w:pPr>
        <w:keepNext/>
        <w:spacing w:before="360" w:after="120"/>
      </w:pPr>
      <w:r>
        <w:rPr>
          <w:rFonts w:ascii="Calibri" w:hAnsi="Calibri"/>
          <w:b/>
          <w:color w:val="1B365D"/>
          <w:sz w:val="32"/>
        </w:rPr>
        <w:t>20. Project Repository Structure</w:t>
      </w:r>
    </w:p>
    <w:p>
      <w:pPr>
        <w:spacing w:after="120" w:line="276" w:lineRule="auto"/>
      </w:pPr>
      <w:r>
        <w:rPr>
          <w:rFonts w:ascii="Calibri" w:hAnsi="Calibri"/>
          <w:b w:val="0"/>
          <w:i w:val="0"/>
          <w:color w:val="333333"/>
          <w:sz w:val="22"/>
        </w:rPr>
        <w:t>The HR Analytics Pipeline project is organized within the GitHub portfolio repository as follows:</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Pr>
          <w:p>
            <w:pPr>
              <w:spacing w:after="0"/>
            </w:pPr>
            <w:r>
              <w:rPr>
                <w:rFonts w:ascii="Consolas" w:hAnsi="Consolas"/>
                <w:color w:val="333333"/>
                <w:sz w:val="19"/>
              </w:rPr>
              <w:t>01-HR-Analytics-Pipeline/</w:t>
              <w:br/>
              <w:t>├── Data/</w:t>
              <w:br/>
              <w:t>│   ├── HR Data.xlsx</w:t>
              <w:br/>
              <w:t>│   ├── HR Data (tableau).xlsx</w:t>
              <w:br/>
              <w:t>│   └── hrdata (1).csv</w:t>
              <w:br/>
              <w:t>│</w:t>
              <w:br/>
              <w:t>├── SQL/</w:t>
              <w:br/>
              <w:t>│   └── HR_Analytics_SQL_Queries_Documentation.docx</w:t>
              <w:br/>
              <w:t>│</w:t>
              <w:br/>
              <w:t>├── Dashboards/</w:t>
              <w:br/>
              <w:t>│   ├── HR DATA_Excel.xlsx</w:t>
              <w:br/>
              <w:t>│   ├── HR_Analytics_Tableau_Dashboard.twbx</w:t>
              <w:br/>
              <w:t>│   ├── new project hr analytics.pbix</w:t>
              <w:br/>
              <w:t>│   │</w:t>
              <w:br/>
              <w:t>│   └── Screenshots/</w:t>
              <w:br/>
              <w:t>│       ├── excel dashboard .png</w:t>
              <w:br/>
              <w:t>│       ├── powerbi_hr_analytics_dashboard.png</w:t>
              <w:br/>
              <w:t>│       └── tableau_hr_analytics_dashboard.png</w:t>
              <w:br/>
              <w:t>│</w:t>
              <w:br/>
              <w:t>├── QA-Testing/</w:t>
              <w:br/>
              <w:t>│   ├── PowerBI_HR_Analytics_QA_Testing.docx</w:t>
              <w:br/>
              <w:t>│   └── Tableau_HR_Analytics_QA_Testing.docx</w:t>
              <w:br/>
              <w:t>│</w:t>
              <w:br/>
              <w:t>├── Documentation/</w:t>
              <w:br/>
              <w:t>│   ├── HR_Analytics_Pipeline_Project_Report.docx</w:t>
              <w:br/>
              <w:t>│   └── HR_Analytics_Pipeline_Project_Report.pdf</w:t>
              <w:br/>
              <w:t>│</w:t>
              <w:br/>
              <w:t>└── README.md</w:t>
            </w:r>
          </w:p>
        </w:tc>
      </w:tr>
    </w:tbl>
    <w:p>
      <w:pPr>
        <w:spacing w:after="120"/>
      </w:pPr>
    </w:p>
    <w:p>
      <w:pPr>
        <w:keepNext/>
        <w:spacing w:before="360" w:after="120"/>
      </w:pPr>
      <w:r>
        <w:rPr>
          <w:rFonts w:ascii="Calibri" w:hAnsi="Calibri"/>
          <w:b/>
          <w:color w:val="1B365D"/>
          <w:sz w:val="32"/>
        </w:rPr>
        <w:t>21. Learning and Attribution Note</w:t>
      </w:r>
    </w:p>
    <w:p>
      <w:pPr>
        <w:spacing w:after="120" w:line="276" w:lineRule="auto"/>
      </w:pPr>
      <w:r>
        <w:rPr>
          <w:rFonts w:ascii="Calibri" w:hAnsi="Calibri"/>
          <w:b w:val="0"/>
          <w:i w:val="0"/>
          <w:color w:val="333333"/>
          <w:sz w:val="22"/>
        </w:rPr>
        <w:t>This project was completed as part of a hands-on learning process using a structured tutorial workflow.</w:t>
      </w:r>
    </w:p>
    <w:p>
      <w:pPr>
        <w:spacing w:after="120" w:line="276" w:lineRule="auto"/>
      </w:pPr>
      <w:r>
        <w:rPr>
          <w:rFonts w:ascii="Calibri" w:hAnsi="Calibri"/>
          <w:b w:val="0"/>
          <w:i w:val="0"/>
          <w:color w:val="333333"/>
          <w:sz w:val="22"/>
        </w:rPr>
        <w:t>The tutorial provided guidance related to the dataset, dashboard development approach, SQL analysis, and SQL-based validation process.</w:t>
      </w:r>
    </w:p>
    <w:p>
      <w:pPr>
        <w:spacing w:after="120" w:line="276" w:lineRule="auto"/>
      </w:pPr>
      <w:r>
        <w:rPr>
          <w:rFonts w:ascii="Calibri" w:hAnsi="Calibri"/>
          <w:b w:val="0"/>
          <w:i w:val="0"/>
          <w:color w:val="333333"/>
          <w:sz w:val="22"/>
        </w:rPr>
        <w:t>The project has been organized, documented, and presented as a portfolio learning project to demonstrate practical exposure to:</w:t>
      </w:r>
    </w:p>
    <w:p>
      <w:pPr>
        <w:pStyle w:val="ListBullet"/>
        <w:spacing w:after="60" w:line="276" w:lineRule="auto"/>
      </w:pPr>
      <w:r>
        <w:rPr>
          <w:rFonts w:ascii="Calibri" w:hAnsi="Calibri"/>
          <w:color w:val="333333"/>
          <w:sz w:val="22"/>
        </w:rPr>
        <w:t>Excel-based data analysis</w:t>
      </w:r>
    </w:p>
    <w:p>
      <w:pPr>
        <w:pStyle w:val="ListBullet"/>
        <w:spacing w:after="60" w:line="276" w:lineRule="auto"/>
      </w:pPr>
      <w:r>
        <w:rPr>
          <w:rFonts w:ascii="Calibri" w:hAnsi="Calibri"/>
          <w:color w:val="333333"/>
          <w:sz w:val="22"/>
        </w:rPr>
        <w:t>PostgreSQL and SQL querying</w:t>
      </w:r>
    </w:p>
    <w:p>
      <w:pPr>
        <w:pStyle w:val="ListBullet"/>
        <w:spacing w:after="60" w:line="276" w:lineRule="auto"/>
      </w:pPr>
      <w:r>
        <w:rPr>
          <w:rFonts w:ascii="Calibri" w:hAnsi="Calibri"/>
          <w:color w:val="333333"/>
          <w:sz w:val="22"/>
        </w:rPr>
        <w:t>Power BI dashboard development</w:t>
      </w:r>
    </w:p>
    <w:p>
      <w:pPr>
        <w:pStyle w:val="ListBullet"/>
        <w:spacing w:after="60" w:line="276" w:lineRule="auto"/>
      </w:pPr>
      <w:r>
        <w:rPr>
          <w:rFonts w:ascii="Calibri" w:hAnsi="Calibri"/>
          <w:color w:val="333333"/>
          <w:sz w:val="22"/>
        </w:rPr>
        <w:t>Tableau dashboard development</w:t>
      </w:r>
    </w:p>
    <w:p>
      <w:pPr>
        <w:pStyle w:val="ListBullet"/>
        <w:spacing w:after="60" w:line="276" w:lineRule="auto"/>
      </w:pPr>
      <w:r>
        <w:rPr>
          <w:rFonts w:ascii="Calibri" w:hAnsi="Calibri"/>
          <w:color w:val="333333"/>
          <w:sz w:val="22"/>
        </w:rPr>
        <w:t>Data visualization</w:t>
      </w:r>
    </w:p>
    <w:p>
      <w:pPr>
        <w:pStyle w:val="ListBullet"/>
        <w:spacing w:after="60" w:line="276" w:lineRule="auto"/>
      </w:pPr>
      <w:r>
        <w:rPr>
          <w:rFonts w:ascii="Calibri" w:hAnsi="Calibri"/>
          <w:color w:val="333333"/>
          <w:sz w:val="22"/>
        </w:rPr>
        <w:t>Interactive reporting</w:t>
      </w:r>
    </w:p>
    <w:p>
      <w:pPr>
        <w:pStyle w:val="ListBullet"/>
        <w:spacing w:after="60" w:line="276" w:lineRule="auto"/>
      </w:pPr>
      <w:r>
        <w:rPr>
          <w:rFonts w:ascii="Calibri" w:hAnsi="Calibri"/>
          <w:color w:val="333333"/>
          <w:sz w:val="22"/>
        </w:rPr>
        <w:t>Dashboard validation</w:t>
      </w:r>
    </w:p>
    <w:p>
      <w:pPr>
        <w:pStyle w:val="ListBullet"/>
        <w:spacing w:after="60" w:line="276" w:lineRule="auto"/>
      </w:pPr>
      <w:r>
        <w:rPr>
          <w:rFonts w:ascii="Calibri" w:hAnsi="Calibri"/>
          <w:color w:val="333333"/>
          <w:sz w:val="22"/>
        </w:rPr>
        <w:t>Quality assurance testing</w:t>
      </w:r>
    </w:p>
    <w:p>
      <w:pPr>
        <w:pStyle w:val="ListBullet"/>
        <w:spacing w:after="60" w:line="276" w:lineRule="auto"/>
      </w:pPr>
      <w:r>
        <w:rPr>
          <w:rFonts w:ascii="Calibri" w:hAnsi="Calibri"/>
          <w:color w:val="333333"/>
          <w:sz w:val="22"/>
        </w:rPr>
        <w:t>Business insight generation</w:t>
      </w:r>
    </w:p>
    <w:p>
      <w:pPr>
        <w:pStyle w:val="ListBullet"/>
        <w:spacing w:after="60" w:line="276" w:lineRule="auto"/>
      </w:pPr>
      <w:r>
        <w:rPr>
          <w:rFonts w:ascii="Calibri" w:hAnsi="Calibri"/>
          <w:color w:val="333333"/>
          <w:sz w:val="22"/>
        </w:rPr>
        <w:t>Professional analytics documentation</w:t>
      </w:r>
    </w:p>
    <w:p>
      <w:pPr>
        <w:pStyle w:val="ListBullet"/>
        <w:spacing w:after="60" w:line="276" w:lineRule="auto"/>
      </w:pPr>
      <w:r>
        <w:rPr>
          <w:rFonts w:ascii="Calibri" w:hAnsi="Calibri"/>
          <w:color w:val="333333"/>
          <w:sz w:val="22"/>
        </w:rPr>
        <w:t>GitHub project organization</w:t>
      </w:r>
    </w:p>
    <w:p>
      <w:pPr>
        <w:spacing w:after="120" w:line="276" w:lineRule="auto"/>
      </w:pPr>
      <w:r>
        <w:rPr>
          <w:rFonts w:ascii="Calibri" w:hAnsi="Calibri"/>
          <w:b w:val="0"/>
          <w:i w:val="0"/>
          <w:color w:val="333333"/>
          <w:sz w:val="22"/>
        </w:rPr>
        <w:t>The purpose of including this project in the portfolio is to demonstrate the practical analytics workflow and technologies explored during the learning process while maintaining transparency regarding the use of tutorial resources.</w:t>
      </w:r>
    </w:p>
    <w:p>
      <w:pPr>
        <w:keepNext/>
        <w:spacing w:before="360" w:after="120"/>
      </w:pPr>
      <w:r>
        <w:rPr>
          <w:rFonts w:ascii="Calibri" w:hAnsi="Calibri"/>
          <w:b/>
          <w:color w:val="1B365D"/>
          <w:sz w:val="32"/>
        </w:rPr>
        <w:t>22. Final Project Status</w:t>
      </w:r>
    </w:p>
    <w:p>
      <w:pPr>
        <w:spacing w:after="120" w:line="276" w:lineRule="auto"/>
      </w:pPr>
      <w:r>
        <w:rPr>
          <w:rFonts w:ascii="Calibri" w:hAnsi="Calibri"/>
          <w:b/>
          <w:i w:val="0"/>
          <w:color w:val="1B365D"/>
          <w:sz w:val="22"/>
        </w:rPr>
        <w:t>Status: Completed — Portfolio Version</w:t>
      </w:r>
    </w:p>
    <w:p>
      <w:pPr>
        <w:spacing w:after="120" w:line="276" w:lineRule="auto"/>
      </w:pPr>
      <w:r>
        <w:rPr>
          <w:rFonts w:ascii="Calibri" w:hAnsi="Calibri"/>
          <w:b w:val="0"/>
          <w:i w:val="0"/>
          <w:color w:val="333333"/>
          <w:sz w:val="22"/>
        </w:rPr>
        <w:t>The HR Analytics Pipeline project has been organized as a multi-tool analytics project containing:</w:t>
      </w:r>
    </w:p>
    <w:p>
      <w:pPr>
        <w:pStyle w:val="ListBullet"/>
        <w:spacing w:after="60" w:line="276" w:lineRule="auto"/>
      </w:pPr>
      <w:r>
        <w:rPr>
          <w:rFonts w:ascii="Calibri" w:hAnsi="Calibri"/>
          <w:color w:val="333333"/>
          <w:sz w:val="22"/>
        </w:rPr>
        <w:t>Source datasets</w:t>
      </w:r>
    </w:p>
    <w:p>
      <w:pPr>
        <w:pStyle w:val="ListBullet"/>
        <w:spacing w:after="60" w:line="276" w:lineRule="auto"/>
      </w:pPr>
      <w:r>
        <w:rPr>
          <w:rFonts w:ascii="Calibri" w:hAnsi="Calibri"/>
          <w:color w:val="333333"/>
          <w:sz w:val="22"/>
        </w:rPr>
        <w:t>Excel analysis</w:t>
      </w:r>
    </w:p>
    <w:p>
      <w:pPr>
        <w:pStyle w:val="ListBullet"/>
        <w:spacing w:after="60" w:line="276" w:lineRule="auto"/>
      </w:pPr>
      <w:r>
        <w:rPr>
          <w:rFonts w:ascii="Calibri" w:hAnsi="Calibri"/>
          <w:color w:val="333333"/>
          <w:sz w:val="22"/>
        </w:rPr>
        <w:t>SQL analysis documentation</w:t>
      </w:r>
    </w:p>
    <w:p>
      <w:pPr>
        <w:pStyle w:val="ListBullet"/>
        <w:spacing w:after="60" w:line="276" w:lineRule="auto"/>
      </w:pPr>
      <w:r>
        <w:rPr>
          <w:rFonts w:ascii="Calibri" w:hAnsi="Calibri"/>
          <w:color w:val="333333"/>
          <w:sz w:val="22"/>
        </w:rPr>
        <w:t>Power BI dashboard</w:t>
      </w:r>
    </w:p>
    <w:p>
      <w:pPr>
        <w:pStyle w:val="ListBullet"/>
        <w:spacing w:after="60" w:line="276" w:lineRule="auto"/>
      </w:pPr>
      <w:r>
        <w:rPr>
          <w:rFonts w:ascii="Calibri" w:hAnsi="Calibri"/>
          <w:color w:val="333333"/>
          <w:sz w:val="22"/>
        </w:rPr>
        <w:t>Tableau dashboard</w:t>
      </w:r>
    </w:p>
    <w:p>
      <w:pPr>
        <w:pStyle w:val="ListBullet"/>
        <w:spacing w:after="60" w:line="276" w:lineRule="auto"/>
      </w:pPr>
      <w:r>
        <w:rPr>
          <w:rFonts w:ascii="Calibri" w:hAnsi="Calibri"/>
          <w:color w:val="333333"/>
          <w:sz w:val="22"/>
        </w:rPr>
        <w:t>Dashboard preview images</w:t>
      </w:r>
    </w:p>
    <w:p>
      <w:pPr>
        <w:pStyle w:val="ListBullet"/>
        <w:spacing w:after="60" w:line="276" w:lineRule="auto"/>
      </w:pPr>
      <w:r>
        <w:rPr>
          <w:rFonts w:ascii="Calibri" w:hAnsi="Calibri"/>
          <w:color w:val="333333"/>
          <w:sz w:val="22"/>
        </w:rPr>
        <w:t>QA testing documentation</w:t>
      </w:r>
    </w:p>
    <w:p>
      <w:pPr>
        <w:pStyle w:val="ListBullet"/>
        <w:spacing w:after="60" w:line="276" w:lineRule="auto"/>
      </w:pPr>
      <w:r>
        <w:rPr>
          <w:rFonts w:ascii="Calibri" w:hAnsi="Calibri"/>
          <w:color w:val="333333"/>
          <w:sz w:val="22"/>
        </w:rPr>
        <w:t>Formal project report</w:t>
      </w:r>
    </w:p>
    <w:p>
      <w:pPr>
        <w:pStyle w:val="ListBullet"/>
        <w:spacing w:after="60" w:line="276" w:lineRule="auto"/>
      </w:pPr>
      <w:r>
        <w:rPr>
          <w:rFonts w:ascii="Calibri" w:hAnsi="Calibri"/>
          <w:color w:val="333333"/>
          <w:sz w:val="22"/>
        </w:rPr>
        <w:t>GitHub project documentation</w:t>
      </w:r>
    </w:p>
    <w:p>
      <w:pPr>
        <w:spacing w:after="120" w:line="276" w:lineRule="auto"/>
      </w:pPr>
      <w:r>
        <w:rPr>
          <w:rFonts w:ascii="Calibri" w:hAnsi="Calibri"/>
          <w:b w:val="0"/>
          <w:i w:val="0"/>
          <w:color w:val="333333"/>
          <w:sz w:val="22"/>
        </w:rPr>
        <w:t>The project demonstrates an end-to-end workflow from data preparation and analysis through visualization, validation, business interpretation, and professional documentation.</w:t>
      </w:r>
    </w:p>
    <w:p>
      <w:pPr>
        <w:spacing w:after="120" w:line="276" w:lineRule="auto"/>
        <w:jc w:val="center"/>
      </w:pPr>
      <w:r>
        <w:rPr>
          <w:rFonts w:ascii="Calibri" w:hAnsi="Calibri"/>
          <w:b/>
          <w:i/>
          <w:color w:val="646E78"/>
          <w:sz w:val="22"/>
        </w:rPr>
        <w:t>End of Report</w:t>
      </w: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