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8"/>
          <w:sz w:val="44"/>
        </w:rPr>
        <w:t>Principal Component Analysis of Client Service Experience and Satisfaction</w:t>
      </w:r>
    </w:p>
    <w:p>
      <w:pPr>
        <w:spacing w:after="360"/>
      </w:pPr>
      <w:r>
        <w:rPr>
          <w:rFonts w:ascii="Calibri" w:hAnsi="Calibri"/>
          <w:color w:val="2F5597"/>
          <w:sz w:val="28"/>
        </w:rPr>
        <w:t>Unemployment Benefit Services Survey Evaluation</w:t>
      </w:r>
    </w:p>
    <w:tbl>
      <w:tblPr>
        <w:tblW w:type="auto" w:w="0"/>
        <w:jc w:val="center"/>
        <w:tblLook w:firstColumn="1" w:firstRow="1" w:lastColumn="0" w:lastRow="0" w:noHBand="0" w:noVBand="1" w:val="04A0"/>
      </w:tblPr>
      <w:tblGrid>
        <w:gridCol w:w="4680"/>
        <w:gridCol w:w="4680"/>
      </w:tblGrid>
      <w:tr>
        <w:tc>
          <w:tcPr>
            <w:tcW w:type="dxa" w:w="4680"/>
            <w:shd w:fill="F2F4F8"/>
            <w:tcMar>
              <w:top w:w="80" w:type="dxa"/>
              <w:bottom w:w="80" w:type="dxa"/>
              <w:left w:w="120" w:type="dxa"/>
              <w:right w:w="120" w:type="dxa"/>
            </w:tcMar>
          </w:tcPr>
          <w:p>
            <w:pPr>
              <w:spacing w:after="40"/>
            </w:pPr>
            <w:r/>
            <w:r>
              <w:rPr>
                <w:rFonts w:ascii="Calibri" w:hAnsi="Calibri"/>
                <w:b/>
                <w:color w:val="1F4E78"/>
                <w:sz w:val="19"/>
              </w:rPr>
              <w:t xml:space="preserve">Dataset: </w:t>
            </w:r>
            <w:r>
              <w:rPr>
                <w:rFonts w:ascii="Calibri" w:hAnsi="Calibri"/>
                <w:color w:val="333333"/>
                <w:sz w:val="19"/>
              </w:rPr>
              <w:t>dole-survey (1).xlsx</w:t>
            </w:r>
          </w:p>
        </w:tc>
        <w:tc>
          <w:tcPr>
            <w:tcW w:type="dxa" w:w="4680"/>
            <w:shd w:fill="F2F4F8"/>
            <w:tcMar>
              <w:top w:w="80" w:type="dxa"/>
              <w:bottom w:w="80" w:type="dxa"/>
              <w:left w:w="120" w:type="dxa"/>
              <w:right w:w="120" w:type="dxa"/>
            </w:tcMar>
          </w:tcPr>
          <w:p>
            <w:pPr>
              <w:spacing w:after="40"/>
            </w:pPr>
            <w:r/>
            <w:r>
              <w:rPr>
                <w:rFonts w:ascii="Calibri" w:hAnsi="Calibri"/>
                <w:b/>
                <w:color w:val="1F4E78"/>
                <w:sz w:val="19"/>
              </w:rPr>
              <w:t xml:space="preserve">Analysis Files: </w:t>
            </w:r>
            <w:r>
              <w:rPr>
                <w:rFonts w:ascii="Calibri" w:hAnsi="Calibri"/>
                <w:color w:val="333333"/>
                <w:sz w:val="19"/>
              </w:rPr>
              <w:t>pcmF.xlsx, pcmF12.xlsx, pcmF1.xlsx</w:t>
            </w:r>
          </w:p>
        </w:tc>
      </w:tr>
      <w:tr>
        <w:tc>
          <w:tcPr>
            <w:tcW w:type="dxa" w:w="4680"/>
            <w:shd w:fill="F2F4F8"/>
            <w:tcMar>
              <w:top w:w="80" w:type="dxa"/>
              <w:bottom w:w="80" w:type="dxa"/>
              <w:left w:w="120" w:type="dxa"/>
              <w:right w:w="120" w:type="dxa"/>
            </w:tcMar>
          </w:tcPr>
          <w:p>
            <w:pPr>
              <w:spacing w:after="40"/>
            </w:pPr>
            <w:r/>
            <w:r>
              <w:rPr>
                <w:rFonts w:ascii="Calibri" w:hAnsi="Calibri"/>
                <w:b/>
                <w:color w:val="1F4E78"/>
                <w:sz w:val="19"/>
              </w:rPr>
              <w:t xml:space="preserve">Primary Software: </w:t>
            </w:r>
            <w:r>
              <w:rPr>
                <w:rFonts w:ascii="Calibri" w:hAnsi="Calibri"/>
                <w:color w:val="333333"/>
                <w:sz w:val="19"/>
              </w:rPr>
              <w:t>IBM SPSS Statistics</w:t>
            </w:r>
          </w:p>
        </w:tc>
        <w:tc>
          <w:tcPr>
            <w:tcW w:type="dxa" w:w="4680"/>
            <w:shd w:fill="F2F4F8"/>
            <w:tcMar>
              <w:top w:w="80" w:type="dxa"/>
              <w:bottom w:w="80" w:type="dxa"/>
              <w:left w:w="120" w:type="dxa"/>
              <w:right w:w="120" w:type="dxa"/>
            </w:tcMar>
          </w:tcPr>
          <w:p>
            <w:pPr>
              <w:spacing w:after="40"/>
            </w:pPr>
            <w:r/>
            <w:r>
              <w:rPr>
                <w:rFonts w:ascii="Calibri" w:hAnsi="Calibri"/>
                <w:b/>
                <w:color w:val="1F4E78"/>
                <w:sz w:val="19"/>
              </w:rPr>
              <w:t xml:space="preserve">Analysis Method: </w:t>
            </w:r>
            <w:r>
              <w:rPr>
                <w:rFonts w:ascii="Calibri" w:hAnsi="Calibri"/>
                <w:color w:val="333333"/>
                <w:sz w:val="19"/>
              </w:rPr>
              <w:t>Principal Component Analysis (PCA) with Varimax Rotation</w:t>
            </w:r>
          </w:p>
        </w:tc>
      </w:tr>
      <w:tr>
        <w:tc>
          <w:tcPr>
            <w:tcW w:type="dxa" w:w="4680"/>
            <w:shd w:fill="F2F4F8"/>
            <w:tcMar>
              <w:top w:w="80" w:type="dxa"/>
              <w:bottom w:w="80" w:type="dxa"/>
              <w:left w:w="120" w:type="dxa"/>
              <w:right w:w="120" w:type="dxa"/>
            </w:tcMar>
          </w:tcPr>
          <w:p>
            <w:pPr>
              <w:spacing w:after="40"/>
            </w:pPr>
            <w:r/>
            <w:r>
              <w:rPr>
                <w:rFonts w:ascii="Calibri" w:hAnsi="Calibri"/>
                <w:b/>
                <w:color w:val="1F4E78"/>
                <w:sz w:val="19"/>
              </w:rPr>
              <w:t xml:space="preserve">Sample Size: </w:t>
            </w:r>
            <w:r>
              <w:rPr>
                <w:rFonts w:ascii="Calibri" w:hAnsi="Calibri"/>
                <w:color w:val="333333"/>
                <w:sz w:val="19"/>
              </w:rPr>
              <w:t>N = 388</w:t>
            </w:r>
          </w:p>
        </w:tc>
        <w:tc>
          <w:tcPr>
            <w:tcW w:type="dxa" w:w="4680"/>
            <w:shd w:fill="F2F4F8"/>
            <w:tcMar>
              <w:top w:w="80" w:type="dxa"/>
              <w:bottom w:w="80" w:type="dxa"/>
              <w:left w:w="120" w:type="dxa"/>
              <w:right w:w="120" w:type="dxa"/>
            </w:tcMar>
          </w:tcPr>
          <w:p>
            <w:pPr>
              <w:spacing w:after="40"/>
            </w:pPr>
            <w:r/>
            <w:r>
              <w:rPr>
                <w:rFonts w:ascii="Calibri" w:hAnsi="Calibri"/>
                <w:b/>
                <w:color w:val="1F4E78"/>
                <w:sz w:val="19"/>
              </w:rPr>
              <w:t xml:space="preserve">Retained Components: </w:t>
            </w:r>
            <w:r>
              <w:rPr>
                <w:rFonts w:ascii="Calibri" w:hAnsi="Calibri"/>
                <w:color w:val="333333"/>
                <w:sz w:val="19"/>
              </w:rPr>
              <w:t>4 Dimensions</w:t>
            </w:r>
          </w:p>
        </w:tc>
      </w:tr>
      <w:tr>
        <w:tc>
          <w:tcPr>
            <w:tcW w:type="dxa" w:w="4680"/>
            <w:shd w:fill="F2F4F8"/>
            <w:tcMar>
              <w:top w:w="80" w:type="dxa"/>
              <w:bottom w:w="80" w:type="dxa"/>
              <w:left w:w="120" w:type="dxa"/>
              <w:right w:w="120" w:type="dxa"/>
            </w:tcMar>
          </w:tcPr>
          <w:p>
            <w:pPr>
              <w:spacing w:after="40"/>
            </w:pPr>
            <w:r/>
            <w:r>
              <w:rPr>
                <w:rFonts w:ascii="Calibri" w:hAnsi="Calibri"/>
                <w:b/>
                <w:color w:val="1F4E78"/>
                <w:sz w:val="19"/>
              </w:rPr>
              <w:t xml:space="preserve">Total Variance Explained: </w:t>
            </w:r>
            <w:r>
              <w:rPr>
                <w:rFonts w:ascii="Calibri" w:hAnsi="Calibri"/>
                <w:color w:val="333333"/>
                <w:sz w:val="19"/>
              </w:rPr>
              <w:t>52.11%</w:t>
            </w:r>
          </w:p>
        </w:tc>
        <w:tc>
          <w:tcPr>
            <w:tcW w:type="dxa" w:w="4680"/>
            <w:shd w:fill="F2F4F8"/>
            <w:tcMar>
              <w:top w:w="80" w:type="dxa"/>
              <w:bottom w:w="80" w:type="dxa"/>
              <w:left w:w="120" w:type="dxa"/>
              <w:right w:w="120" w:type="dxa"/>
            </w:tcMar>
          </w:tcPr>
          <w:p>
            <w:pPr>
              <w:spacing w:after="40"/>
            </w:pPr>
            <w:r/>
            <w:r>
              <w:rPr>
                <w:rFonts w:ascii="Calibri" w:hAnsi="Calibri"/>
                <w:b/>
                <w:color w:val="1F4E78"/>
                <w:sz w:val="19"/>
              </w:rPr>
              <w:t xml:space="preserve">KMO Measure: </w:t>
            </w:r>
            <w:r>
              <w:rPr>
                <w:rFonts w:ascii="Calibri" w:hAnsi="Calibri"/>
                <w:color w:val="333333"/>
                <w:sz w:val="19"/>
              </w:rPr>
              <w:t>0.712 (Bartlett's χ²(120) = 680.630, p &lt; .001)</w:t>
            </w:r>
          </w:p>
        </w:tc>
      </w:tr>
    </w:tbl>
    <w:p>
      <w:pPr>
        <w:spacing w:after="240"/>
      </w:pPr>
    </w:p>
    <w:p>
      <w:pPr>
        <w:keepNext/>
        <w:spacing w:before="360" w:after="120"/>
      </w:pPr>
      <w:r>
        <w:rPr>
          <w:rFonts w:ascii="Calibri" w:hAnsi="Calibri"/>
          <w:b/>
          <w:color w:val="1F4E78"/>
          <w:sz w:val="36"/>
        </w:rPr>
        <w:t>Executive Summary</w:t>
      </w:r>
    </w:p>
    <w:p>
      <w:pPr>
        <w:spacing w:before="0" w:after="120" w:line="276" w:lineRule="auto"/>
      </w:pPr>
      <w:r>
        <w:rPr>
          <w:rFonts w:ascii="Calibri" w:hAnsi="Calibri"/>
          <w:color w:val="333333"/>
          <w:sz w:val="22"/>
        </w:rPr>
        <w:t>This research project examines client perceptions of service delivery using survey data collected from 388 respondents. The dataset contains demographic information, an overall satisfaction measure, 20 survey variables, and four standardized factor scores generated through Principal Component Analysis (PCA).</w:t>
      </w:r>
    </w:p>
    <w:p>
      <w:pPr>
        <w:spacing w:before="0" w:after="120" w:line="276" w:lineRule="auto"/>
      </w:pPr>
      <w:r>
        <w:rPr>
          <w:rFonts w:ascii="Calibri" w:hAnsi="Calibri"/>
          <w:color w:val="333333"/>
          <w:sz w:val="22"/>
        </w:rPr>
        <w:t>The primary objective of the analysis was to identify whether the 16 operational service-quality survey items could be reduced into a smaller number of meaningful underlying dimensions. PCA was selected as a data-reduction technique to identify the principal dimensions underlying client perceptions of service delivery.</w:t>
      </w:r>
    </w:p>
    <w:p>
      <w:pPr>
        <w:spacing w:before="0" w:after="120" w:line="276" w:lineRule="auto"/>
      </w:pPr>
      <w:r>
        <w:rPr>
          <w:rFonts w:ascii="Calibri" w:hAnsi="Calibri"/>
          <w:color w:val="333333"/>
          <w:sz w:val="22"/>
        </w:rPr>
        <w:t>The analysis demonstrated that the data were suitable for component extraction. The Kaiser-Meyer-Olkin (KMO) measure of sampling adequacy was 0.712, indicating an acceptable level of shared variance among the variables. Bartlett's Test of Sphericity was statistically significant, χ²(120) = 680.630, p &lt; .001, confirming that the correlation matrix was not an identity matrix and that meaningful relationships existed among the survey items.</w:t>
      </w:r>
    </w:p>
    <w:p>
      <w:pPr>
        <w:spacing w:before="0" w:after="120" w:line="276" w:lineRule="auto"/>
      </w:pPr>
      <w:r>
        <w:rPr>
          <w:rFonts w:ascii="Calibri" w:hAnsi="Calibri"/>
          <w:color w:val="333333"/>
          <w:sz w:val="22"/>
        </w:rPr>
        <w:t>Using Kaiser's criterion of eigenvalues greater than 1.0, four components were retained. These four components collectively explained 52.11% of the total variance in the 16-item dataset.</w:t>
      </w:r>
    </w:p>
    <w:p>
      <w:pPr>
        <w:spacing w:before="0" w:after="120" w:line="276" w:lineRule="auto"/>
      </w:pPr>
      <w:r>
        <w:rPr>
          <w:rFonts w:ascii="Calibri" w:hAnsi="Calibri"/>
          <w:color w:val="333333"/>
          <w:sz w:val="22"/>
        </w:rPr>
        <w:t>After Varimax rotation, the four dimensions were interpreted as:</w:t>
      </w:r>
    </w:p>
    <w:p>
      <w:pPr>
        <w:pStyle w:val="ListBullet"/>
        <w:spacing w:before="0" w:after="60" w:line="276" w:lineRule="auto"/>
      </w:pPr>
      <w:r>
        <w:rPr>
          <w:rFonts w:ascii="Calibri" w:hAnsi="Calibri"/>
          <w:color w:val="333333"/>
          <w:sz w:val="22"/>
        </w:rPr>
        <w:t>Information &amp; Administrative Transparency</w:t>
      </w:r>
    </w:p>
    <w:p>
      <w:pPr>
        <w:pStyle w:val="ListBullet"/>
        <w:spacing w:before="0" w:after="60" w:line="276" w:lineRule="auto"/>
      </w:pPr>
      <w:r>
        <w:rPr>
          <w:rFonts w:ascii="Calibri" w:hAnsi="Calibri"/>
          <w:color w:val="333333"/>
          <w:sz w:val="22"/>
        </w:rPr>
        <w:t>Caseworker Engagement &amp; Effort</w:t>
      </w:r>
    </w:p>
    <w:p>
      <w:pPr>
        <w:pStyle w:val="ListBullet"/>
        <w:spacing w:before="0" w:after="60" w:line="276" w:lineRule="auto"/>
      </w:pPr>
      <w:r>
        <w:rPr>
          <w:rFonts w:ascii="Calibri" w:hAnsi="Calibri"/>
          <w:color w:val="333333"/>
          <w:sz w:val="22"/>
        </w:rPr>
        <w:t>Interpersonal Care &amp; Respect</w:t>
      </w:r>
    </w:p>
    <w:p>
      <w:pPr>
        <w:pStyle w:val="ListBullet"/>
        <w:spacing w:before="0" w:after="60" w:line="276" w:lineRule="auto"/>
      </w:pPr>
      <w:r>
        <w:rPr>
          <w:rFonts w:ascii="Calibri" w:hAnsi="Calibri"/>
          <w:color w:val="333333"/>
          <w:sz w:val="22"/>
        </w:rPr>
        <w:t>Operational Reliability &amp; Follow-Through</w:t>
      </w:r>
    </w:p>
    <w:p>
      <w:pPr>
        <w:spacing w:before="0" w:after="120" w:line="276" w:lineRule="auto"/>
      </w:pPr>
      <w:r>
        <w:rPr>
          <w:rFonts w:ascii="Calibri" w:hAnsi="Calibri"/>
          <w:color w:val="333333"/>
          <w:sz w:val="22"/>
        </w:rPr>
        <w:t>The factor structure demonstrates that client perceptions of service quality are multidimensional rather than represented by a single generalized satisfaction construct. Clients evaluate the service experience through multiple interconnected dimensions, including the clarity of administrative processes, the quality of direct caseworker support, interpersonal treatment, and the organization's ability to fulfill commitments.</w:t>
      </w:r>
    </w:p>
    <w:p>
      <w:pPr>
        <w:spacing w:before="0" w:after="120" w:line="276" w:lineRule="auto"/>
      </w:pPr>
      <w:r>
        <w:rPr>
          <w:rFonts w:ascii="Calibri" w:hAnsi="Calibri"/>
          <w:color w:val="333333"/>
          <w:sz w:val="22"/>
        </w:rPr>
        <w:t>The analysis also showed that all 16 variables had acceptable communalities, ranging from 0.420 to 0.649, indicating that each item shared meaningful variance with the retained component structure. Individual Measures of Sampling Adequacy (MSA) ranged from 0.582 to 0.773, exceeding the commonly used minimum threshold of 0.50.</w:t>
      </w:r>
    </w:p>
    <w:p>
      <w:pPr>
        <w:spacing w:before="0" w:after="120" w:line="276" w:lineRule="auto"/>
      </w:pPr>
      <w:r>
        <w:rPr>
          <w:rFonts w:ascii="Calibri" w:hAnsi="Calibri"/>
          <w:color w:val="333333"/>
          <w:sz w:val="22"/>
        </w:rPr>
        <w:t>From a management perspective, the findings suggest that service improvement initiatives should not focus exclusively on overall satisfaction. Instead, organizations can use the four dimensions as a structured framework for monitoring and improving different aspects of the client experience.</w:t>
      </w:r>
    </w:p>
    <w:p>
      <w:pPr>
        <w:keepNext/>
        <w:spacing w:before="360" w:after="120"/>
      </w:pPr>
      <w:r>
        <w:rPr>
          <w:rFonts w:ascii="Calibri" w:hAnsi="Calibri"/>
          <w:b/>
          <w:color w:val="1F4E78"/>
          <w:sz w:val="36"/>
        </w:rPr>
        <w:t>1. Introduction</w:t>
      </w:r>
    </w:p>
    <w:p>
      <w:pPr>
        <w:spacing w:before="0" w:after="120" w:line="276" w:lineRule="auto"/>
      </w:pPr>
      <w:r>
        <w:rPr>
          <w:rFonts w:ascii="Calibri" w:hAnsi="Calibri"/>
          <w:color w:val="333333"/>
          <w:sz w:val="22"/>
        </w:rPr>
        <w:t>Public service organizations interact with clients across multiple stages of the service journey. These interactions may include administrative communication, application procedures, caseworker consultations, information provision, employment support, and follow-up activities.</w:t>
      </w:r>
    </w:p>
    <w:p>
      <w:pPr>
        <w:spacing w:before="0" w:after="120" w:line="276" w:lineRule="auto"/>
      </w:pPr>
      <w:r>
        <w:rPr>
          <w:rFonts w:ascii="Calibri" w:hAnsi="Calibri"/>
          <w:color w:val="333333"/>
          <w:sz w:val="22"/>
        </w:rPr>
        <w:t>Client satisfaction in such environments is therefore unlikely to be determined by a single factor. A client may be satisfied with the friendliness of staff but dissatisfied with the clarity of administrative procedures. Similarly, a client may receive useful job opportunities from a caseworker but still experience frustration if agreed actions are not completed.</w:t>
      </w:r>
    </w:p>
    <w:p>
      <w:pPr>
        <w:spacing w:before="0" w:after="120" w:line="276" w:lineRule="auto"/>
      </w:pPr>
      <w:r>
        <w:rPr>
          <w:rFonts w:ascii="Calibri" w:hAnsi="Calibri"/>
          <w:color w:val="333333"/>
          <w:sz w:val="22"/>
        </w:rPr>
        <w:t>The present analysis investigates the underlying structure of client perceptions using Principal Component Analysis. The purpose is to identify whether a large set of individual survey indicators can be summarized into a smaller number of interpretable service dimensions.</w:t>
      </w:r>
    </w:p>
    <w:p>
      <w:pPr>
        <w:spacing w:before="0" w:after="120" w:line="276" w:lineRule="auto"/>
      </w:pPr>
      <w:r>
        <w:rPr>
          <w:rFonts w:ascii="Calibri" w:hAnsi="Calibri"/>
          <w:color w:val="333333"/>
          <w:sz w:val="22"/>
        </w:rPr>
        <w:t>The resulting components can support:</w:t>
      </w:r>
    </w:p>
    <w:p>
      <w:pPr>
        <w:pStyle w:val="ListBullet"/>
        <w:spacing w:before="0" w:after="60" w:line="276" w:lineRule="auto"/>
      </w:pPr>
      <w:r>
        <w:rPr>
          <w:rFonts w:ascii="Calibri" w:hAnsi="Calibri"/>
          <w:color w:val="333333"/>
          <w:sz w:val="22"/>
        </w:rPr>
        <w:t>Research interpretation</w:t>
      </w:r>
    </w:p>
    <w:p>
      <w:pPr>
        <w:pStyle w:val="ListBullet"/>
        <w:spacing w:before="0" w:after="60" w:line="276" w:lineRule="auto"/>
      </w:pPr>
      <w:r>
        <w:rPr>
          <w:rFonts w:ascii="Calibri" w:hAnsi="Calibri"/>
          <w:color w:val="333333"/>
          <w:sz w:val="22"/>
        </w:rPr>
        <w:t>Service-quality measurement</w:t>
      </w:r>
    </w:p>
    <w:p>
      <w:pPr>
        <w:pStyle w:val="ListBullet"/>
        <w:spacing w:before="0" w:after="60" w:line="276" w:lineRule="auto"/>
      </w:pPr>
      <w:r>
        <w:rPr>
          <w:rFonts w:ascii="Calibri" w:hAnsi="Calibri"/>
          <w:color w:val="333333"/>
          <w:sz w:val="22"/>
        </w:rPr>
        <w:t>Management decision-making</w:t>
      </w:r>
    </w:p>
    <w:p>
      <w:pPr>
        <w:pStyle w:val="ListBullet"/>
        <w:spacing w:before="0" w:after="60" w:line="276" w:lineRule="auto"/>
      </w:pPr>
      <w:r>
        <w:rPr>
          <w:rFonts w:ascii="Calibri" w:hAnsi="Calibri"/>
          <w:color w:val="333333"/>
          <w:sz w:val="22"/>
        </w:rPr>
        <w:t>Dashboard development</w:t>
      </w:r>
    </w:p>
    <w:p>
      <w:pPr>
        <w:pStyle w:val="ListBullet"/>
        <w:spacing w:before="0" w:after="60" w:line="276" w:lineRule="auto"/>
      </w:pPr>
      <w:r>
        <w:rPr>
          <w:rFonts w:ascii="Calibri" w:hAnsi="Calibri"/>
          <w:color w:val="333333"/>
          <w:sz w:val="22"/>
        </w:rPr>
        <w:t>Performance monitoring</w:t>
      </w:r>
    </w:p>
    <w:p>
      <w:pPr>
        <w:pStyle w:val="ListBullet"/>
        <w:spacing w:before="0" w:after="60" w:line="276" w:lineRule="auto"/>
      </w:pPr>
      <w:r>
        <w:rPr>
          <w:rFonts w:ascii="Calibri" w:hAnsi="Calibri"/>
          <w:color w:val="333333"/>
          <w:sz w:val="22"/>
        </w:rPr>
        <w:t>Portfolio demonstration of statistical analysis skills</w:t>
      </w:r>
    </w:p>
    <w:p>
      <w:pPr>
        <w:keepNext/>
        <w:spacing w:before="360" w:after="120"/>
      </w:pPr>
      <w:r>
        <w:rPr>
          <w:rFonts w:ascii="Calibri" w:hAnsi="Calibri"/>
          <w:b/>
          <w:color w:val="1F4E78"/>
          <w:sz w:val="36"/>
        </w:rPr>
        <w:t>2. Research Objectives</w:t>
      </w:r>
    </w:p>
    <w:p>
      <w:pPr>
        <w:pStyle w:val="ListBullet"/>
        <w:spacing w:before="0" w:after="60" w:line="276" w:lineRule="auto"/>
      </w:pPr>
      <w:r>
        <w:rPr>
          <w:rFonts w:ascii="Calibri" w:hAnsi="Calibri"/>
          <w:b/>
          <w:color w:val="333333"/>
          <w:sz w:val="22"/>
        </w:rPr>
        <w:t xml:space="preserve">Objective 1: Assess Factorability — </w:t>
      </w:r>
      <w:r>
        <w:rPr>
          <w:rFonts w:ascii="Calibri" w:hAnsi="Calibri"/>
          <w:color w:val="333333"/>
          <w:sz w:val="22"/>
        </w:rPr>
        <w:t>To determine whether the correlations among the survey items were sufficiently strong to justify dimension reduction through PCA.</w:t>
      </w:r>
    </w:p>
    <w:p>
      <w:pPr>
        <w:pStyle w:val="ListBullet"/>
        <w:spacing w:before="0" w:after="60" w:line="276" w:lineRule="auto"/>
      </w:pPr>
      <w:r>
        <w:rPr>
          <w:rFonts w:ascii="Calibri" w:hAnsi="Calibri"/>
          <w:b/>
          <w:color w:val="333333"/>
          <w:sz w:val="22"/>
        </w:rPr>
        <w:t xml:space="preserve">Objective 2: Identify Underlying Dimensions — </w:t>
      </w:r>
      <w:r>
        <w:rPr>
          <w:rFonts w:ascii="Calibri" w:hAnsi="Calibri"/>
          <w:color w:val="333333"/>
          <w:sz w:val="22"/>
        </w:rPr>
        <w:t>To reduce 16 operational survey items into a smaller number of statistically meaningful components.</w:t>
      </w:r>
    </w:p>
    <w:p>
      <w:pPr>
        <w:pStyle w:val="ListBullet"/>
        <w:spacing w:before="0" w:after="60" w:line="276" w:lineRule="auto"/>
      </w:pPr>
      <w:r>
        <w:rPr>
          <w:rFonts w:ascii="Calibri" w:hAnsi="Calibri"/>
          <w:b/>
          <w:color w:val="333333"/>
          <w:sz w:val="22"/>
        </w:rPr>
        <w:t xml:space="preserve">Objective 3: Determine the Number of Components — </w:t>
      </w:r>
      <w:r>
        <w:rPr>
          <w:rFonts w:ascii="Calibri" w:hAnsi="Calibri"/>
          <w:color w:val="333333"/>
          <w:sz w:val="22"/>
        </w:rPr>
        <w:t>To use eigenvalues and the scree plot to establish an appropriate number of components to retain.</w:t>
      </w:r>
    </w:p>
    <w:p>
      <w:pPr>
        <w:pStyle w:val="ListBullet"/>
        <w:spacing w:before="0" w:after="60" w:line="276" w:lineRule="auto"/>
      </w:pPr>
      <w:r>
        <w:rPr>
          <w:rFonts w:ascii="Calibri" w:hAnsi="Calibri"/>
          <w:b/>
          <w:color w:val="333333"/>
          <w:sz w:val="22"/>
        </w:rPr>
        <w:t xml:space="preserve">Objective 4: Interpret the Component Structure — </w:t>
      </w:r>
      <w:r>
        <w:rPr>
          <w:rFonts w:ascii="Calibri" w:hAnsi="Calibri"/>
          <w:color w:val="333333"/>
          <w:sz w:val="22"/>
        </w:rPr>
        <w:t>To identify the main service-quality dimensions represented by the retained components.</w:t>
      </w:r>
    </w:p>
    <w:p>
      <w:pPr>
        <w:pStyle w:val="ListBullet"/>
        <w:spacing w:before="0" w:after="60" w:line="276" w:lineRule="auto"/>
      </w:pPr>
      <w:r>
        <w:rPr>
          <w:rFonts w:ascii="Calibri" w:hAnsi="Calibri"/>
          <w:b/>
          <w:color w:val="333333"/>
          <w:sz w:val="22"/>
        </w:rPr>
        <w:t xml:space="preserve">Objective 5: Assess Model Adequacy — </w:t>
      </w:r>
      <w:r>
        <w:rPr>
          <w:rFonts w:ascii="Calibri" w:hAnsi="Calibri"/>
          <w:color w:val="333333"/>
          <w:sz w:val="22"/>
        </w:rPr>
        <w:t>To examine communalities, individual sampling adequacy, reproduced correlations, and residuals.</w:t>
      </w:r>
    </w:p>
    <w:p>
      <w:pPr>
        <w:pStyle w:val="ListBullet"/>
        <w:spacing w:before="0" w:after="60" w:line="276" w:lineRule="auto"/>
      </w:pPr>
      <w:r>
        <w:rPr>
          <w:rFonts w:ascii="Calibri" w:hAnsi="Calibri"/>
          <w:b/>
          <w:color w:val="333333"/>
          <w:sz w:val="22"/>
        </w:rPr>
        <w:t xml:space="preserve">Objective 6: Translate Findings into Management Insights — </w:t>
      </w:r>
      <w:r>
        <w:rPr>
          <w:rFonts w:ascii="Calibri" w:hAnsi="Calibri"/>
          <w:color w:val="333333"/>
          <w:sz w:val="22"/>
        </w:rPr>
        <w:t>To convert the statistical findings into actionable recommendations for service improvement and performance monitoring.</w:t>
      </w:r>
    </w:p>
    <w:p>
      <w:pPr>
        <w:keepNext/>
        <w:spacing w:before="360" w:after="120"/>
      </w:pPr>
      <w:r>
        <w:rPr>
          <w:rFonts w:ascii="Calibri" w:hAnsi="Calibri"/>
          <w:b/>
          <w:color w:val="1F4E78"/>
          <w:sz w:val="36"/>
        </w:rPr>
        <w:t>3. Dataset Description</w:t>
      </w:r>
    </w:p>
    <w:p>
      <w:pPr>
        <w:spacing w:before="0" w:after="120" w:line="276" w:lineRule="auto"/>
      </w:pPr>
      <w:r>
        <w:rPr>
          <w:rFonts w:ascii="Calibri" w:hAnsi="Calibri"/>
          <w:color w:val="333333"/>
          <w:sz w:val="22"/>
        </w:rPr>
        <w:t>The primary dataset, dole-survey (1).xlsx, contains 388 observations across 23 variables.</w:t>
      </w:r>
    </w:p>
    <w:tbl>
      <w:tblPr>
        <w:tblW w:type="auto" w:w="0"/>
        <w:jc w:val="center"/>
        <w:tblLook w:firstColumn="1" w:firstRow="1" w:lastColumn="0" w:lastRow="0" w:noHBand="0" w:noVBand="1" w:val="04A0"/>
      </w:tblPr>
      <w:tblGrid>
        <w:gridCol w:w="4680"/>
        <w:gridCol w:w="4680"/>
      </w:tblGrid>
      <w:tr>
        <w:tc>
          <w:tcPr>
            <w:tcW w:type="dxa" w:w="2880"/>
            <w:shd w:fill="1F4E78"/>
            <w:tcMar>
              <w:top w:w="120" w:type="dxa"/>
              <w:bottom w:w="120" w:type="dxa"/>
              <w:left w:w="150" w:type="dxa"/>
              <w:right w:w="150" w:type="dxa"/>
            </w:tcMar>
          </w:tcPr>
          <w:p>
            <w:pPr>
              <w:jc w:val="left"/>
            </w:pPr>
            <w:r>
              <w:rPr>
                <w:rFonts w:ascii="Calibri" w:hAnsi="Calibri"/>
                <w:b/>
                <w:color w:val="FFFFFF"/>
                <w:sz w:val="21"/>
              </w:rPr>
              <w:t>Variable Group</w:t>
            </w:r>
          </w:p>
        </w:tc>
        <w:tc>
          <w:tcPr>
            <w:tcW w:type="dxa" w:w="6480"/>
            <w:shd w:fill="1F4E78"/>
            <w:tcMar>
              <w:top w:w="120" w:type="dxa"/>
              <w:bottom w:w="120" w:type="dxa"/>
              <w:left w:w="150" w:type="dxa"/>
              <w:right w:w="150" w:type="dxa"/>
            </w:tcMar>
          </w:tcPr>
          <w:p>
            <w:pPr>
              <w:jc w:val="left"/>
            </w:pPr>
            <w:r>
              <w:rPr>
                <w:rFonts w:ascii="Calibri" w:hAnsi="Calibri"/>
                <w:b/>
                <w:color w:val="FFFFFF"/>
                <w:sz w:val="21"/>
              </w:rPr>
              <w:t>Description</w:t>
            </w:r>
          </w:p>
        </w:tc>
      </w:tr>
      <w:tr>
        <w:tc>
          <w:tcPr>
            <w:tcW w:type="dxa" w:w="2880"/>
            <w:shd w:fill="FFFFFF"/>
            <w:tcMar>
              <w:top w:w="100" w:type="dxa"/>
              <w:bottom w:w="100" w:type="dxa"/>
              <w:left w:w="150" w:type="dxa"/>
              <w:right w:w="150" w:type="dxa"/>
            </w:tcMar>
          </w:tcPr>
          <w:p>
            <w:pPr>
              <w:jc w:val="left"/>
            </w:pPr>
            <w:r>
              <w:rPr>
                <w:rFonts w:ascii="Calibri" w:hAnsi="Calibri"/>
                <w:color w:val="333333"/>
                <w:sz w:val="20"/>
              </w:rPr>
              <w:t>ssn</w:t>
            </w:r>
          </w:p>
        </w:tc>
        <w:tc>
          <w:tcPr>
            <w:tcW w:type="dxa" w:w="6480"/>
            <w:shd w:fill="FFFFFF"/>
            <w:tcMar>
              <w:top w:w="100" w:type="dxa"/>
              <w:bottom w:w="100" w:type="dxa"/>
              <w:left w:w="150" w:type="dxa"/>
              <w:right w:w="150" w:type="dxa"/>
            </w:tcMar>
          </w:tcPr>
          <w:p>
            <w:pPr>
              <w:jc w:val="left"/>
            </w:pPr>
            <w:r>
              <w:rPr>
                <w:rFonts w:ascii="Calibri" w:hAnsi="Calibri"/>
                <w:color w:val="333333"/>
                <w:sz w:val="20"/>
              </w:rPr>
              <w:t>Respondent identifier</w:t>
            </w:r>
          </w:p>
        </w:tc>
      </w:tr>
      <w:tr>
        <w:tc>
          <w:tcPr>
            <w:tcW w:type="dxa" w:w="2880"/>
            <w:shd w:fill="F2F4F8"/>
            <w:tcMar>
              <w:top w:w="100" w:type="dxa"/>
              <w:bottom w:w="100" w:type="dxa"/>
              <w:left w:w="150" w:type="dxa"/>
              <w:right w:w="150" w:type="dxa"/>
            </w:tcMar>
          </w:tcPr>
          <w:p>
            <w:pPr>
              <w:jc w:val="left"/>
            </w:pPr>
            <w:r>
              <w:rPr>
                <w:rFonts w:ascii="Calibri" w:hAnsi="Calibri"/>
                <w:color w:val="333333"/>
                <w:sz w:val="20"/>
              </w:rPr>
              <w:t>sex</w:t>
            </w:r>
          </w:p>
        </w:tc>
        <w:tc>
          <w:tcPr>
            <w:tcW w:type="dxa" w:w="6480"/>
            <w:shd w:fill="F2F4F8"/>
            <w:tcMar>
              <w:top w:w="100" w:type="dxa"/>
              <w:bottom w:w="100" w:type="dxa"/>
              <w:left w:w="150" w:type="dxa"/>
              <w:right w:w="150" w:type="dxa"/>
            </w:tcMar>
          </w:tcPr>
          <w:p>
            <w:pPr>
              <w:jc w:val="left"/>
            </w:pPr>
            <w:r>
              <w:rPr>
                <w:rFonts w:ascii="Calibri" w:hAnsi="Calibri"/>
                <w:color w:val="333333"/>
                <w:sz w:val="20"/>
              </w:rPr>
              <w:t>Demographic variable</w:t>
            </w:r>
          </w:p>
        </w:tc>
      </w:tr>
      <w:tr>
        <w:tc>
          <w:tcPr>
            <w:tcW w:type="dxa" w:w="2880"/>
            <w:shd w:fill="FFFFFF"/>
            <w:tcMar>
              <w:top w:w="100" w:type="dxa"/>
              <w:bottom w:w="100" w:type="dxa"/>
              <w:left w:w="150" w:type="dxa"/>
              <w:right w:w="150" w:type="dxa"/>
            </w:tcMar>
          </w:tcPr>
          <w:p>
            <w:pPr>
              <w:jc w:val="left"/>
            </w:pPr>
            <w:r>
              <w:rPr>
                <w:rFonts w:ascii="Calibri" w:hAnsi="Calibri"/>
                <w:color w:val="333333"/>
                <w:sz w:val="20"/>
              </w:rPr>
              <w:t>overall</w:t>
            </w:r>
          </w:p>
        </w:tc>
        <w:tc>
          <w:tcPr>
            <w:tcW w:type="dxa" w:w="6480"/>
            <w:shd w:fill="FFFFFF"/>
            <w:tcMar>
              <w:top w:w="100" w:type="dxa"/>
              <w:bottom w:w="100" w:type="dxa"/>
              <w:left w:w="150" w:type="dxa"/>
              <w:right w:w="150" w:type="dxa"/>
            </w:tcMar>
          </w:tcPr>
          <w:p>
            <w:pPr>
              <w:jc w:val="left"/>
            </w:pPr>
            <w:r>
              <w:rPr>
                <w:rFonts w:ascii="Calibri" w:hAnsi="Calibri"/>
                <w:color w:val="333333"/>
                <w:sz w:val="20"/>
              </w:rPr>
              <w:t>Overall satisfaction/evaluation</w:t>
            </w:r>
          </w:p>
        </w:tc>
      </w:tr>
      <w:tr>
        <w:tc>
          <w:tcPr>
            <w:tcW w:type="dxa" w:w="2880"/>
            <w:shd w:fill="F2F4F8"/>
            <w:tcMar>
              <w:top w:w="100" w:type="dxa"/>
              <w:bottom w:w="100" w:type="dxa"/>
              <w:left w:w="150" w:type="dxa"/>
              <w:right w:w="150" w:type="dxa"/>
            </w:tcMar>
          </w:tcPr>
          <w:p>
            <w:pPr>
              <w:jc w:val="left"/>
            </w:pPr>
            <w:r>
              <w:rPr>
                <w:rFonts w:ascii="Calibri" w:hAnsi="Calibri"/>
                <w:color w:val="333333"/>
                <w:sz w:val="20"/>
              </w:rPr>
              <w:t>v1–v20</w:t>
            </w:r>
          </w:p>
        </w:tc>
        <w:tc>
          <w:tcPr>
            <w:tcW w:type="dxa" w:w="6480"/>
            <w:shd w:fill="F2F4F8"/>
            <w:tcMar>
              <w:top w:w="100" w:type="dxa"/>
              <w:bottom w:w="100" w:type="dxa"/>
              <w:left w:w="150" w:type="dxa"/>
              <w:right w:w="150" w:type="dxa"/>
            </w:tcMar>
          </w:tcPr>
          <w:p>
            <w:pPr>
              <w:jc w:val="left"/>
            </w:pPr>
            <w:r>
              <w:rPr>
                <w:rFonts w:ascii="Calibri" w:hAnsi="Calibri"/>
                <w:color w:val="333333"/>
                <w:sz w:val="20"/>
              </w:rPr>
              <w:t>Survey response variables</w:t>
            </w:r>
          </w:p>
        </w:tc>
      </w:tr>
      <w:tr>
        <w:tc>
          <w:tcPr>
            <w:tcW w:type="dxa" w:w="2880"/>
            <w:shd w:fill="FFFFFF"/>
            <w:tcMar>
              <w:top w:w="100" w:type="dxa"/>
              <w:bottom w:w="100" w:type="dxa"/>
              <w:left w:w="150" w:type="dxa"/>
              <w:right w:w="150" w:type="dxa"/>
            </w:tcMar>
          </w:tcPr>
          <w:p>
            <w:pPr>
              <w:jc w:val="left"/>
            </w:pPr>
            <w:r>
              <w:rPr>
                <w:rFonts w:ascii="Calibri" w:hAnsi="Calibri"/>
                <w:color w:val="333333"/>
                <w:sz w:val="20"/>
              </w:rPr>
              <w:t>FAC1_1–FAC4_1</w:t>
            </w:r>
          </w:p>
        </w:tc>
        <w:tc>
          <w:tcPr>
            <w:tcW w:type="dxa" w:w="6480"/>
            <w:shd w:fill="FFFFFF"/>
            <w:tcMar>
              <w:top w:w="100" w:type="dxa"/>
              <w:bottom w:w="100" w:type="dxa"/>
              <w:left w:w="150" w:type="dxa"/>
              <w:right w:w="150" w:type="dxa"/>
            </w:tcMar>
          </w:tcPr>
          <w:p>
            <w:pPr>
              <w:jc w:val="left"/>
            </w:pPr>
            <w:r>
              <w:rPr>
                <w:rFonts w:ascii="Calibri" w:hAnsi="Calibri"/>
                <w:color w:val="333333"/>
                <w:sz w:val="20"/>
              </w:rPr>
              <w:t>Standardized regression factor scores</w:t>
            </w:r>
          </w:p>
        </w:tc>
      </w:tr>
    </w:tbl>
    <w:p>
      <w:pPr>
        <w:spacing w:after="120"/>
      </w:pPr>
    </w:p>
    <w:p>
      <w:pPr>
        <w:spacing w:before="0" w:after="120" w:line="276" w:lineRule="auto"/>
      </w:pPr>
      <w:r>
        <w:rPr>
          <w:rFonts w:ascii="Calibri" w:hAnsi="Calibri"/>
          <w:color w:val="333333"/>
          <w:sz w:val="22"/>
        </w:rPr>
        <w:t>The PCA was based on 16 operational survey items selected for the component analysis. The survey items were measured primarily using an ordered response scale ranging from low agreement to high agreement, with a separate category representing no answer.</w:t>
      </w:r>
    </w:p>
    <w:p>
      <w:pPr>
        <w:spacing w:before="0" w:after="120" w:line="276" w:lineRule="auto"/>
      </w:pPr>
      <w:r>
        <w:rPr>
          <w:rFonts w:ascii="Calibri" w:hAnsi="Calibri"/>
          <w:color w:val="333333"/>
          <w:sz w:val="22"/>
        </w:rPr>
        <w:t>The analysis included item-level descriptive statistics, correlation analysis, PCA diagnostics, component extraction, Varimax rotation, communalities, reproduced correlations, residual analysis, and saved factor-score analysis.</w:t>
      </w:r>
    </w:p>
    <w:p>
      <w:pPr>
        <w:keepNext/>
        <w:spacing w:before="360" w:after="120"/>
      </w:pPr>
      <w:r>
        <w:rPr>
          <w:rFonts w:ascii="Calibri" w:hAnsi="Calibri"/>
          <w:b/>
          <w:color w:val="1F4E78"/>
          <w:sz w:val="36"/>
        </w:rPr>
        <w:t>4. Data Completeness and Quality</w:t>
      </w:r>
    </w:p>
    <w:p>
      <w:pPr>
        <w:spacing w:before="0" w:after="120" w:line="276" w:lineRule="auto"/>
      </w:pPr>
      <w:r>
        <w:rPr>
          <w:rFonts w:ascii="Calibri" w:hAnsi="Calibri"/>
          <w:color w:val="333333"/>
          <w:sz w:val="22"/>
        </w:rPr>
        <w:t>The dataset contains 388 total cases. The individual survey items demonstrated relatively high response completeness, with valid response rates generally ranging from approximately 95.9% to 98.5%. This indicates that item-level missingness was relatively limited.</w:t>
      </w:r>
    </w:p>
    <w:p>
      <w:pPr>
        <w:spacing w:before="0" w:after="120" w:line="276" w:lineRule="auto"/>
      </w:pPr>
      <w:r>
        <w:rPr>
          <w:rFonts w:ascii="Calibri" w:hAnsi="Calibri"/>
          <w:color w:val="333333"/>
          <w:sz w:val="22"/>
        </w:rPr>
        <w:t>However, an important distinction exists between the survey-item data and the saved factor scores. The four saved factor scores contain 244 non-missing observations, compared with 388 total respondents. This indicates that the factor-score generation procedure used a more restrictive complete-case approach, resulting in 144 missing factor-score observations.</w:t>
      </w:r>
    </w:p>
    <w:p>
      <w:pPr>
        <w:spacing w:before="0" w:after="120" w:line="276" w:lineRule="auto"/>
      </w:pPr>
      <w:r>
        <w:rPr>
          <w:rFonts w:ascii="Calibri" w:hAnsi="Calibri"/>
          <w:color w:val="333333"/>
          <w:sz w:val="22"/>
        </w:rPr>
        <w:t>Therefore, the analytical sample size should be interpreted carefully:</w:t>
      </w:r>
    </w:p>
    <w:p>
      <w:pPr>
        <w:pStyle w:val="ListBullet"/>
        <w:spacing w:before="0" w:after="60" w:line="276" w:lineRule="auto"/>
      </w:pPr>
      <w:r>
        <w:rPr>
          <w:rFonts w:ascii="Calibri" w:hAnsi="Calibri"/>
          <w:color w:val="333333"/>
          <w:sz w:val="22"/>
        </w:rPr>
        <w:t>Total dataset: N = 388</w:t>
      </w:r>
    </w:p>
    <w:p>
      <w:pPr>
        <w:pStyle w:val="ListBullet"/>
        <w:spacing w:before="0" w:after="60" w:line="276" w:lineRule="auto"/>
      </w:pPr>
      <w:r>
        <w:rPr>
          <w:rFonts w:ascii="Calibri" w:hAnsi="Calibri"/>
          <w:color w:val="333333"/>
          <w:sz w:val="22"/>
        </w:rPr>
        <w:t>PCA item-level analyses: Variable-specific valid N values</w:t>
      </w:r>
    </w:p>
    <w:p>
      <w:pPr>
        <w:pStyle w:val="ListBullet"/>
        <w:spacing w:before="0" w:after="60" w:line="276" w:lineRule="auto"/>
      </w:pPr>
      <w:r>
        <w:rPr>
          <w:rFonts w:ascii="Calibri" w:hAnsi="Calibri"/>
          <w:color w:val="333333"/>
          <w:sz w:val="22"/>
        </w:rPr>
        <w:t>Saved factor-score analyses: N = 244 complete cases</w:t>
      </w:r>
    </w:p>
    <w:p>
      <w:pPr>
        <w:spacing w:before="0" w:after="120" w:line="276" w:lineRule="auto"/>
      </w:pPr>
      <w:r>
        <w:rPr>
          <w:rFonts w:ascii="Calibri" w:hAnsi="Calibri"/>
          <w:color w:val="333333"/>
          <w:sz w:val="22"/>
        </w:rPr>
        <w:t>This distinction is particularly important when comparing descriptive results with analyses involving FAC1_1 through FAC4_1.</w:t>
      </w:r>
    </w:p>
    <w:p>
      <w:pPr>
        <w:keepNext/>
        <w:spacing w:before="360" w:after="120"/>
      </w:pPr>
      <w:r>
        <w:rPr>
          <w:rFonts w:ascii="Calibri" w:hAnsi="Calibri"/>
          <w:b/>
          <w:color w:val="1F4E78"/>
          <w:sz w:val="36"/>
        </w:rPr>
        <w:t>5. Descriptive Analysis</w:t>
      </w:r>
    </w:p>
    <w:p>
      <w:pPr>
        <w:spacing w:before="0" w:after="120" w:line="276" w:lineRule="auto"/>
      </w:pPr>
      <w:r>
        <w:rPr>
          <w:rFonts w:ascii="Calibri" w:hAnsi="Calibri"/>
          <w:color w:val="333333"/>
          <w:sz w:val="22"/>
        </w:rPr>
        <w:t>The overall satisfaction variable had a Valid N of 381, Mean = 4.276, Standard Deviation = 1.412, Median = 4, Minimum = 1, and Maximum = 8.</w:t>
      </w:r>
    </w:p>
    <w:p>
      <w:pPr>
        <w:spacing w:before="0" w:after="120" w:line="276" w:lineRule="auto"/>
      </w:pPr>
      <w:r>
        <w:rPr>
          <w:rFonts w:ascii="Calibri" w:hAnsi="Calibri"/>
          <w:color w:val="333333"/>
          <w:sz w:val="22"/>
        </w:rPr>
        <w:t>The item-level means indicate meaningful differences between service dimensions. The highest average scores were generally observed for items associated with interpersonal treatment:</w:t>
      </w:r>
    </w:p>
    <w:p>
      <w:pPr>
        <w:pStyle w:val="ListBullet"/>
        <w:spacing w:before="0" w:after="60" w:line="276" w:lineRule="auto"/>
      </w:pPr>
      <w:r>
        <w:rPr>
          <w:rFonts w:ascii="Calibri" w:hAnsi="Calibri"/>
          <w:color w:val="333333"/>
          <w:sz w:val="22"/>
        </w:rPr>
        <w:t>v20: Mean = 5.147</w:t>
      </w:r>
    </w:p>
    <w:p>
      <w:pPr>
        <w:pStyle w:val="ListBullet"/>
        <w:spacing w:before="0" w:after="60" w:line="276" w:lineRule="auto"/>
      </w:pPr>
      <w:r>
        <w:rPr>
          <w:rFonts w:ascii="Calibri" w:hAnsi="Calibri"/>
          <w:color w:val="333333"/>
          <w:sz w:val="22"/>
        </w:rPr>
        <w:t>v3: Mean = 5.095</w:t>
      </w:r>
    </w:p>
    <w:p>
      <w:pPr>
        <w:pStyle w:val="ListBullet"/>
        <w:spacing w:before="0" w:after="60" w:line="276" w:lineRule="auto"/>
      </w:pPr>
      <w:r>
        <w:rPr>
          <w:rFonts w:ascii="Calibri" w:hAnsi="Calibri"/>
          <w:color w:val="333333"/>
          <w:sz w:val="22"/>
        </w:rPr>
        <w:t>v13: Mean = 5.069</w:t>
      </w:r>
    </w:p>
    <w:p>
      <w:pPr>
        <w:pStyle w:val="ListBullet"/>
        <w:spacing w:before="0" w:after="60" w:line="276" w:lineRule="auto"/>
      </w:pPr>
      <w:r>
        <w:rPr>
          <w:rFonts w:ascii="Calibri" w:hAnsi="Calibri"/>
          <w:color w:val="333333"/>
          <w:sz w:val="22"/>
        </w:rPr>
        <w:t>v5: Mean = 4.963</w:t>
      </w:r>
    </w:p>
    <w:p>
      <w:pPr>
        <w:spacing w:before="0" w:after="120" w:line="276" w:lineRule="auto"/>
      </w:pPr>
      <w:r>
        <w:rPr>
          <w:rFonts w:ascii="Calibri" w:hAnsi="Calibri"/>
          <w:color w:val="333333"/>
          <w:sz w:val="22"/>
        </w:rPr>
        <w:t>In contrast, several administrative and procedural items showed lower average scores, suggesting that clients may perceive interpersonal interactions more positively than administrative clarity and procedural transparency.</w:t>
      </w:r>
    </w:p>
    <w:p>
      <w:pPr>
        <w:keepNext/>
        <w:spacing w:before="360" w:after="120"/>
      </w:pPr>
      <w:r>
        <w:rPr>
          <w:rFonts w:ascii="Calibri" w:hAnsi="Calibri"/>
          <w:b/>
          <w:color w:val="1F4E78"/>
          <w:sz w:val="36"/>
        </w:rPr>
        <w:t>6. Correlation Analysis</w:t>
      </w:r>
    </w:p>
    <w:p>
      <w:pPr>
        <w:spacing w:before="0" w:after="120" w:line="276" w:lineRule="auto"/>
      </w:pPr>
      <w:r>
        <w:rPr>
          <w:rFonts w:ascii="Calibri" w:hAnsi="Calibri"/>
          <w:color w:val="333333"/>
          <w:sz w:val="22"/>
        </w:rPr>
        <w:t>The correlation matrix provided evidence of meaningful relationships among the 16 PCA variables, organized into several distinct clusters:</w:t>
      </w:r>
    </w:p>
    <w:p>
      <w:pPr>
        <w:pStyle w:val="ListBullet"/>
        <w:spacing w:before="0" w:after="60" w:line="276" w:lineRule="auto"/>
      </w:pPr>
      <w:r>
        <w:rPr>
          <w:rFonts w:ascii="Calibri" w:hAnsi="Calibri"/>
          <w:b/>
          <w:color w:val="333333"/>
          <w:sz w:val="22"/>
        </w:rPr>
        <w:t xml:space="preserve">Interpersonal Service Cluster: </w:t>
      </w:r>
      <w:r>
        <w:rPr>
          <w:rFonts w:ascii="Calibri" w:hAnsi="Calibri"/>
          <w:color w:val="333333"/>
          <w:sz w:val="22"/>
        </w:rPr>
        <w:t>Items measuring privacy, friendliness, respect, and communication quality demonstrated positive relationships (e.g., Privacy &amp; reception friendliness r = 0.439; Privacy &amp; feeling taken seriously r = 0.411; Reception friendliness &amp; tone r = 0.402).</w:t>
      </w:r>
    </w:p>
    <w:p>
      <w:pPr>
        <w:pStyle w:val="ListBullet"/>
        <w:spacing w:before="0" w:after="60" w:line="276" w:lineRule="auto"/>
      </w:pPr>
      <w:r>
        <w:rPr>
          <w:rFonts w:ascii="Calibri" w:hAnsi="Calibri"/>
          <w:b/>
          <w:color w:val="333333"/>
          <w:sz w:val="22"/>
        </w:rPr>
        <w:t xml:space="preserve">Caseworker Engagement Cluster: </w:t>
      </w:r>
      <w:r>
        <w:rPr>
          <w:rFonts w:ascii="Calibri" w:hAnsi="Calibri"/>
          <w:color w:val="333333"/>
          <w:sz w:val="22"/>
        </w:rPr>
        <w:t>Caseworker-focused items were positively correlated (e.g., Motivation &amp; fitting job opportunities r = 0.468; Time spent &amp; fitting job opportunities r = 0.476; Time spent &amp; interview preparation r = 0.367).</w:t>
      </w:r>
    </w:p>
    <w:p>
      <w:pPr>
        <w:pStyle w:val="ListBullet"/>
        <w:spacing w:before="0" w:after="60" w:line="276" w:lineRule="auto"/>
      </w:pPr>
      <w:r>
        <w:rPr>
          <w:rFonts w:ascii="Calibri" w:hAnsi="Calibri"/>
          <w:b/>
          <w:color w:val="333333"/>
          <w:sz w:val="22"/>
        </w:rPr>
        <w:t xml:space="preserve">Administrative Transparency Cluster: </w:t>
      </w:r>
      <w:r>
        <w:rPr>
          <w:rFonts w:ascii="Calibri" w:hAnsi="Calibri"/>
          <w:color w:val="333333"/>
          <w:sz w:val="22"/>
        </w:rPr>
        <w:t>Administrative information items demonstrated meaningful relationships (e.g., Information accessibility &amp; application progress r = 0.382; Rights clarity &amp; knowing who can answer questions r = 0.361).</w:t>
      </w:r>
    </w:p>
    <w:p>
      <w:pPr>
        <w:pStyle w:val="ListBullet"/>
        <w:spacing w:before="0" w:after="60" w:line="276" w:lineRule="auto"/>
      </w:pPr>
      <w:r>
        <w:rPr>
          <w:rFonts w:ascii="Calibri" w:hAnsi="Calibri"/>
          <w:b/>
          <w:color w:val="333333"/>
          <w:sz w:val="22"/>
        </w:rPr>
        <w:t xml:space="preserve">Operational Reliability Cluster: </w:t>
      </w:r>
      <w:r>
        <w:rPr>
          <w:rFonts w:ascii="Calibri" w:hAnsi="Calibri"/>
          <w:color w:val="333333"/>
          <w:sz w:val="22"/>
        </w:rPr>
        <w:t>Items related to agreements, procedures, and promise fulfillment demonstrated positive relationships (e.g., Agreements followed through &amp; promises fulfilled r = 0.342).</w:t>
      </w:r>
    </w:p>
    <w:p>
      <w:pPr>
        <w:keepNext/>
        <w:spacing w:before="360" w:after="120"/>
      </w:pPr>
      <w:r>
        <w:rPr>
          <w:rFonts w:ascii="Calibri" w:hAnsi="Calibri"/>
          <w:b/>
          <w:color w:val="1F4E78"/>
          <w:sz w:val="36"/>
        </w:rPr>
        <w:t>7. Assessment of Factorability</w:t>
      </w:r>
    </w:p>
    <w:p>
      <w:pPr>
        <w:spacing w:before="0" w:after="120" w:line="276" w:lineRule="auto"/>
      </w:pPr>
      <w:r>
        <w:rPr>
          <w:rFonts w:ascii="Calibri" w:hAnsi="Calibri"/>
          <w:color w:val="333333"/>
          <w:sz w:val="22"/>
        </w:rPr>
        <w:t>Before extracting components, the suitability of the dataset for PCA was assessed using KMO Measure of Sampling Adequacy, Bartlett's Test of Sphericity, Anti-Image Correlation Matrix, and the full Correlation Matrix.</w:t>
      </w:r>
    </w:p>
    <w:p>
      <w:pPr>
        <w:keepNext/>
        <w:spacing w:before="280" w:after="80"/>
      </w:pPr>
      <w:r>
        <w:rPr>
          <w:rFonts w:ascii="Calibri" w:hAnsi="Calibri"/>
          <w:b/>
          <w:color w:val="2F5597"/>
          <w:sz w:val="28"/>
        </w:rPr>
        <w:t>8. KMO and Bartlett's Test</w:t>
      </w:r>
    </w:p>
    <w:p>
      <w:pPr>
        <w:spacing w:before="0" w:after="120" w:line="276" w:lineRule="auto"/>
      </w:pPr>
      <w:r>
        <w:rPr>
          <w:rFonts w:ascii="Calibri" w:hAnsi="Calibri"/>
          <w:color w:val="333333"/>
          <w:sz w:val="22"/>
        </w:rPr>
        <w:t>The Kaiser-Meyer-Olkin (KMO) value was 0.712, indicating an acceptable level of sampling adequacy (exceeding the standard threshold of 0.70) and confirming shared variance among variables.</w:t>
      </w:r>
    </w:p>
    <w:p>
      <w:pPr>
        <w:spacing w:before="0" w:after="120" w:line="276" w:lineRule="auto"/>
      </w:pPr>
      <w:r>
        <w:rPr>
          <w:rFonts w:ascii="Calibri" w:hAnsi="Calibri"/>
          <w:color w:val="333333"/>
          <w:sz w:val="22"/>
        </w:rPr>
        <w:t>Bartlett's Test of Sphericity yielded χ²(120) = 680.630, p &lt; .001. The statistically significant result rejects the null hypothesis that the correlation matrix is an identity matrix, confirming that meaningful relationships exist among variables.</w:t>
      </w:r>
    </w:p>
    <w:p>
      <w:pPr>
        <w:keepNext/>
        <w:spacing w:before="280" w:after="80"/>
      </w:pPr>
      <w:r>
        <w:rPr>
          <w:rFonts w:ascii="Calibri" w:hAnsi="Calibri"/>
          <w:b/>
          <w:color w:val="2F5597"/>
          <w:sz w:val="28"/>
        </w:rPr>
        <w:t>9. Anti-Image Analysis</w:t>
      </w:r>
    </w:p>
    <w:p>
      <w:pPr>
        <w:spacing w:before="0" w:after="120" w:line="276" w:lineRule="auto"/>
      </w:pPr>
      <w:r>
        <w:rPr>
          <w:rFonts w:ascii="Calibri" w:hAnsi="Calibri"/>
          <w:color w:val="333333"/>
          <w:sz w:val="22"/>
        </w:rPr>
        <w:t>Individual Measures of Sampling Adequacy (MSA) in the Anti-Image Correlation Matrix ranged from 0.582 to 0.773. Since all variables exceeded the minimum threshold of 0.50, no items were identified for removal, supporting the retention of all 16 variables.</w:t>
      </w:r>
    </w:p>
    <w:p>
      <w:pPr>
        <w:keepNext/>
        <w:spacing w:before="360" w:after="120"/>
      </w:pPr>
      <w:r>
        <w:rPr>
          <w:rFonts w:ascii="Calibri" w:hAnsi="Calibri"/>
          <w:b/>
          <w:color w:val="1F4E78"/>
          <w:sz w:val="36"/>
        </w:rPr>
        <w:t>10. Principal Component Extraction</w:t>
      </w:r>
    </w:p>
    <w:p>
      <w:pPr>
        <w:spacing w:before="0" w:after="120" w:line="276" w:lineRule="auto"/>
      </w:pPr>
      <w:r>
        <w:rPr>
          <w:rFonts w:ascii="Calibri" w:hAnsi="Calibri"/>
          <w:color w:val="333333"/>
          <w:sz w:val="22"/>
        </w:rPr>
        <w:t>Principal Component Analysis was conducted using Kaiser's criterion (retaining components with eigenvalues &gt; 1.0). Four components were retained, collectively explaining 52.11% of total variance.</w:t>
      </w:r>
    </w:p>
    <w:tbl>
      <w:tblPr>
        <w:tblW w:type="auto" w:w="0"/>
        <w:jc w:val="center"/>
        <w:tblLook w:firstColumn="1" w:firstRow="1" w:lastColumn="0" w:lastRow="0" w:noHBand="0" w:noVBand="1" w:val="04A0"/>
      </w:tblPr>
      <w:tblGrid>
        <w:gridCol w:w="3120"/>
        <w:gridCol w:w="3120"/>
        <w:gridCol w:w="3120"/>
      </w:tblGrid>
      <w:tr>
        <w:tc>
          <w:tcPr>
            <w:tcW w:type="dxa" w:w="2880"/>
            <w:shd w:fill="1F4E78"/>
            <w:tcMar>
              <w:top w:w="120" w:type="dxa"/>
              <w:bottom w:w="120" w:type="dxa"/>
              <w:left w:w="150" w:type="dxa"/>
              <w:right w:w="150" w:type="dxa"/>
            </w:tcMar>
          </w:tcPr>
          <w:p>
            <w:pPr>
              <w:jc w:val="left"/>
            </w:pPr>
            <w:r>
              <w:rPr>
                <w:rFonts w:ascii="Calibri" w:hAnsi="Calibri"/>
                <w:b/>
                <w:color w:val="FFFFFF"/>
                <w:sz w:val="21"/>
              </w:rPr>
              <w:t>Component</w:t>
            </w:r>
          </w:p>
        </w:tc>
        <w:tc>
          <w:tcPr>
            <w:tcW w:type="dxa" w:w="2880"/>
            <w:shd w:fill="1F4E78"/>
            <w:tcMar>
              <w:top w:w="120" w:type="dxa"/>
              <w:bottom w:w="120" w:type="dxa"/>
              <w:left w:w="150" w:type="dxa"/>
              <w:right w:w="150" w:type="dxa"/>
            </w:tcMar>
          </w:tcPr>
          <w:p>
            <w:pPr>
              <w:jc w:val="left"/>
            </w:pPr>
            <w:r>
              <w:rPr>
                <w:rFonts w:ascii="Calibri" w:hAnsi="Calibri"/>
                <w:b/>
                <w:color w:val="FFFFFF"/>
                <w:sz w:val="21"/>
              </w:rPr>
              <w:t>Eigenvalue</w:t>
            </w:r>
          </w:p>
        </w:tc>
        <w:tc>
          <w:tcPr>
            <w:tcW w:type="dxa" w:w="3600"/>
            <w:shd w:fill="1F4E78"/>
            <w:tcMar>
              <w:top w:w="120" w:type="dxa"/>
              <w:bottom w:w="120" w:type="dxa"/>
              <w:left w:w="150" w:type="dxa"/>
              <w:right w:w="150" w:type="dxa"/>
            </w:tcMar>
          </w:tcPr>
          <w:p>
            <w:pPr>
              <w:jc w:val="left"/>
            </w:pPr>
            <w:r>
              <w:rPr>
                <w:rFonts w:ascii="Calibri" w:hAnsi="Calibri"/>
                <w:b/>
                <w:color w:val="FFFFFF"/>
                <w:sz w:val="21"/>
              </w:rPr>
              <w:t>Variance Explained</w:t>
            </w:r>
          </w:p>
        </w:tc>
      </w:tr>
      <w:tr>
        <w:tc>
          <w:tcPr>
            <w:tcW w:type="dxa" w:w="2880"/>
            <w:shd w:fill="FFFFFF"/>
            <w:tcMar>
              <w:top w:w="100" w:type="dxa"/>
              <w:bottom w:w="100" w:type="dxa"/>
              <w:left w:w="150" w:type="dxa"/>
              <w:right w:w="150" w:type="dxa"/>
            </w:tcMar>
          </w:tcPr>
          <w:p>
            <w:pPr>
              <w:jc w:val="left"/>
            </w:pPr>
            <w:r>
              <w:rPr>
                <w:rFonts w:ascii="Calibri" w:hAnsi="Calibri"/>
                <w:color w:val="333333"/>
                <w:sz w:val="20"/>
              </w:rPr>
              <w:t>Component 1</w:t>
            </w:r>
          </w:p>
        </w:tc>
        <w:tc>
          <w:tcPr>
            <w:tcW w:type="dxa" w:w="2880"/>
            <w:shd w:fill="FFFFFF"/>
            <w:tcMar>
              <w:top w:w="100" w:type="dxa"/>
              <w:bottom w:w="100" w:type="dxa"/>
              <w:left w:w="150" w:type="dxa"/>
              <w:right w:w="150" w:type="dxa"/>
            </w:tcMar>
          </w:tcPr>
          <w:p>
            <w:pPr>
              <w:jc w:val="left"/>
            </w:pPr>
            <w:r>
              <w:rPr>
                <w:rFonts w:ascii="Calibri" w:hAnsi="Calibri"/>
                <w:color w:val="333333"/>
                <w:sz w:val="20"/>
              </w:rPr>
              <w:t>2.675</w:t>
            </w:r>
          </w:p>
        </w:tc>
        <w:tc>
          <w:tcPr>
            <w:tcW w:type="dxa" w:w="3600"/>
            <w:shd w:fill="FFFFFF"/>
            <w:tcMar>
              <w:top w:w="100" w:type="dxa"/>
              <w:bottom w:w="100" w:type="dxa"/>
              <w:left w:w="150" w:type="dxa"/>
              <w:right w:w="150" w:type="dxa"/>
            </w:tcMar>
          </w:tcPr>
          <w:p>
            <w:pPr>
              <w:jc w:val="left"/>
            </w:pPr>
            <w:r>
              <w:rPr>
                <w:rFonts w:ascii="Calibri" w:hAnsi="Calibri"/>
                <w:color w:val="333333"/>
                <w:sz w:val="20"/>
              </w:rPr>
              <w:t>16.72%</w:t>
            </w:r>
          </w:p>
        </w:tc>
      </w:tr>
      <w:tr>
        <w:tc>
          <w:tcPr>
            <w:tcW w:type="dxa" w:w="2880"/>
            <w:shd w:fill="F2F4F8"/>
            <w:tcMar>
              <w:top w:w="100" w:type="dxa"/>
              <w:bottom w:w="100" w:type="dxa"/>
              <w:left w:w="150" w:type="dxa"/>
              <w:right w:w="150" w:type="dxa"/>
            </w:tcMar>
          </w:tcPr>
          <w:p>
            <w:pPr>
              <w:jc w:val="left"/>
            </w:pPr>
            <w:r>
              <w:rPr>
                <w:rFonts w:ascii="Calibri" w:hAnsi="Calibri"/>
                <w:color w:val="333333"/>
                <w:sz w:val="20"/>
              </w:rPr>
              <w:t>Component 2</w:t>
            </w:r>
          </w:p>
        </w:tc>
        <w:tc>
          <w:tcPr>
            <w:tcW w:type="dxa" w:w="2880"/>
            <w:shd w:fill="F2F4F8"/>
            <w:tcMar>
              <w:top w:w="100" w:type="dxa"/>
              <w:bottom w:w="100" w:type="dxa"/>
              <w:left w:w="150" w:type="dxa"/>
              <w:right w:w="150" w:type="dxa"/>
            </w:tcMar>
          </w:tcPr>
          <w:p>
            <w:pPr>
              <w:jc w:val="left"/>
            </w:pPr>
            <w:r>
              <w:rPr>
                <w:rFonts w:ascii="Calibri" w:hAnsi="Calibri"/>
                <w:color w:val="333333"/>
                <w:sz w:val="20"/>
              </w:rPr>
              <w:t>2.308</w:t>
            </w:r>
          </w:p>
        </w:tc>
        <w:tc>
          <w:tcPr>
            <w:tcW w:type="dxa" w:w="3600"/>
            <w:shd w:fill="F2F4F8"/>
            <w:tcMar>
              <w:top w:w="100" w:type="dxa"/>
              <w:bottom w:w="100" w:type="dxa"/>
              <w:left w:w="150" w:type="dxa"/>
              <w:right w:w="150" w:type="dxa"/>
            </w:tcMar>
          </w:tcPr>
          <w:p>
            <w:pPr>
              <w:jc w:val="left"/>
            </w:pPr>
            <w:r>
              <w:rPr>
                <w:rFonts w:ascii="Calibri" w:hAnsi="Calibri"/>
                <w:color w:val="333333"/>
                <w:sz w:val="20"/>
              </w:rPr>
              <w:t>14.43%</w:t>
            </w:r>
          </w:p>
        </w:tc>
      </w:tr>
      <w:tr>
        <w:tc>
          <w:tcPr>
            <w:tcW w:type="dxa" w:w="2880"/>
            <w:shd w:fill="FFFFFF"/>
            <w:tcMar>
              <w:top w:w="100" w:type="dxa"/>
              <w:bottom w:w="100" w:type="dxa"/>
              <w:left w:w="150" w:type="dxa"/>
              <w:right w:w="150" w:type="dxa"/>
            </w:tcMar>
          </w:tcPr>
          <w:p>
            <w:pPr>
              <w:jc w:val="left"/>
            </w:pPr>
            <w:r>
              <w:rPr>
                <w:rFonts w:ascii="Calibri" w:hAnsi="Calibri"/>
                <w:color w:val="333333"/>
                <w:sz w:val="20"/>
              </w:rPr>
              <w:t>Component 3</w:t>
            </w:r>
          </w:p>
        </w:tc>
        <w:tc>
          <w:tcPr>
            <w:tcW w:type="dxa" w:w="2880"/>
            <w:shd w:fill="FFFFFF"/>
            <w:tcMar>
              <w:top w:w="100" w:type="dxa"/>
              <w:bottom w:w="100" w:type="dxa"/>
              <w:left w:w="150" w:type="dxa"/>
              <w:right w:w="150" w:type="dxa"/>
            </w:tcMar>
          </w:tcPr>
          <w:p>
            <w:pPr>
              <w:jc w:val="left"/>
            </w:pPr>
            <w:r>
              <w:rPr>
                <w:rFonts w:ascii="Calibri" w:hAnsi="Calibri"/>
                <w:color w:val="333333"/>
                <w:sz w:val="20"/>
              </w:rPr>
              <w:t>1.857</w:t>
            </w:r>
          </w:p>
        </w:tc>
        <w:tc>
          <w:tcPr>
            <w:tcW w:type="dxa" w:w="3600"/>
            <w:shd w:fill="FFFFFF"/>
            <w:tcMar>
              <w:top w:w="100" w:type="dxa"/>
              <w:bottom w:w="100" w:type="dxa"/>
              <w:left w:w="150" w:type="dxa"/>
              <w:right w:w="150" w:type="dxa"/>
            </w:tcMar>
          </w:tcPr>
          <w:p>
            <w:pPr>
              <w:jc w:val="left"/>
            </w:pPr>
            <w:r>
              <w:rPr>
                <w:rFonts w:ascii="Calibri" w:hAnsi="Calibri"/>
                <w:color w:val="333333"/>
                <w:sz w:val="20"/>
              </w:rPr>
              <w:t>11.61%</w:t>
            </w:r>
          </w:p>
        </w:tc>
      </w:tr>
      <w:tr>
        <w:tc>
          <w:tcPr>
            <w:tcW w:type="dxa" w:w="2880"/>
            <w:shd w:fill="F2F4F8"/>
            <w:tcMar>
              <w:top w:w="100" w:type="dxa"/>
              <w:bottom w:w="100" w:type="dxa"/>
              <w:left w:w="150" w:type="dxa"/>
              <w:right w:w="150" w:type="dxa"/>
            </w:tcMar>
          </w:tcPr>
          <w:p>
            <w:pPr>
              <w:jc w:val="left"/>
            </w:pPr>
            <w:r>
              <w:rPr>
                <w:rFonts w:ascii="Calibri" w:hAnsi="Calibri"/>
                <w:color w:val="333333"/>
                <w:sz w:val="20"/>
              </w:rPr>
              <w:t>Component 4</w:t>
            </w:r>
          </w:p>
        </w:tc>
        <w:tc>
          <w:tcPr>
            <w:tcW w:type="dxa" w:w="2880"/>
            <w:shd w:fill="F2F4F8"/>
            <w:tcMar>
              <w:top w:w="100" w:type="dxa"/>
              <w:bottom w:w="100" w:type="dxa"/>
              <w:left w:w="150" w:type="dxa"/>
              <w:right w:w="150" w:type="dxa"/>
            </w:tcMar>
          </w:tcPr>
          <w:p>
            <w:pPr>
              <w:jc w:val="left"/>
            </w:pPr>
            <w:r>
              <w:rPr>
                <w:rFonts w:ascii="Calibri" w:hAnsi="Calibri"/>
                <w:color w:val="333333"/>
                <w:sz w:val="20"/>
              </w:rPr>
              <w:t>1.496</w:t>
            </w:r>
          </w:p>
        </w:tc>
        <w:tc>
          <w:tcPr>
            <w:tcW w:type="dxa" w:w="3600"/>
            <w:shd w:fill="F2F4F8"/>
            <w:tcMar>
              <w:top w:w="100" w:type="dxa"/>
              <w:bottom w:w="100" w:type="dxa"/>
              <w:left w:w="150" w:type="dxa"/>
              <w:right w:w="150" w:type="dxa"/>
            </w:tcMar>
          </w:tcPr>
          <w:p>
            <w:pPr>
              <w:jc w:val="left"/>
            </w:pPr>
            <w:r>
              <w:rPr>
                <w:rFonts w:ascii="Calibri" w:hAnsi="Calibri"/>
                <w:color w:val="333333"/>
                <w:sz w:val="20"/>
              </w:rPr>
              <w:t>9.35%</w:t>
            </w:r>
          </w:p>
        </w:tc>
      </w:tr>
    </w:tbl>
    <w:p>
      <w:pPr>
        <w:spacing w:after="120"/>
      </w:pPr>
    </w:p>
    <w:p>
      <w:pPr>
        <w:keepNext/>
        <w:spacing w:before="280" w:after="80"/>
      </w:pPr>
      <w:r>
        <w:rPr>
          <w:rFonts w:ascii="Calibri" w:hAnsi="Calibri"/>
          <w:b/>
          <w:color w:val="2F5597"/>
          <w:sz w:val="28"/>
        </w:rPr>
        <w:t>11. Scree Plot Analysis</w:t>
      </w:r>
    </w:p>
    <w:p>
      <w:pPr>
        <w:spacing w:before="0" w:after="120" w:line="276" w:lineRule="auto"/>
      </w:pPr>
      <w:r>
        <w:rPr>
          <w:rFonts w:ascii="Calibri" w:hAnsi="Calibri"/>
          <w:color w:val="333333"/>
          <w:sz w:val="22"/>
        </w:rPr>
        <w:t>The scree plot confirmed a sharp decline across the first four components, flattening substantially beginning with Component 5 (eigenvalue λ = 0.916). The combination of Kaiser's criterion, scree plot inspection, and theoretical interpretability strongly supports the four-component solution.</w:t>
      </w:r>
    </w:p>
    <w:p>
      <w:pPr>
        <w:keepNext/>
        <w:spacing w:before="360" w:after="120"/>
      </w:pPr>
      <w:r>
        <w:rPr>
          <w:rFonts w:ascii="Calibri" w:hAnsi="Calibri"/>
          <w:b/>
          <w:color w:val="1F4E78"/>
          <w:sz w:val="36"/>
        </w:rPr>
        <w:t>12. Communalities</w:t>
      </w:r>
    </w:p>
    <w:p>
      <w:pPr>
        <w:spacing w:before="0" w:after="120" w:line="276" w:lineRule="auto"/>
      </w:pPr>
      <w:r>
        <w:rPr>
          <w:rFonts w:ascii="Calibri" w:hAnsi="Calibri"/>
          <w:color w:val="333333"/>
          <w:sz w:val="22"/>
        </w:rPr>
        <w:t>Extracted communalities ranged from 0.420 to 0.649. All variables exceeded the 0.40 threshold, confirming acceptable variance representation in the four-component model.</w:t>
      </w:r>
    </w:p>
    <w:tbl>
      <w:tblPr>
        <w:tblW w:type="auto" w:w="0"/>
        <w:jc w:val="center"/>
        <w:tblLook w:firstColumn="1" w:firstRow="1" w:lastColumn="0" w:lastRow="0" w:noHBand="0" w:noVBand="1" w:val="04A0"/>
      </w:tblPr>
      <w:tblGrid>
        <w:gridCol w:w="2340"/>
        <w:gridCol w:w="2340"/>
        <w:gridCol w:w="2340"/>
        <w:gridCol w:w="2340"/>
      </w:tblGrid>
      <w:tr>
        <w:tc>
          <w:tcPr>
            <w:tcW w:type="dxa" w:w="2160"/>
            <w:shd w:fill="1F4E78"/>
            <w:tcMar>
              <w:top w:w="120" w:type="dxa"/>
              <w:bottom w:w="120" w:type="dxa"/>
              <w:left w:w="150" w:type="dxa"/>
              <w:right w:w="150" w:type="dxa"/>
            </w:tcMar>
          </w:tcPr>
          <w:p>
            <w:pPr>
              <w:jc w:val="left"/>
            </w:pPr>
            <w:r>
              <w:rPr>
                <w:rFonts w:ascii="Calibri" w:hAnsi="Calibri"/>
                <w:b/>
                <w:color w:val="FFFFFF"/>
                <w:sz w:val="21"/>
              </w:rPr>
              <w:t>Variable</w:t>
            </w:r>
          </w:p>
        </w:tc>
        <w:tc>
          <w:tcPr>
            <w:tcW w:type="dxa" w:w="2160"/>
            <w:shd w:fill="1F4E78"/>
            <w:tcMar>
              <w:top w:w="120" w:type="dxa"/>
              <w:bottom w:w="120" w:type="dxa"/>
              <w:left w:w="150" w:type="dxa"/>
              <w:right w:w="150" w:type="dxa"/>
            </w:tcMar>
          </w:tcPr>
          <w:p>
            <w:pPr>
              <w:jc w:val="left"/>
            </w:pPr>
            <w:r>
              <w:rPr>
                <w:rFonts w:ascii="Calibri" w:hAnsi="Calibri"/>
                <w:b/>
                <w:color w:val="FFFFFF"/>
                <w:sz w:val="21"/>
              </w:rPr>
              <w:t>Communality</w:t>
            </w:r>
          </w:p>
        </w:tc>
        <w:tc>
          <w:tcPr>
            <w:tcW w:type="dxa" w:w="2160"/>
            <w:shd w:fill="1F4E78"/>
            <w:tcMar>
              <w:top w:w="120" w:type="dxa"/>
              <w:bottom w:w="120" w:type="dxa"/>
              <w:left w:w="150" w:type="dxa"/>
              <w:right w:w="150" w:type="dxa"/>
            </w:tcMar>
          </w:tcPr>
          <w:p>
            <w:pPr>
              <w:jc w:val="left"/>
            </w:pPr>
            <w:r>
              <w:rPr>
                <w:rFonts w:ascii="Calibri" w:hAnsi="Calibri"/>
                <w:b/>
                <w:color w:val="FFFFFF"/>
                <w:sz w:val="21"/>
              </w:rPr>
              <w:t>Variable</w:t>
            </w:r>
          </w:p>
        </w:tc>
        <w:tc>
          <w:tcPr>
            <w:tcW w:type="dxa" w:w="2160"/>
            <w:shd w:fill="1F4E78"/>
            <w:tcMar>
              <w:top w:w="120" w:type="dxa"/>
              <w:bottom w:w="120" w:type="dxa"/>
              <w:left w:w="150" w:type="dxa"/>
              <w:right w:w="150" w:type="dxa"/>
            </w:tcMar>
          </w:tcPr>
          <w:p>
            <w:pPr>
              <w:jc w:val="left"/>
            </w:pPr>
            <w:r>
              <w:rPr>
                <w:rFonts w:ascii="Calibri" w:hAnsi="Calibri"/>
                <w:b/>
                <w:color w:val="FFFFFF"/>
                <w:sz w:val="21"/>
              </w:rPr>
              <w:t>Communality</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v10</w:t>
            </w:r>
          </w:p>
        </w:tc>
        <w:tc>
          <w:tcPr>
            <w:tcW w:type="dxa" w:w="2160"/>
            <w:shd w:fill="FFFFFF"/>
            <w:tcMar>
              <w:top w:w="100" w:type="dxa"/>
              <w:bottom w:w="100" w:type="dxa"/>
              <w:left w:w="150" w:type="dxa"/>
              <w:right w:w="150" w:type="dxa"/>
            </w:tcMar>
          </w:tcPr>
          <w:p>
            <w:pPr>
              <w:jc w:val="left"/>
            </w:pPr>
            <w:r>
              <w:rPr>
                <w:rFonts w:ascii="Calibri" w:hAnsi="Calibri"/>
                <w:color w:val="333333"/>
                <w:sz w:val="20"/>
              </w:rPr>
              <w:t>0.649</w:t>
            </w:r>
          </w:p>
        </w:tc>
        <w:tc>
          <w:tcPr>
            <w:tcW w:type="dxa" w:w="2160"/>
            <w:shd w:fill="FFFFFF"/>
            <w:tcMar>
              <w:top w:w="100" w:type="dxa"/>
              <w:bottom w:w="100" w:type="dxa"/>
              <w:left w:w="150" w:type="dxa"/>
              <w:right w:w="150" w:type="dxa"/>
            </w:tcMar>
          </w:tcPr>
          <w:p>
            <w:pPr>
              <w:jc w:val="left"/>
            </w:pPr>
            <w:r>
              <w:rPr>
                <w:rFonts w:ascii="Calibri" w:hAnsi="Calibri"/>
                <w:color w:val="333333"/>
                <w:sz w:val="20"/>
              </w:rPr>
              <w:t>v12</w:t>
            </w:r>
          </w:p>
        </w:tc>
        <w:tc>
          <w:tcPr>
            <w:tcW w:type="dxa" w:w="2160"/>
            <w:shd w:fill="FFFFFF"/>
            <w:tcMar>
              <w:top w:w="100" w:type="dxa"/>
              <w:bottom w:w="100" w:type="dxa"/>
              <w:left w:w="150" w:type="dxa"/>
              <w:right w:w="150" w:type="dxa"/>
            </w:tcMar>
          </w:tcPr>
          <w:p>
            <w:pPr>
              <w:jc w:val="left"/>
            </w:pPr>
            <w:r>
              <w:rPr>
                <w:rFonts w:ascii="Calibri" w:hAnsi="Calibri"/>
                <w:color w:val="333333"/>
                <w:sz w:val="20"/>
              </w:rPr>
              <w:t>0.514</w:t>
            </w:r>
          </w:p>
        </w:tc>
      </w:tr>
      <w:tr>
        <w:tc>
          <w:tcPr>
            <w:tcW w:type="dxa" w:w="2160"/>
            <w:shd w:fill="F2F4F8"/>
            <w:tcMar>
              <w:top w:w="100" w:type="dxa"/>
              <w:bottom w:w="100" w:type="dxa"/>
              <w:left w:w="150" w:type="dxa"/>
              <w:right w:w="150" w:type="dxa"/>
            </w:tcMar>
          </w:tcPr>
          <w:p>
            <w:pPr>
              <w:jc w:val="left"/>
            </w:pPr>
            <w:r>
              <w:rPr>
                <w:rFonts w:ascii="Calibri" w:hAnsi="Calibri"/>
                <w:color w:val="333333"/>
                <w:sz w:val="20"/>
              </w:rPr>
              <w:t>v4</w:t>
            </w:r>
          </w:p>
        </w:tc>
        <w:tc>
          <w:tcPr>
            <w:tcW w:type="dxa" w:w="2160"/>
            <w:shd w:fill="F2F4F8"/>
            <w:tcMar>
              <w:top w:w="100" w:type="dxa"/>
              <w:bottom w:w="100" w:type="dxa"/>
              <w:left w:w="150" w:type="dxa"/>
              <w:right w:w="150" w:type="dxa"/>
            </w:tcMar>
          </w:tcPr>
          <w:p>
            <w:pPr>
              <w:jc w:val="left"/>
            </w:pPr>
            <w:r>
              <w:rPr>
                <w:rFonts w:ascii="Calibri" w:hAnsi="Calibri"/>
                <w:color w:val="333333"/>
                <w:sz w:val="20"/>
              </w:rPr>
              <w:t>0.597</w:t>
            </w:r>
          </w:p>
        </w:tc>
        <w:tc>
          <w:tcPr>
            <w:tcW w:type="dxa" w:w="2160"/>
            <w:shd w:fill="F2F4F8"/>
            <w:tcMar>
              <w:top w:w="100" w:type="dxa"/>
              <w:bottom w:w="100" w:type="dxa"/>
              <w:left w:w="150" w:type="dxa"/>
              <w:right w:w="150" w:type="dxa"/>
            </w:tcMar>
          </w:tcPr>
          <w:p>
            <w:pPr>
              <w:jc w:val="left"/>
            </w:pPr>
            <w:r>
              <w:rPr>
                <w:rFonts w:ascii="Calibri" w:hAnsi="Calibri"/>
                <w:color w:val="333333"/>
                <w:sz w:val="20"/>
              </w:rPr>
              <w:t>v16</w:t>
            </w:r>
          </w:p>
        </w:tc>
        <w:tc>
          <w:tcPr>
            <w:tcW w:type="dxa" w:w="2160"/>
            <w:shd w:fill="F2F4F8"/>
            <w:tcMar>
              <w:top w:w="100" w:type="dxa"/>
              <w:bottom w:w="100" w:type="dxa"/>
              <w:left w:w="150" w:type="dxa"/>
              <w:right w:w="150" w:type="dxa"/>
            </w:tcMar>
          </w:tcPr>
          <w:p>
            <w:pPr>
              <w:jc w:val="left"/>
            </w:pPr>
            <w:r>
              <w:rPr>
                <w:rFonts w:ascii="Calibri" w:hAnsi="Calibri"/>
                <w:color w:val="333333"/>
                <w:sz w:val="20"/>
              </w:rPr>
              <w:t>0.508</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v3</w:t>
            </w:r>
          </w:p>
        </w:tc>
        <w:tc>
          <w:tcPr>
            <w:tcW w:type="dxa" w:w="2160"/>
            <w:shd w:fill="FFFFFF"/>
            <w:tcMar>
              <w:top w:w="100" w:type="dxa"/>
              <w:bottom w:w="100" w:type="dxa"/>
              <w:left w:w="150" w:type="dxa"/>
              <w:right w:w="150" w:type="dxa"/>
            </w:tcMar>
          </w:tcPr>
          <w:p>
            <w:pPr>
              <w:jc w:val="left"/>
            </w:pPr>
            <w:r>
              <w:rPr>
                <w:rFonts w:ascii="Calibri" w:hAnsi="Calibri"/>
                <w:color w:val="333333"/>
                <w:sz w:val="20"/>
              </w:rPr>
              <w:t>0.591</w:t>
            </w:r>
          </w:p>
        </w:tc>
        <w:tc>
          <w:tcPr>
            <w:tcW w:type="dxa" w:w="2160"/>
            <w:shd w:fill="FFFFFF"/>
            <w:tcMar>
              <w:top w:w="100" w:type="dxa"/>
              <w:bottom w:w="100" w:type="dxa"/>
              <w:left w:w="150" w:type="dxa"/>
              <w:right w:w="150" w:type="dxa"/>
            </w:tcMar>
          </w:tcPr>
          <w:p>
            <w:pPr>
              <w:jc w:val="left"/>
            </w:pPr>
            <w:r>
              <w:rPr>
                <w:rFonts w:ascii="Calibri" w:hAnsi="Calibri"/>
                <w:color w:val="333333"/>
                <w:sz w:val="20"/>
              </w:rPr>
              <w:t>v14</w:t>
            </w:r>
          </w:p>
        </w:tc>
        <w:tc>
          <w:tcPr>
            <w:tcW w:type="dxa" w:w="2160"/>
            <w:shd w:fill="FFFFFF"/>
            <w:tcMar>
              <w:top w:w="100" w:type="dxa"/>
              <w:bottom w:w="100" w:type="dxa"/>
              <w:left w:w="150" w:type="dxa"/>
              <w:right w:w="150" w:type="dxa"/>
            </w:tcMar>
          </w:tcPr>
          <w:p>
            <w:pPr>
              <w:jc w:val="left"/>
            </w:pPr>
            <w:r>
              <w:rPr>
                <w:rFonts w:ascii="Calibri" w:hAnsi="Calibri"/>
                <w:color w:val="333333"/>
                <w:sz w:val="20"/>
              </w:rPr>
              <w:t>0.484</w:t>
            </w:r>
          </w:p>
        </w:tc>
      </w:tr>
      <w:tr>
        <w:tc>
          <w:tcPr>
            <w:tcW w:type="dxa" w:w="2160"/>
            <w:shd w:fill="F2F4F8"/>
            <w:tcMar>
              <w:top w:w="100" w:type="dxa"/>
              <w:bottom w:w="100" w:type="dxa"/>
              <w:left w:w="150" w:type="dxa"/>
              <w:right w:w="150" w:type="dxa"/>
            </w:tcMar>
          </w:tcPr>
          <w:p>
            <w:pPr>
              <w:jc w:val="left"/>
            </w:pPr>
            <w:r>
              <w:rPr>
                <w:rFonts w:ascii="Calibri" w:hAnsi="Calibri"/>
                <w:color w:val="333333"/>
                <w:sz w:val="20"/>
              </w:rPr>
              <w:t>v13</w:t>
            </w:r>
          </w:p>
        </w:tc>
        <w:tc>
          <w:tcPr>
            <w:tcW w:type="dxa" w:w="2160"/>
            <w:shd w:fill="F2F4F8"/>
            <w:tcMar>
              <w:top w:w="100" w:type="dxa"/>
              <w:bottom w:w="100" w:type="dxa"/>
              <w:left w:w="150" w:type="dxa"/>
              <w:right w:w="150" w:type="dxa"/>
            </w:tcMar>
          </w:tcPr>
          <w:p>
            <w:pPr>
              <w:jc w:val="left"/>
            </w:pPr>
            <w:r>
              <w:rPr>
                <w:rFonts w:ascii="Calibri" w:hAnsi="Calibri"/>
                <w:color w:val="333333"/>
                <w:sz w:val="20"/>
              </w:rPr>
              <w:t>0.574</w:t>
            </w:r>
          </w:p>
        </w:tc>
        <w:tc>
          <w:tcPr>
            <w:tcW w:type="dxa" w:w="2160"/>
            <w:shd w:fill="F2F4F8"/>
            <w:tcMar>
              <w:top w:w="100" w:type="dxa"/>
              <w:bottom w:w="100" w:type="dxa"/>
              <w:left w:w="150" w:type="dxa"/>
              <w:right w:w="150" w:type="dxa"/>
            </w:tcMar>
          </w:tcPr>
          <w:p>
            <w:pPr>
              <w:jc w:val="left"/>
            </w:pPr>
            <w:r>
              <w:rPr>
                <w:rFonts w:ascii="Calibri" w:hAnsi="Calibri"/>
                <w:color w:val="333333"/>
                <w:sz w:val="20"/>
              </w:rPr>
              <w:t>v15</w:t>
            </w:r>
          </w:p>
        </w:tc>
        <w:tc>
          <w:tcPr>
            <w:tcW w:type="dxa" w:w="2160"/>
            <w:shd w:fill="F2F4F8"/>
            <w:tcMar>
              <w:top w:w="100" w:type="dxa"/>
              <w:bottom w:w="100" w:type="dxa"/>
              <w:left w:w="150" w:type="dxa"/>
              <w:right w:w="150" w:type="dxa"/>
            </w:tcMar>
          </w:tcPr>
          <w:p>
            <w:pPr>
              <w:jc w:val="left"/>
            </w:pPr>
            <w:r>
              <w:rPr>
                <w:rFonts w:ascii="Calibri" w:hAnsi="Calibri"/>
                <w:color w:val="333333"/>
                <w:sz w:val="20"/>
              </w:rPr>
              <w:t>0.470</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v1</w:t>
            </w:r>
          </w:p>
        </w:tc>
        <w:tc>
          <w:tcPr>
            <w:tcW w:type="dxa" w:w="2160"/>
            <w:shd w:fill="FFFFFF"/>
            <w:tcMar>
              <w:top w:w="100" w:type="dxa"/>
              <w:bottom w:w="100" w:type="dxa"/>
              <w:left w:w="150" w:type="dxa"/>
              <w:right w:w="150" w:type="dxa"/>
            </w:tcMar>
          </w:tcPr>
          <w:p>
            <w:pPr>
              <w:jc w:val="left"/>
            </w:pPr>
            <w:r>
              <w:rPr>
                <w:rFonts w:ascii="Calibri" w:hAnsi="Calibri"/>
                <w:color w:val="333333"/>
                <w:sz w:val="20"/>
              </w:rPr>
              <w:t>0.573</w:t>
            </w:r>
          </w:p>
        </w:tc>
        <w:tc>
          <w:tcPr>
            <w:tcW w:type="dxa" w:w="2160"/>
            <w:shd w:fill="FFFFFF"/>
            <w:tcMar>
              <w:top w:w="100" w:type="dxa"/>
              <w:bottom w:w="100" w:type="dxa"/>
              <w:left w:w="150" w:type="dxa"/>
              <w:right w:w="150" w:type="dxa"/>
            </w:tcMar>
          </w:tcPr>
          <w:p>
            <w:pPr>
              <w:jc w:val="left"/>
            </w:pPr>
            <w:r>
              <w:rPr>
                <w:rFonts w:ascii="Calibri" w:hAnsi="Calibri"/>
                <w:color w:val="333333"/>
                <w:sz w:val="20"/>
              </w:rPr>
              <w:t>v9</w:t>
            </w:r>
          </w:p>
        </w:tc>
        <w:tc>
          <w:tcPr>
            <w:tcW w:type="dxa" w:w="2160"/>
            <w:shd w:fill="FFFFFF"/>
            <w:tcMar>
              <w:top w:w="100" w:type="dxa"/>
              <w:bottom w:w="100" w:type="dxa"/>
              <w:left w:w="150" w:type="dxa"/>
              <w:right w:w="150" w:type="dxa"/>
            </w:tcMar>
          </w:tcPr>
          <w:p>
            <w:pPr>
              <w:jc w:val="left"/>
            </w:pPr>
            <w:r>
              <w:rPr>
                <w:rFonts w:ascii="Calibri" w:hAnsi="Calibri"/>
                <w:color w:val="333333"/>
                <w:sz w:val="20"/>
              </w:rPr>
              <w:t>0.459</w:t>
            </w:r>
          </w:p>
        </w:tc>
      </w:tr>
      <w:tr>
        <w:tc>
          <w:tcPr>
            <w:tcW w:type="dxa" w:w="2160"/>
            <w:shd w:fill="F2F4F8"/>
            <w:tcMar>
              <w:top w:w="100" w:type="dxa"/>
              <w:bottom w:w="100" w:type="dxa"/>
              <w:left w:w="150" w:type="dxa"/>
              <w:right w:w="150" w:type="dxa"/>
            </w:tcMar>
          </w:tcPr>
          <w:p>
            <w:pPr>
              <w:jc w:val="left"/>
            </w:pPr>
            <w:r>
              <w:rPr>
                <w:rFonts w:ascii="Calibri" w:hAnsi="Calibri"/>
                <w:color w:val="333333"/>
                <w:sz w:val="20"/>
              </w:rPr>
              <w:t>v5</w:t>
            </w:r>
          </w:p>
        </w:tc>
        <w:tc>
          <w:tcPr>
            <w:tcW w:type="dxa" w:w="2160"/>
            <w:shd w:fill="F2F4F8"/>
            <w:tcMar>
              <w:top w:w="100" w:type="dxa"/>
              <w:bottom w:w="100" w:type="dxa"/>
              <w:left w:w="150" w:type="dxa"/>
              <w:right w:w="150" w:type="dxa"/>
            </w:tcMar>
          </w:tcPr>
          <w:p>
            <w:pPr>
              <w:jc w:val="left"/>
            </w:pPr>
            <w:r>
              <w:rPr>
                <w:rFonts w:ascii="Calibri" w:hAnsi="Calibri"/>
                <w:color w:val="333333"/>
                <w:sz w:val="20"/>
              </w:rPr>
              <w:t>0.551</w:t>
            </w:r>
          </w:p>
        </w:tc>
        <w:tc>
          <w:tcPr>
            <w:tcW w:type="dxa" w:w="2160"/>
            <w:shd w:fill="F2F4F8"/>
            <w:tcMar>
              <w:top w:w="100" w:type="dxa"/>
              <w:bottom w:w="100" w:type="dxa"/>
              <w:left w:w="150" w:type="dxa"/>
              <w:right w:w="150" w:type="dxa"/>
            </w:tcMar>
          </w:tcPr>
          <w:p>
            <w:pPr>
              <w:jc w:val="left"/>
            </w:pPr>
            <w:r>
              <w:rPr>
                <w:rFonts w:ascii="Calibri" w:hAnsi="Calibri"/>
                <w:color w:val="333333"/>
                <w:sz w:val="20"/>
              </w:rPr>
              <w:t>v8</w:t>
            </w:r>
          </w:p>
        </w:tc>
        <w:tc>
          <w:tcPr>
            <w:tcW w:type="dxa" w:w="2160"/>
            <w:shd w:fill="F2F4F8"/>
            <w:tcMar>
              <w:top w:w="100" w:type="dxa"/>
              <w:bottom w:w="100" w:type="dxa"/>
              <w:left w:w="150" w:type="dxa"/>
              <w:right w:w="150" w:type="dxa"/>
            </w:tcMar>
          </w:tcPr>
          <w:p>
            <w:pPr>
              <w:jc w:val="left"/>
            </w:pPr>
            <w:r>
              <w:rPr>
                <w:rFonts w:ascii="Calibri" w:hAnsi="Calibri"/>
                <w:color w:val="333333"/>
                <w:sz w:val="20"/>
              </w:rPr>
              <w:t>0.450</w:t>
            </w:r>
          </w:p>
        </w:tc>
      </w:tr>
      <w:tr>
        <w:tc>
          <w:tcPr>
            <w:tcW w:type="dxa" w:w="2160"/>
            <w:shd w:fill="FFFFFF"/>
            <w:tcMar>
              <w:top w:w="100" w:type="dxa"/>
              <w:bottom w:w="100" w:type="dxa"/>
              <w:left w:w="150" w:type="dxa"/>
              <w:right w:w="150" w:type="dxa"/>
            </w:tcMar>
          </w:tcPr>
          <w:p>
            <w:pPr>
              <w:jc w:val="left"/>
            </w:pPr>
            <w:r>
              <w:rPr>
                <w:rFonts w:ascii="Calibri" w:hAnsi="Calibri"/>
                <w:color w:val="333333"/>
                <w:sz w:val="20"/>
              </w:rPr>
              <w:t>v7</w:t>
            </w:r>
          </w:p>
        </w:tc>
        <w:tc>
          <w:tcPr>
            <w:tcW w:type="dxa" w:w="2160"/>
            <w:shd w:fill="FFFFFF"/>
            <w:tcMar>
              <w:top w:w="100" w:type="dxa"/>
              <w:bottom w:w="100" w:type="dxa"/>
              <w:left w:w="150" w:type="dxa"/>
              <w:right w:w="150" w:type="dxa"/>
            </w:tcMar>
          </w:tcPr>
          <w:p>
            <w:pPr>
              <w:jc w:val="left"/>
            </w:pPr>
            <w:r>
              <w:rPr>
                <w:rFonts w:ascii="Calibri" w:hAnsi="Calibri"/>
                <w:color w:val="333333"/>
                <w:sz w:val="20"/>
              </w:rPr>
              <w:t>0.550</w:t>
            </w:r>
          </w:p>
        </w:tc>
        <w:tc>
          <w:tcPr>
            <w:tcW w:type="dxa" w:w="2160"/>
            <w:shd w:fill="FFFFFF"/>
            <w:tcMar>
              <w:top w:w="100" w:type="dxa"/>
              <w:bottom w:w="100" w:type="dxa"/>
              <w:left w:w="150" w:type="dxa"/>
              <w:right w:w="150" w:type="dxa"/>
            </w:tcMar>
          </w:tcPr>
          <w:p>
            <w:pPr>
              <w:jc w:val="left"/>
            </w:pPr>
            <w:r>
              <w:rPr>
                <w:rFonts w:ascii="Calibri" w:hAnsi="Calibri"/>
                <w:color w:val="333333"/>
                <w:sz w:val="20"/>
              </w:rPr>
              <w:t>v2</w:t>
            </w:r>
          </w:p>
        </w:tc>
        <w:tc>
          <w:tcPr>
            <w:tcW w:type="dxa" w:w="2160"/>
            <w:shd w:fill="FFFFFF"/>
            <w:tcMar>
              <w:top w:w="100" w:type="dxa"/>
              <w:bottom w:w="100" w:type="dxa"/>
              <w:left w:w="150" w:type="dxa"/>
              <w:right w:w="150" w:type="dxa"/>
            </w:tcMar>
          </w:tcPr>
          <w:p>
            <w:pPr>
              <w:jc w:val="left"/>
            </w:pPr>
            <w:r>
              <w:rPr>
                <w:rFonts w:ascii="Calibri" w:hAnsi="Calibri"/>
                <w:color w:val="333333"/>
                <w:sz w:val="20"/>
              </w:rPr>
              <w:t>0.422</w:t>
            </w:r>
          </w:p>
        </w:tc>
      </w:tr>
      <w:tr>
        <w:tc>
          <w:tcPr>
            <w:tcW w:type="dxa" w:w="2160"/>
            <w:shd w:fill="F2F4F8"/>
            <w:tcMar>
              <w:top w:w="100" w:type="dxa"/>
              <w:bottom w:w="100" w:type="dxa"/>
              <w:left w:w="150" w:type="dxa"/>
              <w:right w:w="150" w:type="dxa"/>
            </w:tcMar>
          </w:tcPr>
          <w:p>
            <w:pPr>
              <w:jc w:val="left"/>
            </w:pPr>
            <w:r>
              <w:rPr>
                <w:rFonts w:ascii="Calibri" w:hAnsi="Calibri"/>
                <w:color w:val="333333"/>
                <w:sz w:val="20"/>
              </w:rPr>
              <w:t>v6</w:t>
            </w:r>
          </w:p>
        </w:tc>
        <w:tc>
          <w:tcPr>
            <w:tcW w:type="dxa" w:w="2160"/>
            <w:shd w:fill="F2F4F8"/>
            <w:tcMar>
              <w:top w:w="100" w:type="dxa"/>
              <w:bottom w:w="100" w:type="dxa"/>
              <w:left w:w="150" w:type="dxa"/>
              <w:right w:w="150" w:type="dxa"/>
            </w:tcMar>
          </w:tcPr>
          <w:p>
            <w:pPr>
              <w:jc w:val="left"/>
            </w:pPr>
            <w:r>
              <w:rPr>
                <w:rFonts w:ascii="Calibri" w:hAnsi="Calibri"/>
                <w:color w:val="333333"/>
                <w:sz w:val="20"/>
              </w:rPr>
              <w:t>0.526</w:t>
            </w:r>
          </w:p>
        </w:tc>
        <w:tc>
          <w:tcPr>
            <w:tcW w:type="dxa" w:w="2160"/>
            <w:shd w:fill="F2F4F8"/>
            <w:tcMar>
              <w:top w:w="100" w:type="dxa"/>
              <w:bottom w:w="100" w:type="dxa"/>
              <w:left w:w="150" w:type="dxa"/>
              <w:right w:w="150" w:type="dxa"/>
            </w:tcMar>
          </w:tcPr>
          <w:p>
            <w:pPr>
              <w:jc w:val="left"/>
            </w:pPr>
            <w:r>
              <w:rPr>
                <w:rFonts w:ascii="Calibri" w:hAnsi="Calibri"/>
                <w:color w:val="333333"/>
                <w:sz w:val="20"/>
              </w:rPr>
              <w:t>v11</w:t>
            </w:r>
          </w:p>
        </w:tc>
        <w:tc>
          <w:tcPr>
            <w:tcW w:type="dxa" w:w="2160"/>
            <w:shd w:fill="F2F4F8"/>
            <w:tcMar>
              <w:top w:w="100" w:type="dxa"/>
              <w:bottom w:w="100" w:type="dxa"/>
              <w:left w:w="150" w:type="dxa"/>
              <w:right w:w="150" w:type="dxa"/>
            </w:tcMar>
          </w:tcPr>
          <w:p>
            <w:pPr>
              <w:jc w:val="left"/>
            </w:pPr>
            <w:r>
              <w:rPr>
                <w:rFonts w:ascii="Calibri" w:hAnsi="Calibri"/>
                <w:color w:val="333333"/>
                <w:sz w:val="20"/>
              </w:rPr>
              <w:t>0.420</w:t>
            </w:r>
          </w:p>
        </w:tc>
      </w:tr>
    </w:tbl>
    <w:p>
      <w:pPr>
        <w:spacing w:after="120"/>
      </w:pPr>
    </w:p>
    <w:p>
      <w:pPr>
        <w:keepNext/>
        <w:spacing w:before="360" w:after="120"/>
      </w:pPr>
      <w:r>
        <w:rPr>
          <w:rFonts w:ascii="Calibri" w:hAnsi="Calibri"/>
          <w:b/>
          <w:color w:val="1F4E78"/>
          <w:sz w:val="36"/>
        </w:rPr>
        <w:t>13. Rotated Component Structure</w:t>
      </w:r>
    </w:p>
    <w:p>
      <w:pPr>
        <w:spacing w:before="0" w:after="120" w:line="276" w:lineRule="auto"/>
      </w:pPr>
      <w:r>
        <w:rPr>
          <w:rFonts w:ascii="Calibri" w:hAnsi="Calibri"/>
          <w:color w:val="333333"/>
          <w:sz w:val="22"/>
        </w:rPr>
        <w:t>A Varimax orthogonal rotation was applied to produce a simplified structure with strong primary loadings. The four rotated dimensions are interpreted below:</w:t>
      </w:r>
    </w:p>
    <w:p>
      <w:pPr>
        <w:keepNext/>
        <w:spacing w:before="280" w:after="80"/>
      </w:pPr>
      <w:r>
        <w:rPr>
          <w:rFonts w:ascii="Calibri" w:hAnsi="Calibri"/>
          <w:b/>
          <w:color w:val="2F5597"/>
          <w:sz w:val="28"/>
        </w:rPr>
        <w:t>Factor 1: Information &amp; Administrative Transparency (FAC1_1)</w:t>
      </w:r>
    </w:p>
    <w:p>
      <w:pPr>
        <w:spacing w:before="0" w:after="120" w:line="276" w:lineRule="auto"/>
      </w:pPr>
      <w:r>
        <w:rPr>
          <w:rFonts w:ascii="Calibri" w:hAnsi="Calibri"/>
          <w:color w:val="333333"/>
          <w:sz w:val="22"/>
        </w:rPr>
        <w:t>Primary Loadings: v13 (0.703), v16 (0.686), v17 (0.667), v9 (0.660), v2 (0.631).</w:t>
      </w:r>
    </w:p>
    <w:p>
      <w:pPr>
        <w:spacing w:before="0" w:after="120" w:line="276" w:lineRule="auto"/>
      </w:pPr>
      <w:r>
        <w:rPr>
          <w:rFonts w:ascii="Calibri" w:hAnsi="Calibri"/>
          <w:color w:val="333333"/>
          <w:sz w:val="22"/>
        </w:rPr>
        <w:t>Represents client clarity regarding benefit rules, rights, process progress, and administrative points of contact.</w:t>
      </w:r>
    </w:p>
    <w:p>
      <w:pPr>
        <w:keepNext/>
        <w:spacing w:before="280" w:after="80"/>
      </w:pPr>
      <w:r>
        <w:rPr>
          <w:rFonts w:ascii="Calibri" w:hAnsi="Calibri"/>
          <w:b/>
          <w:color w:val="2F5597"/>
          <w:sz w:val="28"/>
        </w:rPr>
        <w:t>Factor 2: Caseworker Engagement &amp; Effort (FAC2_1)</w:t>
      </w:r>
    </w:p>
    <w:p>
      <w:pPr>
        <w:spacing w:before="0" w:after="120" w:line="276" w:lineRule="auto"/>
      </w:pPr>
      <w:r>
        <w:rPr>
          <w:rFonts w:ascii="Calibri" w:hAnsi="Calibri"/>
          <w:color w:val="333333"/>
          <w:sz w:val="22"/>
        </w:rPr>
        <w:t>Primary Loadings: v11 (0.790), v7 (0.737), v6 (0.716), v8 (0.669).</w:t>
      </w:r>
    </w:p>
    <w:p>
      <w:pPr>
        <w:spacing w:before="0" w:after="120" w:line="276" w:lineRule="auto"/>
      </w:pPr>
      <w:r>
        <w:rPr>
          <w:rFonts w:ascii="Calibri" w:hAnsi="Calibri"/>
          <w:color w:val="333333"/>
          <w:sz w:val="22"/>
        </w:rPr>
        <w:t>Represents caseworker attentiveness, consultation time, interview preparation, motivation, and fitting job placements.</w:t>
      </w:r>
    </w:p>
    <w:p>
      <w:pPr>
        <w:keepNext/>
        <w:spacing w:before="280" w:after="80"/>
      </w:pPr>
      <w:r>
        <w:rPr>
          <w:rFonts w:ascii="Calibri" w:hAnsi="Calibri"/>
          <w:b/>
          <w:color w:val="2F5597"/>
          <w:sz w:val="28"/>
        </w:rPr>
        <w:t>Factor 3: Interpersonal Care &amp; Respect (FAC3_1)</w:t>
      </w:r>
    </w:p>
    <w:p>
      <w:pPr>
        <w:spacing w:before="0" w:after="120" w:line="276" w:lineRule="auto"/>
      </w:pPr>
      <w:r>
        <w:rPr>
          <w:rFonts w:ascii="Calibri" w:hAnsi="Calibri"/>
          <w:color w:val="333333"/>
          <w:sz w:val="22"/>
        </w:rPr>
        <w:t>Primary Loadings: v3 (0.767), v1 (0.750), v20 (0.710), v5 (0.698).</w:t>
      </w:r>
    </w:p>
    <w:p>
      <w:pPr>
        <w:spacing w:before="0" w:after="120" w:line="276" w:lineRule="auto"/>
      </w:pPr>
      <w:r>
        <w:rPr>
          <w:rFonts w:ascii="Calibri" w:hAnsi="Calibri"/>
          <w:color w:val="333333"/>
          <w:sz w:val="22"/>
        </w:rPr>
        <w:t>Represents front-desk friendliness, client privacy protection, communication tone, and feeling taken seriously.</w:t>
      </w:r>
    </w:p>
    <w:p>
      <w:pPr>
        <w:keepNext/>
        <w:spacing w:before="280" w:after="80"/>
      </w:pPr>
      <w:r>
        <w:rPr>
          <w:rFonts w:ascii="Calibri" w:hAnsi="Calibri"/>
          <w:b/>
          <w:color w:val="2F5597"/>
          <w:sz w:val="28"/>
        </w:rPr>
        <w:t>Factor 4: Operational Reliability &amp; Follow-Through (FAC4_1)</w:t>
      </w:r>
    </w:p>
    <w:p>
      <w:pPr>
        <w:spacing w:before="0" w:after="120" w:line="276" w:lineRule="auto"/>
      </w:pPr>
      <w:r>
        <w:rPr>
          <w:rFonts w:ascii="Calibri" w:hAnsi="Calibri"/>
          <w:color w:val="333333"/>
          <w:sz w:val="22"/>
        </w:rPr>
        <w:t>Primary Loadings: v4 (0.769), v14 (0.752), v12 (0.615).</w:t>
      </w:r>
    </w:p>
    <w:p>
      <w:pPr>
        <w:spacing w:before="0" w:after="120" w:line="276" w:lineRule="auto"/>
      </w:pPr>
      <w:r>
        <w:rPr>
          <w:rFonts w:ascii="Calibri" w:hAnsi="Calibri"/>
          <w:color w:val="333333"/>
          <w:sz w:val="22"/>
        </w:rPr>
        <w:t>Represents organization dependability in fulfilling promises, following agreements, and explaining remaining procedures.</w:t>
      </w:r>
    </w:p>
    <w:p>
      <w:pPr>
        <w:keepNext/>
        <w:spacing w:before="360" w:after="120"/>
      </w:pPr>
      <w:r>
        <w:rPr>
          <w:rFonts w:ascii="Calibri" w:hAnsi="Calibri"/>
          <w:b/>
          <w:color w:val="1F4E78"/>
          <w:sz w:val="36"/>
        </w:rPr>
        <w:t>14. Summary of the Four-Factor Model</w:t>
      </w:r>
    </w:p>
    <w:tbl>
      <w:tblPr>
        <w:tblW w:type="auto" w:w="0"/>
        <w:jc w:val="center"/>
        <w:tblLook w:firstColumn="1" w:firstRow="1" w:lastColumn="0" w:lastRow="0" w:noHBand="0" w:noVBand="1" w:val="04A0"/>
      </w:tblPr>
      <w:tblGrid>
        <w:gridCol w:w="2340"/>
        <w:gridCol w:w="2340"/>
        <w:gridCol w:w="2340"/>
        <w:gridCol w:w="2340"/>
      </w:tblGrid>
      <w:tr>
        <w:tc>
          <w:tcPr>
            <w:tcW w:type="dxa" w:w="1440"/>
            <w:shd w:fill="1F4E78"/>
            <w:tcMar>
              <w:top w:w="120" w:type="dxa"/>
              <w:bottom w:w="120" w:type="dxa"/>
              <w:left w:w="150" w:type="dxa"/>
              <w:right w:w="150" w:type="dxa"/>
            </w:tcMar>
          </w:tcPr>
          <w:p>
            <w:pPr>
              <w:jc w:val="left"/>
            </w:pPr>
            <w:r>
              <w:rPr>
                <w:rFonts w:ascii="Calibri" w:hAnsi="Calibri"/>
                <w:b/>
                <w:color w:val="FFFFFF"/>
                <w:sz w:val="21"/>
              </w:rPr>
              <w:t>Factor</w:t>
            </w:r>
          </w:p>
        </w:tc>
        <w:tc>
          <w:tcPr>
            <w:tcW w:type="dxa" w:w="3600"/>
            <w:shd w:fill="1F4E78"/>
            <w:tcMar>
              <w:top w:w="120" w:type="dxa"/>
              <w:bottom w:w="120" w:type="dxa"/>
              <w:left w:w="150" w:type="dxa"/>
              <w:right w:w="150" w:type="dxa"/>
            </w:tcMar>
          </w:tcPr>
          <w:p>
            <w:pPr>
              <w:jc w:val="left"/>
            </w:pPr>
            <w:r>
              <w:rPr>
                <w:rFonts w:ascii="Calibri" w:hAnsi="Calibri"/>
                <w:b/>
                <w:color w:val="FFFFFF"/>
                <w:sz w:val="21"/>
              </w:rPr>
              <w:t>Dimension Name</w:t>
            </w:r>
          </w:p>
        </w:tc>
        <w:tc>
          <w:tcPr>
            <w:tcW w:type="dxa" w:w="2592"/>
            <w:shd w:fill="1F4E78"/>
            <w:tcMar>
              <w:top w:w="120" w:type="dxa"/>
              <w:bottom w:w="120" w:type="dxa"/>
              <w:left w:w="150" w:type="dxa"/>
              <w:right w:w="150" w:type="dxa"/>
            </w:tcMar>
          </w:tcPr>
          <w:p>
            <w:pPr>
              <w:jc w:val="left"/>
            </w:pPr>
            <w:r>
              <w:rPr>
                <w:rFonts w:ascii="Calibri" w:hAnsi="Calibri"/>
                <w:b/>
                <w:color w:val="FFFFFF"/>
                <w:sz w:val="21"/>
              </w:rPr>
              <w:t>Key Variables</w:t>
            </w:r>
          </w:p>
        </w:tc>
        <w:tc>
          <w:tcPr>
            <w:tcW w:type="dxa" w:w="1728"/>
            <w:shd w:fill="1F4E78"/>
            <w:tcMar>
              <w:top w:w="120" w:type="dxa"/>
              <w:bottom w:w="120" w:type="dxa"/>
              <w:left w:w="150" w:type="dxa"/>
              <w:right w:w="150" w:type="dxa"/>
            </w:tcMar>
          </w:tcPr>
          <w:p>
            <w:pPr>
              <w:jc w:val="left"/>
            </w:pPr>
            <w:r>
              <w:rPr>
                <w:rFonts w:ascii="Calibri" w:hAnsi="Calibri"/>
                <w:b/>
                <w:color w:val="FFFFFF"/>
                <w:sz w:val="21"/>
              </w:rPr>
              <w:t>Variance %</w:t>
            </w:r>
          </w:p>
        </w:tc>
      </w:tr>
      <w:tr>
        <w:tc>
          <w:tcPr>
            <w:tcW w:type="dxa" w:w="1440"/>
            <w:shd w:fill="FFFFFF"/>
            <w:tcMar>
              <w:top w:w="100" w:type="dxa"/>
              <w:bottom w:w="100" w:type="dxa"/>
              <w:left w:w="150" w:type="dxa"/>
              <w:right w:w="150" w:type="dxa"/>
            </w:tcMar>
          </w:tcPr>
          <w:p>
            <w:pPr>
              <w:jc w:val="left"/>
            </w:pPr>
            <w:r>
              <w:rPr>
                <w:rFonts w:ascii="Calibri" w:hAnsi="Calibri"/>
                <w:color w:val="333333"/>
                <w:sz w:val="20"/>
              </w:rPr>
              <w:t>FAC1_1</w:t>
            </w:r>
          </w:p>
        </w:tc>
        <w:tc>
          <w:tcPr>
            <w:tcW w:type="dxa" w:w="3600"/>
            <w:shd w:fill="FFFFFF"/>
            <w:tcMar>
              <w:top w:w="100" w:type="dxa"/>
              <w:bottom w:w="100" w:type="dxa"/>
              <w:left w:w="150" w:type="dxa"/>
              <w:right w:w="150" w:type="dxa"/>
            </w:tcMar>
          </w:tcPr>
          <w:p>
            <w:pPr>
              <w:jc w:val="left"/>
            </w:pPr>
            <w:r>
              <w:rPr>
                <w:rFonts w:ascii="Calibri" w:hAnsi="Calibri"/>
                <w:color w:val="333333"/>
                <w:sz w:val="20"/>
              </w:rPr>
              <w:t>Information &amp; Administrative Transparency</w:t>
            </w:r>
          </w:p>
        </w:tc>
        <w:tc>
          <w:tcPr>
            <w:tcW w:type="dxa" w:w="2592"/>
            <w:shd w:fill="FFFFFF"/>
            <w:tcMar>
              <w:top w:w="100" w:type="dxa"/>
              <w:bottom w:w="100" w:type="dxa"/>
              <w:left w:w="150" w:type="dxa"/>
              <w:right w:w="150" w:type="dxa"/>
            </w:tcMar>
          </w:tcPr>
          <w:p>
            <w:pPr>
              <w:jc w:val="left"/>
            </w:pPr>
            <w:r>
              <w:rPr>
                <w:rFonts w:ascii="Calibri" w:hAnsi="Calibri"/>
                <w:color w:val="333333"/>
                <w:sz w:val="20"/>
              </w:rPr>
              <w:t>v2, v9, v13, v16, v17</w:t>
            </w:r>
          </w:p>
        </w:tc>
        <w:tc>
          <w:tcPr>
            <w:tcW w:type="dxa" w:w="1728"/>
            <w:shd w:fill="FFFFFF"/>
            <w:tcMar>
              <w:top w:w="100" w:type="dxa"/>
              <w:bottom w:w="100" w:type="dxa"/>
              <w:left w:w="150" w:type="dxa"/>
              <w:right w:w="150" w:type="dxa"/>
            </w:tcMar>
          </w:tcPr>
          <w:p>
            <w:pPr>
              <w:jc w:val="left"/>
            </w:pPr>
            <w:r>
              <w:rPr>
                <w:rFonts w:ascii="Calibri" w:hAnsi="Calibri"/>
                <w:color w:val="333333"/>
                <w:sz w:val="20"/>
              </w:rPr>
              <w:t>16.72%</w:t>
            </w:r>
          </w:p>
        </w:tc>
      </w:tr>
      <w:tr>
        <w:tc>
          <w:tcPr>
            <w:tcW w:type="dxa" w:w="1440"/>
            <w:shd w:fill="F2F4F8"/>
            <w:tcMar>
              <w:top w:w="100" w:type="dxa"/>
              <w:bottom w:w="100" w:type="dxa"/>
              <w:left w:w="150" w:type="dxa"/>
              <w:right w:w="150" w:type="dxa"/>
            </w:tcMar>
          </w:tcPr>
          <w:p>
            <w:pPr>
              <w:jc w:val="left"/>
            </w:pPr>
            <w:r>
              <w:rPr>
                <w:rFonts w:ascii="Calibri" w:hAnsi="Calibri"/>
                <w:color w:val="333333"/>
                <w:sz w:val="20"/>
              </w:rPr>
              <w:t>FAC2_1</w:t>
            </w:r>
          </w:p>
        </w:tc>
        <w:tc>
          <w:tcPr>
            <w:tcW w:type="dxa" w:w="3600"/>
            <w:shd w:fill="F2F4F8"/>
            <w:tcMar>
              <w:top w:w="100" w:type="dxa"/>
              <w:bottom w:w="100" w:type="dxa"/>
              <w:left w:w="150" w:type="dxa"/>
              <w:right w:w="150" w:type="dxa"/>
            </w:tcMar>
          </w:tcPr>
          <w:p>
            <w:pPr>
              <w:jc w:val="left"/>
            </w:pPr>
            <w:r>
              <w:rPr>
                <w:rFonts w:ascii="Calibri" w:hAnsi="Calibri"/>
                <w:color w:val="333333"/>
                <w:sz w:val="20"/>
              </w:rPr>
              <w:t>Caseworker Engagement &amp; Effort</w:t>
            </w:r>
          </w:p>
        </w:tc>
        <w:tc>
          <w:tcPr>
            <w:tcW w:type="dxa" w:w="2592"/>
            <w:shd w:fill="F2F4F8"/>
            <w:tcMar>
              <w:top w:w="100" w:type="dxa"/>
              <w:bottom w:w="100" w:type="dxa"/>
              <w:left w:w="150" w:type="dxa"/>
              <w:right w:w="150" w:type="dxa"/>
            </w:tcMar>
          </w:tcPr>
          <w:p>
            <w:pPr>
              <w:jc w:val="left"/>
            </w:pPr>
            <w:r>
              <w:rPr>
                <w:rFonts w:ascii="Calibri" w:hAnsi="Calibri"/>
                <w:color w:val="333333"/>
                <w:sz w:val="20"/>
              </w:rPr>
              <w:t>v6, v7, v8, v11</w:t>
            </w:r>
          </w:p>
        </w:tc>
        <w:tc>
          <w:tcPr>
            <w:tcW w:type="dxa" w:w="1728"/>
            <w:shd w:fill="F2F4F8"/>
            <w:tcMar>
              <w:top w:w="100" w:type="dxa"/>
              <w:bottom w:w="100" w:type="dxa"/>
              <w:left w:w="150" w:type="dxa"/>
              <w:right w:w="150" w:type="dxa"/>
            </w:tcMar>
          </w:tcPr>
          <w:p>
            <w:pPr>
              <w:jc w:val="left"/>
            </w:pPr>
            <w:r>
              <w:rPr>
                <w:rFonts w:ascii="Calibri" w:hAnsi="Calibri"/>
                <w:color w:val="333333"/>
                <w:sz w:val="20"/>
              </w:rPr>
              <w:t>14.43%</w:t>
            </w:r>
          </w:p>
        </w:tc>
      </w:tr>
      <w:tr>
        <w:tc>
          <w:tcPr>
            <w:tcW w:type="dxa" w:w="1440"/>
            <w:shd w:fill="FFFFFF"/>
            <w:tcMar>
              <w:top w:w="100" w:type="dxa"/>
              <w:bottom w:w="100" w:type="dxa"/>
              <w:left w:w="150" w:type="dxa"/>
              <w:right w:w="150" w:type="dxa"/>
            </w:tcMar>
          </w:tcPr>
          <w:p>
            <w:pPr>
              <w:jc w:val="left"/>
            </w:pPr>
            <w:r>
              <w:rPr>
                <w:rFonts w:ascii="Calibri" w:hAnsi="Calibri"/>
                <w:color w:val="333333"/>
                <w:sz w:val="20"/>
              </w:rPr>
              <w:t>FAC3_1</w:t>
            </w:r>
          </w:p>
        </w:tc>
        <w:tc>
          <w:tcPr>
            <w:tcW w:type="dxa" w:w="3600"/>
            <w:shd w:fill="FFFFFF"/>
            <w:tcMar>
              <w:top w:w="100" w:type="dxa"/>
              <w:bottom w:w="100" w:type="dxa"/>
              <w:left w:w="150" w:type="dxa"/>
              <w:right w:w="150" w:type="dxa"/>
            </w:tcMar>
          </w:tcPr>
          <w:p>
            <w:pPr>
              <w:jc w:val="left"/>
            </w:pPr>
            <w:r>
              <w:rPr>
                <w:rFonts w:ascii="Calibri" w:hAnsi="Calibri"/>
                <w:color w:val="333333"/>
                <w:sz w:val="20"/>
              </w:rPr>
              <w:t>Interpersonal Care &amp; Respect</w:t>
            </w:r>
          </w:p>
        </w:tc>
        <w:tc>
          <w:tcPr>
            <w:tcW w:type="dxa" w:w="2592"/>
            <w:shd w:fill="FFFFFF"/>
            <w:tcMar>
              <w:top w:w="100" w:type="dxa"/>
              <w:bottom w:w="100" w:type="dxa"/>
              <w:left w:w="150" w:type="dxa"/>
              <w:right w:w="150" w:type="dxa"/>
            </w:tcMar>
          </w:tcPr>
          <w:p>
            <w:pPr>
              <w:jc w:val="left"/>
            </w:pPr>
            <w:r>
              <w:rPr>
                <w:rFonts w:ascii="Calibri" w:hAnsi="Calibri"/>
                <w:color w:val="333333"/>
                <w:sz w:val="20"/>
              </w:rPr>
              <w:t>v1, v3, v5, v20</w:t>
            </w:r>
          </w:p>
        </w:tc>
        <w:tc>
          <w:tcPr>
            <w:tcW w:type="dxa" w:w="1728"/>
            <w:shd w:fill="FFFFFF"/>
            <w:tcMar>
              <w:top w:w="100" w:type="dxa"/>
              <w:bottom w:w="100" w:type="dxa"/>
              <w:left w:w="150" w:type="dxa"/>
              <w:right w:w="150" w:type="dxa"/>
            </w:tcMar>
          </w:tcPr>
          <w:p>
            <w:pPr>
              <w:jc w:val="left"/>
            </w:pPr>
            <w:r>
              <w:rPr>
                <w:rFonts w:ascii="Calibri" w:hAnsi="Calibri"/>
                <w:color w:val="333333"/>
                <w:sz w:val="20"/>
              </w:rPr>
              <w:t>11.61%</w:t>
            </w:r>
          </w:p>
        </w:tc>
      </w:tr>
      <w:tr>
        <w:tc>
          <w:tcPr>
            <w:tcW w:type="dxa" w:w="1440"/>
            <w:shd w:fill="F2F4F8"/>
            <w:tcMar>
              <w:top w:w="100" w:type="dxa"/>
              <w:bottom w:w="100" w:type="dxa"/>
              <w:left w:w="150" w:type="dxa"/>
              <w:right w:w="150" w:type="dxa"/>
            </w:tcMar>
          </w:tcPr>
          <w:p>
            <w:pPr>
              <w:jc w:val="left"/>
            </w:pPr>
            <w:r>
              <w:rPr>
                <w:rFonts w:ascii="Calibri" w:hAnsi="Calibri"/>
                <w:color w:val="333333"/>
                <w:sz w:val="20"/>
              </w:rPr>
              <w:t>FAC4_1</w:t>
            </w:r>
          </w:p>
        </w:tc>
        <w:tc>
          <w:tcPr>
            <w:tcW w:type="dxa" w:w="3600"/>
            <w:shd w:fill="F2F4F8"/>
            <w:tcMar>
              <w:top w:w="100" w:type="dxa"/>
              <w:bottom w:w="100" w:type="dxa"/>
              <w:left w:w="150" w:type="dxa"/>
              <w:right w:w="150" w:type="dxa"/>
            </w:tcMar>
          </w:tcPr>
          <w:p>
            <w:pPr>
              <w:jc w:val="left"/>
            </w:pPr>
            <w:r>
              <w:rPr>
                <w:rFonts w:ascii="Calibri" w:hAnsi="Calibri"/>
                <w:color w:val="333333"/>
                <w:sz w:val="20"/>
              </w:rPr>
              <w:t>Operational Reliability &amp; Follow-Through</w:t>
            </w:r>
          </w:p>
        </w:tc>
        <w:tc>
          <w:tcPr>
            <w:tcW w:type="dxa" w:w="2592"/>
            <w:shd w:fill="F2F4F8"/>
            <w:tcMar>
              <w:top w:w="100" w:type="dxa"/>
              <w:bottom w:w="100" w:type="dxa"/>
              <w:left w:w="150" w:type="dxa"/>
              <w:right w:w="150" w:type="dxa"/>
            </w:tcMar>
          </w:tcPr>
          <w:p>
            <w:pPr>
              <w:jc w:val="left"/>
            </w:pPr>
            <w:r>
              <w:rPr>
                <w:rFonts w:ascii="Calibri" w:hAnsi="Calibri"/>
                <w:color w:val="333333"/>
                <w:sz w:val="20"/>
              </w:rPr>
              <w:t>v4, v12, v14</w:t>
            </w:r>
          </w:p>
        </w:tc>
        <w:tc>
          <w:tcPr>
            <w:tcW w:type="dxa" w:w="1728"/>
            <w:shd w:fill="F2F4F8"/>
            <w:tcMar>
              <w:top w:w="100" w:type="dxa"/>
              <w:bottom w:w="100" w:type="dxa"/>
              <w:left w:w="150" w:type="dxa"/>
              <w:right w:w="150" w:type="dxa"/>
            </w:tcMar>
          </w:tcPr>
          <w:p>
            <w:pPr>
              <w:jc w:val="left"/>
            </w:pPr>
            <w:r>
              <w:rPr>
                <w:rFonts w:ascii="Calibri" w:hAnsi="Calibri"/>
                <w:color w:val="333333"/>
                <w:sz w:val="20"/>
              </w:rPr>
              <w:t>9.35%</w:t>
            </w:r>
          </w:p>
        </w:tc>
      </w:tr>
      <w:tr>
        <w:tc>
          <w:tcPr>
            <w:tcW w:type="dxa" w:w="1440"/>
            <w:shd w:fill="FFFFFF"/>
            <w:tcMar>
              <w:top w:w="100" w:type="dxa"/>
              <w:bottom w:w="100" w:type="dxa"/>
              <w:left w:w="150" w:type="dxa"/>
              <w:right w:w="150" w:type="dxa"/>
            </w:tcMar>
          </w:tcPr>
          <w:p>
            <w:pPr>
              <w:jc w:val="left"/>
            </w:pPr>
            <w:r>
              <w:rPr>
                <w:rFonts w:ascii="Calibri" w:hAnsi="Calibri"/>
                <w:color w:val="333333"/>
                <w:sz w:val="20"/>
              </w:rPr>
              <w:t>Total</w:t>
            </w:r>
          </w:p>
        </w:tc>
        <w:tc>
          <w:tcPr>
            <w:tcW w:type="dxa" w:w="3600"/>
            <w:shd w:fill="FFFFFF"/>
            <w:tcMar>
              <w:top w:w="100" w:type="dxa"/>
              <w:bottom w:w="100" w:type="dxa"/>
              <w:left w:w="150" w:type="dxa"/>
              <w:right w:w="150" w:type="dxa"/>
            </w:tcMar>
          </w:tcPr>
          <w:p>
            <w:pPr>
              <w:jc w:val="left"/>
            </w:pPr>
            <w:r>
              <w:rPr>
                <w:rFonts w:ascii="Calibri" w:hAnsi="Calibri"/>
                <w:color w:val="333333"/>
                <w:sz w:val="20"/>
              </w:rPr>
              <w:t>Four-Component Solution</w:t>
            </w:r>
          </w:p>
        </w:tc>
        <w:tc>
          <w:tcPr>
            <w:tcW w:type="dxa" w:w="2592"/>
            <w:shd w:fill="FFFFFF"/>
            <w:tcMar>
              <w:top w:w="100" w:type="dxa"/>
              <w:bottom w:w="100" w:type="dxa"/>
              <w:left w:w="150" w:type="dxa"/>
              <w:right w:w="150" w:type="dxa"/>
            </w:tcMar>
          </w:tcPr>
          <w:p>
            <w:pPr>
              <w:jc w:val="left"/>
            </w:pPr>
            <w:r>
              <w:rPr>
                <w:rFonts w:ascii="Calibri" w:hAnsi="Calibri"/>
                <w:color w:val="333333"/>
                <w:sz w:val="20"/>
              </w:rPr>
              <w:t>16 items</w:t>
            </w:r>
          </w:p>
        </w:tc>
        <w:tc>
          <w:tcPr>
            <w:tcW w:type="dxa" w:w="1728"/>
            <w:shd w:fill="FFFFFF"/>
            <w:tcMar>
              <w:top w:w="100" w:type="dxa"/>
              <w:bottom w:w="100" w:type="dxa"/>
              <w:left w:w="150" w:type="dxa"/>
              <w:right w:w="150" w:type="dxa"/>
            </w:tcMar>
          </w:tcPr>
          <w:p>
            <w:pPr>
              <w:jc w:val="left"/>
            </w:pPr>
            <w:r>
              <w:rPr>
                <w:rFonts w:ascii="Calibri" w:hAnsi="Calibri"/>
                <w:color w:val="333333"/>
                <w:sz w:val="20"/>
              </w:rPr>
              <w:t>52.11%</w:t>
            </w:r>
          </w:p>
        </w:tc>
      </w:tr>
    </w:tbl>
    <w:p>
      <w:pPr>
        <w:spacing w:after="120"/>
      </w:pPr>
    </w:p>
    <w:p>
      <w:pPr>
        <w:keepNext/>
        <w:spacing w:before="360" w:after="120"/>
      </w:pPr>
      <w:r>
        <w:rPr>
          <w:rFonts w:ascii="Calibri" w:hAnsi="Calibri"/>
          <w:b/>
          <w:color w:val="1F4E78"/>
          <w:sz w:val="36"/>
        </w:rPr>
        <w:t>15. Reproduced Correlations and Residuals</w:t>
      </w:r>
    </w:p>
    <w:p>
      <w:pPr>
        <w:spacing w:before="0" w:after="120" w:line="276" w:lineRule="auto"/>
      </w:pPr>
      <w:r>
        <w:rPr>
          <w:rFonts w:ascii="Calibri" w:hAnsi="Calibri"/>
          <w:color w:val="333333"/>
          <w:sz w:val="22"/>
        </w:rPr>
        <w:t>The residual matrix revealed that 38.0% of nonredundant residuals had absolute values greater than 0.05. Being well below the 50% threshold, this confirms that the four-component solution effectively reconstructs the original correlation matrix.</w:t>
      </w:r>
    </w:p>
    <w:p>
      <w:pPr>
        <w:keepNext/>
        <w:spacing w:before="360" w:after="120"/>
      </w:pPr>
      <w:r>
        <w:rPr>
          <w:rFonts w:ascii="Calibri" w:hAnsi="Calibri"/>
          <w:b/>
          <w:color w:val="1F4E78"/>
          <w:sz w:val="36"/>
        </w:rPr>
        <w:t>16. Component Transformation Matrix &amp; Rotated Plot</w:t>
      </w:r>
    </w:p>
    <w:p>
      <w:pPr>
        <w:spacing w:before="0" w:after="120" w:line="276" w:lineRule="auto"/>
      </w:pPr>
      <w:r>
        <w:rPr>
          <w:rFonts w:ascii="Calibri" w:hAnsi="Calibri"/>
          <w:color w:val="333333"/>
          <w:sz w:val="22"/>
        </w:rPr>
        <w:t>The Varimax orthogonal transformation successfully minimized cross-loadings. Visual inspection of the spatial component plot confirms distinct clustering corresponding to the four identified service dimensions.</w:t>
      </w:r>
    </w:p>
    <w:p>
      <w:pPr>
        <w:keepNext/>
        <w:spacing w:before="360" w:after="120"/>
      </w:pPr>
      <w:r>
        <w:rPr>
          <w:rFonts w:ascii="Calibri" w:hAnsi="Calibri"/>
          <w:b/>
          <w:color w:val="1F4E78"/>
          <w:sz w:val="36"/>
        </w:rPr>
        <w:t>17. Saved Factor Scores</w:t>
      </w:r>
    </w:p>
    <w:p>
      <w:pPr>
        <w:spacing w:before="0" w:after="120" w:line="276" w:lineRule="auto"/>
      </w:pPr>
      <w:r>
        <w:rPr>
          <w:rFonts w:ascii="Calibri" w:hAnsi="Calibri"/>
          <w:color w:val="333333"/>
          <w:sz w:val="22"/>
        </w:rPr>
        <w:t>SPSS generated four standardized regression factor scores (Mean = 0, SD = 1) for downstream modeling across N = 244 complete cases:</w:t>
      </w:r>
    </w:p>
    <w:tbl>
      <w:tblPr>
        <w:tblW w:type="auto" w:w="0"/>
        <w:jc w:val="center"/>
        <w:tblLook w:firstColumn="1" w:firstRow="1" w:lastColumn="0" w:lastRow="0" w:noHBand="0" w:noVBand="1" w:val="04A0"/>
      </w:tblPr>
      <w:tblGrid>
        <w:gridCol w:w="3120"/>
        <w:gridCol w:w="3120"/>
        <w:gridCol w:w="3120"/>
      </w:tblGrid>
      <w:tr>
        <w:tc>
          <w:tcPr>
            <w:tcW w:type="dxa" w:w="2880"/>
            <w:shd w:fill="1F4E78"/>
            <w:tcMar>
              <w:top w:w="120" w:type="dxa"/>
              <w:bottom w:w="120" w:type="dxa"/>
              <w:left w:w="150" w:type="dxa"/>
              <w:right w:w="150" w:type="dxa"/>
            </w:tcMar>
          </w:tcPr>
          <w:p>
            <w:pPr>
              <w:jc w:val="left"/>
            </w:pPr>
            <w:r>
              <w:rPr>
                <w:rFonts w:ascii="Calibri" w:hAnsi="Calibri"/>
                <w:b/>
                <w:color w:val="FFFFFF"/>
                <w:sz w:val="21"/>
              </w:rPr>
              <w:t>Factor Score</w:t>
            </w:r>
          </w:p>
        </w:tc>
        <w:tc>
          <w:tcPr>
            <w:tcW w:type="dxa" w:w="3168"/>
            <w:shd w:fill="1F4E78"/>
            <w:tcMar>
              <w:top w:w="120" w:type="dxa"/>
              <w:bottom w:w="120" w:type="dxa"/>
              <w:left w:w="150" w:type="dxa"/>
              <w:right w:w="150" w:type="dxa"/>
            </w:tcMar>
          </w:tcPr>
          <w:p>
            <w:pPr>
              <w:jc w:val="left"/>
            </w:pPr>
            <w:r>
              <w:rPr>
                <w:rFonts w:ascii="Calibri" w:hAnsi="Calibri"/>
                <w:b/>
                <w:color w:val="FFFFFF"/>
                <w:sz w:val="21"/>
              </w:rPr>
              <w:t>Minimum</w:t>
            </w:r>
          </w:p>
        </w:tc>
        <w:tc>
          <w:tcPr>
            <w:tcW w:type="dxa" w:w="3168"/>
            <w:shd w:fill="1F4E78"/>
            <w:tcMar>
              <w:top w:w="120" w:type="dxa"/>
              <w:bottom w:w="120" w:type="dxa"/>
              <w:left w:w="150" w:type="dxa"/>
              <w:right w:w="150" w:type="dxa"/>
            </w:tcMar>
          </w:tcPr>
          <w:p>
            <w:pPr>
              <w:jc w:val="left"/>
            </w:pPr>
            <w:r>
              <w:rPr>
                <w:rFonts w:ascii="Calibri" w:hAnsi="Calibri"/>
                <w:b/>
                <w:color w:val="FFFFFF"/>
                <w:sz w:val="21"/>
              </w:rPr>
              <w:t>Maximum</w:t>
            </w:r>
          </w:p>
        </w:tc>
      </w:tr>
      <w:tr>
        <w:tc>
          <w:tcPr>
            <w:tcW w:type="dxa" w:w="2880"/>
            <w:shd w:fill="FFFFFF"/>
            <w:tcMar>
              <w:top w:w="100" w:type="dxa"/>
              <w:bottom w:w="100" w:type="dxa"/>
              <w:left w:w="150" w:type="dxa"/>
              <w:right w:w="150" w:type="dxa"/>
            </w:tcMar>
          </w:tcPr>
          <w:p>
            <w:pPr>
              <w:jc w:val="left"/>
            </w:pPr>
            <w:r>
              <w:rPr>
                <w:rFonts w:ascii="Calibri" w:hAnsi="Calibri"/>
                <w:color w:val="333333"/>
                <w:sz w:val="20"/>
              </w:rPr>
              <w:t>FAC1_1</w:t>
            </w:r>
          </w:p>
        </w:tc>
        <w:tc>
          <w:tcPr>
            <w:tcW w:type="dxa" w:w="3168"/>
            <w:shd w:fill="FFFFFF"/>
            <w:tcMar>
              <w:top w:w="100" w:type="dxa"/>
              <w:bottom w:w="100" w:type="dxa"/>
              <w:left w:w="150" w:type="dxa"/>
              <w:right w:w="150" w:type="dxa"/>
            </w:tcMar>
          </w:tcPr>
          <w:p>
            <w:pPr>
              <w:jc w:val="left"/>
            </w:pPr>
            <w:r>
              <w:rPr>
                <w:rFonts w:ascii="Calibri" w:hAnsi="Calibri"/>
                <w:color w:val="333333"/>
                <w:sz w:val="20"/>
              </w:rPr>
              <w:t>-2.174</w:t>
            </w:r>
          </w:p>
        </w:tc>
        <w:tc>
          <w:tcPr>
            <w:tcW w:type="dxa" w:w="3168"/>
            <w:shd w:fill="FFFFFF"/>
            <w:tcMar>
              <w:top w:w="100" w:type="dxa"/>
              <w:bottom w:w="100" w:type="dxa"/>
              <w:left w:w="150" w:type="dxa"/>
              <w:right w:w="150" w:type="dxa"/>
            </w:tcMar>
          </w:tcPr>
          <w:p>
            <w:pPr>
              <w:jc w:val="left"/>
            </w:pPr>
            <w:r>
              <w:rPr>
                <w:rFonts w:ascii="Calibri" w:hAnsi="Calibri"/>
                <w:color w:val="333333"/>
                <w:sz w:val="20"/>
              </w:rPr>
              <w:t>2.362</w:t>
            </w:r>
          </w:p>
        </w:tc>
      </w:tr>
      <w:tr>
        <w:tc>
          <w:tcPr>
            <w:tcW w:type="dxa" w:w="2880"/>
            <w:shd w:fill="F2F4F8"/>
            <w:tcMar>
              <w:top w:w="100" w:type="dxa"/>
              <w:bottom w:w="100" w:type="dxa"/>
              <w:left w:w="150" w:type="dxa"/>
              <w:right w:w="150" w:type="dxa"/>
            </w:tcMar>
          </w:tcPr>
          <w:p>
            <w:pPr>
              <w:jc w:val="left"/>
            </w:pPr>
            <w:r>
              <w:rPr>
                <w:rFonts w:ascii="Calibri" w:hAnsi="Calibri"/>
                <w:color w:val="333333"/>
                <w:sz w:val="20"/>
              </w:rPr>
              <w:t>FAC2_1</w:t>
            </w:r>
          </w:p>
        </w:tc>
        <w:tc>
          <w:tcPr>
            <w:tcW w:type="dxa" w:w="3168"/>
            <w:shd w:fill="F2F4F8"/>
            <w:tcMar>
              <w:top w:w="100" w:type="dxa"/>
              <w:bottom w:w="100" w:type="dxa"/>
              <w:left w:w="150" w:type="dxa"/>
              <w:right w:w="150" w:type="dxa"/>
            </w:tcMar>
          </w:tcPr>
          <w:p>
            <w:pPr>
              <w:jc w:val="left"/>
            </w:pPr>
            <w:r>
              <w:rPr>
                <w:rFonts w:ascii="Calibri" w:hAnsi="Calibri"/>
                <w:color w:val="333333"/>
                <w:sz w:val="20"/>
              </w:rPr>
              <w:t>-2.248</w:t>
            </w:r>
          </w:p>
        </w:tc>
        <w:tc>
          <w:tcPr>
            <w:tcW w:type="dxa" w:w="3168"/>
            <w:shd w:fill="F2F4F8"/>
            <w:tcMar>
              <w:top w:w="100" w:type="dxa"/>
              <w:bottom w:w="100" w:type="dxa"/>
              <w:left w:w="150" w:type="dxa"/>
              <w:right w:w="150" w:type="dxa"/>
            </w:tcMar>
          </w:tcPr>
          <w:p>
            <w:pPr>
              <w:jc w:val="left"/>
            </w:pPr>
            <w:r>
              <w:rPr>
                <w:rFonts w:ascii="Calibri" w:hAnsi="Calibri"/>
                <w:color w:val="333333"/>
                <w:sz w:val="20"/>
              </w:rPr>
              <w:t>2.341</w:t>
            </w:r>
          </w:p>
        </w:tc>
      </w:tr>
      <w:tr>
        <w:tc>
          <w:tcPr>
            <w:tcW w:type="dxa" w:w="2880"/>
            <w:shd w:fill="FFFFFF"/>
            <w:tcMar>
              <w:top w:w="100" w:type="dxa"/>
              <w:bottom w:w="100" w:type="dxa"/>
              <w:left w:w="150" w:type="dxa"/>
              <w:right w:w="150" w:type="dxa"/>
            </w:tcMar>
          </w:tcPr>
          <w:p>
            <w:pPr>
              <w:jc w:val="left"/>
            </w:pPr>
            <w:r>
              <w:rPr>
                <w:rFonts w:ascii="Calibri" w:hAnsi="Calibri"/>
                <w:color w:val="333333"/>
                <w:sz w:val="20"/>
              </w:rPr>
              <w:t>FAC3_1</w:t>
            </w:r>
          </w:p>
        </w:tc>
        <w:tc>
          <w:tcPr>
            <w:tcW w:type="dxa" w:w="3168"/>
            <w:shd w:fill="FFFFFF"/>
            <w:tcMar>
              <w:top w:w="100" w:type="dxa"/>
              <w:bottom w:w="100" w:type="dxa"/>
              <w:left w:w="150" w:type="dxa"/>
              <w:right w:w="150" w:type="dxa"/>
            </w:tcMar>
          </w:tcPr>
          <w:p>
            <w:pPr>
              <w:jc w:val="left"/>
            </w:pPr>
            <w:r>
              <w:rPr>
                <w:rFonts w:ascii="Calibri" w:hAnsi="Calibri"/>
                <w:color w:val="333333"/>
                <w:sz w:val="20"/>
              </w:rPr>
              <w:t>-2.653</w:t>
            </w:r>
          </w:p>
        </w:tc>
        <w:tc>
          <w:tcPr>
            <w:tcW w:type="dxa" w:w="3168"/>
            <w:shd w:fill="FFFFFF"/>
            <w:tcMar>
              <w:top w:w="100" w:type="dxa"/>
              <w:bottom w:w="100" w:type="dxa"/>
              <w:left w:w="150" w:type="dxa"/>
              <w:right w:w="150" w:type="dxa"/>
            </w:tcMar>
          </w:tcPr>
          <w:p>
            <w:pPr>
              <w:jc w:val="left"/>
            </w:pPr>
            <w:r>
              <w:rPr>
                <w:rFonts w:ascii="Calibri" w:hAnsi="Calibri"/>
                <w:color w:val="333333"/>
                <w:sz w:val="20"/>
              </w:rPr>
              <w:t>1.916</w:t>
            </w:r>
          </w:p>
        </w:tc>
      </w:tr>
      <w:tr>
        <w:tc>
          <w:tcPr>
            <w:tcW w:type="dxa" w:w="2880"/>
            <w:shd w:fill="F2F4F8"/>
            <w:tcMar>
              <w:top w:w="100" w:type="dxa"/>
              <w:bottom w:w="100" w:type="dxa"/>
              <w:left w:w="150" w:type="dxa"/>
              <w:right w:w="150" w:type="dxa"/>
            </w:tcMar>
          </w:tcPr>
          <w:p>
            <w:pPr>
              <w:jc w:val="left"/>
            </w:pPr>
            <w:r>
              <w:rPr>
                <w:rFonts w:ascii="Calibri" w:hAnsi="Calibri"/>
                <w:color w:val="333333"/>
                <w:sz w:val="20"/>
              </w:rPr>
              <w:t>FAC4_1</w:t>
            </w:r>
          </w:p>
        </w:tc>
        <w:tc>
          <w:tcPr>
            <w:tcW w:type="dxa" w:w="3168"/>
            <w:shd w:fill="F2F4F8"/>
            <w:tcMar>
              <w:top w:w="100" w:type="dxa"/>
              <w:bottom w:w="100" w:type="dxa"/>
              <w:left w:w="150" w:type="dxa"/>
              <w:right w:w="150" w:type="dxa"/>
            </w:tcMar>
          </w:tcPr>
          <w:p>
            <w:pPr>
              <w:jc w:val="left"/>
            </w:pPr>
            <w:r>
              <w:rPr>
                <w:rFonts w:ascii="Calibri" w:hAnsi="Calibri"/>
                <w:color w:val="333333"/>
                <w:sz w:val="20"/>
              </w:rPr>
              <w:t>-2.766</w:t>
            </w:r>
          </w:p>
        </w:tc>
        <w:tc>
          <w:tcPr>
            <w:tcW w:type="dxa" w:w="3168"/>
            <w:shd w:fill="F2F4F8"/>
            <w:tcMar>
              <w:top w:w="100" w:type="dxa"/>
              <w:bottom w:w="100" w:type="dxa"/>
              <w:left w:w="150" w:type="dxa"/>
              <w:right w:w="150" w:type="dxa"/>
            </w:tcMar>
          </w:tcPr>
          <w:p>
            <w:pPr>
              <w:jc w:val="left"/>
            </w:pPr>
            <w:r>
              <w:rPr>
                <w:rFonts w:ascii="Calibri" w:hAnsi="Calibri"/>
                <w:color w:val="333333"/>
                <w:sz w:val="20"/>
              </w:rPr>
              <w:t>2.164</w:t>
            </w:r>
          </w:p>
        </w:tc>
      </w:tr>
    </w:tbl>
    <w:p>
      <w:pPr>
        <w:spacing w:after="120"/>
      </w:pPr>
    </w:p>
    <w:p>
      <w:pPr>
        <w:keepNext/>
        <w:spacing w:before="360" w:after="120"/>
      </w:pPr>
      <w:r>
        <w:rPr>
          <w:rFonts w:ascii="Calibri" w:hAnsi="Calibri"/>
          <w:b/>
          <w:color w:val="1F4E78"/>
          <w:sz w:val="36"/>
        </w:rPr>
        <w:t>18. Strategic Interpretation &amp; Management Recommendations</w:t>
      </w:r>
    </w:p>
    <w:p>
      <w:pPr>
        <w:spacing w:before="0" w:after="120" w:line="276" w:lineRule="auto"/>
      </w:pPr>
      <w:r>
        <w:rPr>
          <w:rFonts w:ascii="Calibri" w:hAnsi="Calibri"/>
          <w:color w:val="333333"/>
          <w:sz w:val="22"/>
        </w:rPr>
        <w:t>Client satisfaction operates along a logical service chain: Information → Human Interaction → Individualized Support → Reliable Follow-Through. Weakness in any single link degrades overall satisfaction.</w:t>
      </w:r>
    </w:p>
    <w:p>
      <w:pPr>
        <w:pStyle w:val="ListBullet"/>
        <w:spacing w:before="0" w:after="60" w:line="276" w:lineRule="auto"/>
      </w:pPr>
      <w:r>
        <w:rPr>
          <w:rFonts w:ascii="Calibri" w:hAnsi="Calibri"/>
          <w:b/>
          <w:color w:val="333333"/>
          <w:sz w:val="22"/>
        </w:rPr>
        <w:t xml:space="preserve">Recommendation 1: Improve Information Transparency — </w:t>
      </w:r>
      <w:r>
        <w:rPr>
          <w:rFonts w:ascii="Calibri" w:hAnsi="Calibri"/>
          <w:color w:val="333333"/>
          <w:sz w:val="22"/>
        </w:rPr>
        <w:t>Simplify benefit documentation, clarify client rights, provide step-by-step application roadmaps, and centralize contact details.</w:t>
      </w:r>
    </w:p>
    <w:p>
      <w:pPr>
        <w:pStyle w:val="ListBullet"/>
        <w:spacing w:before="0" w:after="60" w:line="276" w:lineRule="auto"/>
      </w:pPr>
      <w:r>
        <w:rPr>
          <w:rFonts w:ascii="Calibri" w:hAnsi="Calibri"/>
          <w:b/>
          <w:color w:val="333333"/>
          <w:sz w:val="22"/>
        </w:rPr>
        <w:t xml:space="preserve">Recommendation 2: Strengthen Caseworker Capacity — </w:t>
      </w:r>
      <w:r>
        <w:rPr>
          <w:rFonts w:ascii="Calibri" w:hAnsi="Calibri"/>
          <w:color w:val="333333"/>
          <w:sz w:val="22"/>
        </w:rPr>
        <w:t>Manage caseworker caseloads, standardize appointment prep, and deploy improved job-matching tools.</w:t>
      </w:r>
    </w:p>
    <w:p>
      <w:pPr>
        <w:pStyle w:val="ListBullet"/>
        <w:spacing w:before="0" w:after="60" w:line="276" w:lineRule="auto"/>
      </w:pPr>
      <w:r>
        <w:rPr>
          <w:rFonts w:ascii="Calibri" w:hAnsi="Calibri"/>
          <w:b/>
          <w:color w:val="333333"/>
          <w:sz w:val="22"/>
        </w:rPr>
        <w:t xml:space="preserve">Recommendation 3: Protect Interpersonal Service Quality — </w:t>
      </w:r>
      <w:r>
        <w:rPr>
          <w:rFonts w:ascii="Calibri" w:hAnsi="Calibri"/>
          <w:color w:val="333333"/>
          <w:sz w:val="22"/>
        </w:rPr>
        <w:t>Maintain front-desk training, enforce client privacy standards, and monitor respectful communication.</w:t>
      </w:r>
    </w:p>
    <w:p>
      <w:pPr>
        <w:pStyle w:val="ListBullet"/>
        <w:spacing w:before="0" w:after="60" w:line="276" w:lineRule="auto"/>
      </w:pPr>
      <w:r>
        <w:rPr>
          <w:rFonts w:ascii="Calibri" w:hAnsi="Calibri"/>
          <w:b/>
          <w:color w:val="333333"/>
          <w:sz w:val="22"/>
        </w:rPr>
        <w:t xml:space="preserve">Recommendation 4: Strengthen Operational Accountability — </w:t>
      </w:r>
      <w:r>
        <w:rPr>
          <w:rFonts w:ascii="Calibri" w:hAnsi="Calibri"/>
          <w:color w:val="333333"/>
          <w:sz w:val="22"/>
        </w:rPr>
        <w:t>Implement commitment-tracking software, supply clients with post-meeting action summaries, and automate follow-up alerts.</w:t>
      </w:r>
    </w:p>
    <w:p>
      <w:pPr>
        <w:keepNext/>
        <w:spacing w:before="360" w:after="120"/>
      </w:pPr>
      <w:r>
        <w:rPr>
          <w:rFonts w:ascii="Calibri" w:hAnsi="Calibri"/>
          <w:b/>
          <w:color w:val="1F4E78"/>
          <w:sz w:val="36"/>
        </w:rPr>
        <w:t>19. Dashboard Framework &amp; Implementation Roadmap</w:t>
      </w:r>
    </w:p>
    <w:p>
      <w:pPr>
        <w:spacing w:before="0" w:after="120" w:line="276" w:lineRule="auto"/>
      </w:pPr>
      <w:r>
        <w:rPr>
          <w:rFonts w:ascii="Calibri" w:hAnsi="Calibri"/>
          <w:color w:val="333333"/>
          <w:sz w:val="22"/>
        </w:rPr>
        <w:t>The four dimensions translate directly into an executive Service Experience Scorecard:</w:t>
      </w:r>
    </w:p>
    <w:tbl>
      <w:tblPr>
        <w:tblW w:type="auto" w:w="0"/>
        <w:jc w:val="center"/>
        <w:tblLook w:firstColumn="1" w:firstRow="1" w:lastColumn="0" w:lastRow="0" w:noHBand="0" w:noVBand="1" w:val="04A0"/>
      </w:tblPr>
      <w:tblGrid>
        <w:gridCol w:w="3120"/>
        <w:gridCol w:w="3120"/>
        <w:gridCol w:w="3120"/>
      </w:tblGrid>
      <w:tr>
        <w:tc>
          <w:tcPr>
            <w:tcW w:type="dxa" w:w="2880"/>
            <w:shd w:fill="1F4E78"/>
            <w:tcMar>
              <w:top w:w="120" w:type="dxa"/>
              <w:bottom w:w="120" w:type="dxa"/>
              <w:left w:w="150" w:type="dxa"/>
              <w:right w:w="150" w:type="dxa"/>
            </w:tcMar>
          </w:tcPr>
          <w:p>
            <w:pPr>
              <w:jc w:val="left"/>
            </w:pPr>
            <w:r>
              <w:rPr>
                <w:rFonts w:ascii="Calibri" w:hAnsi="Calibri"/>
                <w:b/>
                <w:color w:val="FFFFFF"/>
                <w:sz w:val="21"/>
              </w:rPr>
              <w:t>Dimension</w:t>
            </w:r>
          </w:p>
        </w:tc>
        <w:tc>
          <w:tcPr>
            <w:tcW w:type="dxa" w:w="2880"/>
            <w:shd w:fill="1F4E78"/>
            <w:tcMar>
              <w:top w:w="120" w:type="dxa"/>
              <w:bottom w:w="120" w:type="dxa"/>
              <w:left w:w="150" w:type="dxa"/>
              <w:right w:w="150" w:type="dxa"/>
            </w:tcMar>
          </w:tcPr>
          <w:p>
            <w:pPr>
              <w:jc w:val="left"/>
            </w:pPr>
            <w:r>
              <w:rPr>
                <w:rFonts w:ascii="Calibri" w:hAnsi="Calibri"/>
                <w:b/>
                <w:color w:val="FFFFFF"/>
                <w:sz w:val="21"/>
              </w:rPr>
              <w:t>Suggested KPI</w:t>
            </w:r>
          </w:p>
        </w:tc>
        <w:tc>
          <w:tcPr>
            <w:tcW w:type="dxa" w:w="3600"/>
            <w:shd w:fill="1F4E78"/>
            <w:tcMar>
              <w:top w:w="120" w:type="dxa"/>
              <w:bottom w:w="120" w:type="dxa"/>
              <w:left w:w="150" w:type="dxa"/>
              <w:right w:w="150" w:type="dxa"/>
            </w:tcMar>
          </w:tcPr>
          <w:p>
            <w:pPr>
              <w:jc w:val="left"/>
            </w:pPr>
            <w:r>
              <w:rPr>
                <w:rFonts w:ascii="Calibri" w:hAnsi="Calibri"/>
                <w:b/>
                <w:color w:val="FFFFFF"/>
                <w:sz w:val="21"/>
              </w:rPr>
              <w:t>Management Focus</w:t>
            </w:r>
          </w:p>
        </w:tc>
      </w:tr>
      <w:tr>
        <w:tc>
          <w:tcPr>
            <w:tcW w:type="dxa" w:w="2880"/>
            <w:shd w:fill="FFFFFF"/>
            <w:tcMar>
              <w:top w:w="100" w:type="dxa"/>
              <w:bottom w:w="100" w:type="dxa"/>
              <w:left w:w="150" w:type="dxa"/>
              <w:right w:w="150" w:type="dxa"/>
            </w:tcMar>
          </w:tcPr>
          <w:p>
            <w:pPr>
              <w:jc w:val="left"/>
            </w:pPr>
            <w:r>
              <w:rPr>
                <w:rFonts w:ascii="Calibri" w:hAnsi="Calibri"/>
                <w:color w:val="333333"/>
                <w:sz w:val="20"/>
              </w:rPr>
              <w:t>Information Transparency</w:t>
            </w:r>
          </w:p>
        </w:tc>
        <w:tc>
          <w:tcPr>
            <w:tcW w:type="dxa" w:w="2880"/>
            <w:shd w:fill="FFFFFF"/>
            <w:tcMar>
              <w:top w:w="100" w:type="dxa"/>
              <w:bottom w:w="100" w:type="dxa"/>
              <w:left w:w="150" w:type="dxa"/>
              <w:right w:w="150" w:type="dxa"/>
            </w:tcMar>
          </w:tcPr>
          <w:p>
            <w:pPr>
              <w:jc w:val="left"/>
            </w:pPr>
            <w:r>
              <w:rPr>
                <w:rFonts w:ascii="Calibri" w:hAnsi="Calibri"/>
                <w:color w:val="333333"/>
                <w:sz w:val="20"/>
              </w:rPr>
              <w:t>Information Clarity Score</w:t>
            </w:r>
          </w:p>
        </w:tc>
        <w:tc>
          <w:tcPr>
            <w:tcW w:type="dxa" w:w="3600"/>
            <w:shd w:fill="FFFFFF"/>
            <w:tcMar>
              <w:top w:w="100" w:type="dxa"/>
              <w:bottom w:w="100" w:type="dxa"/>
              <w:left w:w="150" w:type="dxa"/>
              <w:right w:w="150" w:type="dxa"/>
            </w:tcMar>
          </w:tcPr>
          <w:p>
            <w:pPr>
              <w:jc w:val="left"/>
            </w:pPr>
            <w:r>
              <w:rPr>
                <w:rFonts w:ascii="Calibri" w:hAnsi="Calibri"/>
                <w:color w:val="333333"/>
                <w:sz w:val="20"/>
              </w:rPr>
              <w:t>Digital info &amp; process clarity</w:t>
            </w:r>
          </w:p>
        </w:tc>
      </w:tr>
      <w:tr>
        <w:tc>
          <w:tcPr>
            <w:tcW w:type="dxa" w:w="2880"/>
            <w:shd w:fill="F2F4F8"/>
            <w:tcMar>
              <w:top w:w="100" w:type="dxa"/>
              <w:bottom w:w="100" w:type="dxa"/>
              <w:left w:w="150" w:type="dxa"/>
              <w:right w:w="150" w:type="dxa"/>
            </w:tcMar>
          </w:tcPr>
          <w:p>
            <w:pPr>
              <w:jc w:val="left"/>
            </w:pPr>
            <w:r>
              <w:rPr>
                <w:rFonts w:ascii="Calibri" w:hAnsi="Calibri"/>
                <w:color w:val="333333"/>
                <w:sz w:val="20"/>
              </w:rPr>
              <w:t>Caseworker Engagement</w:t>
            </w:r>
          </w:p>
        </w:tc>
        <w:tc>
          <w:tcPr>
            <w:tcW w:type="dxa" w:w="2880"/>
            <w:shd w:fill="F2F4F8"/>
            <w:tcMar>
              <w:top w:w="100" w:type="dxa"/>
              <w:bottom w:w="100" w:type="dxa"/>
              <w:left w:w="150" w:type="dxa"/>
              <w:right w:w="150" w:type="dxa"/>
            </w:tcMar>
          </w:tcPr>
          <w:p>
            <w:pPr>
              <w:jc w:val="left"/>
            </w:pPr>
            <w:r>
              <w:rPr>
                <w:rFonts w:ascii="Calibri" w:hAnsi="Calibri"/>
                <w:color w:val="333333"/>
                <w:sz w:val="20"/>
              </w:rPr>
              <w:t>Caseworker Support Score</w:t>
            </w:r>
          </w:p>
        </w:tc>
        <w:tc>
          <w:tcPr>
            <w:tcW w:type="dxa" w:w="3600"/>
            <w:shd w:fill="F2F4F8"/>
            <w:tcMar>
              <w:top w:w="100" w:type="dxa"/>
              <w:bottom w:w="100" w:type="dxa"/>
              <w:left w:w="150" w:type="dxa"/>
              <w:right w:w="150" w:type="dxa"/>
            </w:tcMar>
          </w:tcPr>
          <w:p>
            <w:pPr>
              <w:jc w:val="left"/>
            </w:pPr>
            <w:r>
              <w:rPr>
                <w:rFonts w:ascii="Calibri" w:hAnsi="Calibri"/>
                <w:color w:val="333333"/>
                <w:sz w:val="20"/>
              </w:rPr>
              <w:t>Time, preparation &amp; job matching</w:t>
            </w:r>
          </w:p>
        </w:tc>
      </w:tr>
      <w:tr>
        <w:tc>
          <w:tcPr>
            <w:tcW w:type="dxa" w:w="2880"/>
            <w:shd w:fill="FFFFFF"/>
            <w:tcMar>
              <w:top w:w="100" w:type="dxa"/>
              <w:bottom w:w="100" w:type="dxa"/>
              <w:left w:w="150" w:type="dxa"/>
              <w:right w:w="150" w:type="dxa"/>
            </w:tcMar>
          </w:tcPr>
          <w:p>
            <w:pPr>
              <w:jc w:val="left"/>
            </w:pPr>
            <w:r>
              <w:rPr>
                <w:rFonts w:ascii="Calibri" w:hAnsi="Calibri"/>
                <w:color w:val="333333"/>
                <w:sz w:val="20"/>
              </w:rPr>
              <w:t>Interpersonal Care</w:t>
            </w:r>
          </w:p>
        </w:tc>
        <w:tc>
          <w:tcPr>
            <w:tcW w:type="dxa" w:w="2880"/>
            <w:shd w:fill="FFFFFF"/>
            <w:tcMar>
              <w:top w:w="100" w:type="dxa"/>
              <w:bottom w:w="100" w:type="dxa"/>
              <w:left w:w="150" w:type="dxa"/>
              <w:right w:w="150" w:type="dxa"/>
            </w:tcMar>
          </w:tcPr>
          <w:p>
            <w:pPr>
              <w:jc w:val="left"/>
            </w:pPr>
            <w:r>
              <w:rPr>
                <w:rFonts w:ascii="Calibri" w:hAnsi="Calibri"/>
                <w:color w:val="333333"/>
                <w:sz w:val="20"/>
              </w:rPr>
              <w:t>Respect &amp; Communication Score</w:t>
            </w:r>
          </w:p>
        </w:tc>
        <w:tc>
          <w:tcPr>
            <w:tcW w:type="dxa" w:w="3600"/>
            <w:shd w:fill="FFFFFF"/>
            <w:tcMar>
              <w:top w:w="100" w:type="dxa"/>
              <w:bottom w:w="100" w:type="dxa"/>
              <w:left w:w="150" w:type="dxa"/>
              <w:right w:w="150" w:type="dxa"/>
            </w:tcMar>
          </w:tcPr>
          <w:p>
            <w:pPr>
              <w:jc w:val="left"/>
            </w:pPr>
            <w:r>
              <w:rPr>
                <w:rFonts w:ascii="Calibri" w:hAnsi="Calibri"/>
                <w:color w:val="333333"/>
                <w:sz w:val="20"/>
              </w:rPr>
              <w:t>Privacy, friendliness &amp; dignity</w:t>
            </w:r>
          </w:p>
        </w:tc>
      </w:tr>
      <w:tr>
        <w:tc>
          <w:tcPr>
            <w:tcW w:type="dxa" w:w="2880"/>
            <w:shd w:fill="F2F4F8"/>
            <w:tcMar>
              <w:top w:w="100" w:type="dxa"/>
              <w:bottom w:w="100" w:type="dxa"/>
              <w:left w:w="150" w:type="dxa"/>
              <w:right w:w="150" w:type="dxa"/>
            </w:tcMar>
          </w:tcPr>
          <w:p>
            <w:pPr>
              <w:jc w:val="left"/>
            </w:pPr>
            <w:r>
              <w:rPr>
                <w:rFonts w:ascii="Calibri" w:hAnsi="Calibri"/>
                <w:color w:val="333333"/>
                <w:sz w:val="20"/>
              </w:rPr>
              <w:t>Operational Reliability</w:t>
            </w:r>
          </w:p>
        </w:tc>
        <w:tc>
          <w:tcPr>
            <w:tcW w:type="dxa" w:w="2880"/>
            <w:shd w:fill="F2F4F8"/>
            <w:tcMar>
              <w:top w:w="100" w:type="dxa"/>
              <w:bottom w:w="100" w:type="dxa"/>
              <w:left w:w="150" w:type="dxa"/>
              <w:right w:w="150" w:type="dxa"/>
            </w:tcMar>
          </w:tcPr>
          <w:p>
            <w:pPr>
              <w:jc w:val="left"/>
            </w:pPr>
            <w:r>
              <w:rPr>
                <w:rFonts w:ascii="Calibri" w:hAnsi="Calibri"/>
                <w:color w:val="333333"/>
                <w:sz w:val="20"/>
              </w:rPr>
              <w:t>Follow-Through Score</w:t>
            </w:r>
          </w:p>
        </w:tc>
        <w:tc>
          <w:tcPr>
            <w:tcW w:type="dxa" w:w="3600"/>
            <w:shd w:fill="F2F4F8"/>
            <w:tcMar>
              <w:top w:w="100" w:type="dxa"/>
              <w:bottom w:w="100" w:type="dxa"/>
              <w:left w:w="150" w:type="dxa"/>
              <w:right w:w="150" w:type="dxa"/>
            </w:tcMar>
          </w:tcPr>
          <w:p>
            <w:pPr>
              <w:jc w:val="left"/>
            </w:pPr>
            <w:r>
              <w:rPr>
                <w:rFonts w:ascii="Calibri" w:hAnsi="Calibri"/>
                <w:color w:val="333333"/>
                <w:sz w:val="20"/>
              </w:rPr>
              <w:t>Commitments &amp; next steps</w:t>
            </w:r>
          </w:p>
        </w:tc>
      </w:tr>
    </w:tbl>
    <w:p>
      <w:pPr>
        <w:spacing w:after="120"/>
      </w:pPr>
    </w:p>
    <w:p>
      <w:pPr>
        <w:spacing w:before="0" w:after="120" w:line="276" w:lineRule="auto"/>
      </w:pPr>
      <w:r>
        <w:rPr>
          <w:rFonts w:ascii="Calibri" w:hAnsi="Calibri"/>
          <w:color w:val="333333"/>
          <w:sz w:val="22"/>
        </w:rPr>
        <w:t>Implementation should proceed across three structured phases:</w:t>
      </w:r>
    </w:p>
    <w:p>
      <w:pPr>
        <w:pStyle w:val="ListBullet"/>
        <w:spacing w:before="0" w:after="60" w:line="276" w:lineRule="auto"/>
      </w:pPr>
      <w:r>
        <w:rPr>
          <w:rFonts w:ascii="Calibri" w:hAnsi="Calibri"/>
          <w:b/>
          <w:color w:val="333333"/>
          <w:sz w:val="22"/>
        </w:rPr>
        <w:t xml:space="preserve">Phase 1: Quick Wins (Months 1–3) — </w:t>
      </w:r>
      <w:r>
        <w:rPr>
          <w:rFonts w:ascii="Calibri" w:hAnsi="Calibri"/>
          <w:color w:val="333333"/>
          <w:sz w:val="22"/>
        </w:rPr>
        <w:t>Simplify standard communication templates, clarify rights info, and reinforce privacy training.</w:t>
      </w:r>
    </w:p>
    <w:p>
      <w:pPr>
        <w:pStyle w:val="ListBullet"/>
        <w:spacing w:before="0" w:after="60" w:line="276" w:lineRule="auto"/>
      </w:pPr>
      <w:r>
        <w:rPr>
          <w:rFonts w:ascii="Calibri" w:hAnsi="Calibri"/>
          <w:b/>
          <w:color w:val="333333"/>
          <w:sz w:val="22"/>
        </w:rPr>
        <w:t xml:space="preserve">Phase 2: Core Process Improvement (Months 4–6) — </w:t>
      </w:r>
      <w:r>
        <w:rPr>
          <w:rFonts w:ascii="Calibri" w:hAnsi="Calibri"/>
          <w:color w:val="333333"/>
          <w:sz w:val="22"/>
        </w:rPr>
        <w:t>Implement structured appointment prep, record commitments, and establish follow-up reminders.</w:t>
      </w:r>
    </w:p>
    <w:p>
      <w:pPr>
        <w:pStyle w:val="ListBullet"/>
        <w:spacing w:before="0" w:after="60" w:line="276" w:lineRule="auto"/>
      </w:pPr>
      <w:r>
        <w:rPr>
          <w:rFonts w:ascii="Calibri" w:hAnsi="Calibri"/>
          <w:b/>
          <w:color w:val="333333"/>
          <w:sz w:val="22"/>
        </w:rPr>
        <w:t xml:space="preserve">Phase 3: Continuous Governance (Months 7–12) — </w:t>
      </w:r>
      <w:r>
        <w:rPr>
          <w:rFonts w:ascii="Calibri" w:hAnsi="Calibri"/>
          <w:color w:val="333333"/>
          <w:sz w:val="22"/>
        </w:rPr>
        <w:t>Launch recurring pulse surveys, track quarterly factor trends, and review caseloads.</w:t>
      </w:r>
    </w:p>
    <w:p>
      <w:pPr>
        <w:keepNext/>
        <w:spacing w:before="360" w:after="120"/>
      </w:pPr>
      <w:r>
        <w:rPr>
          <w:rFonts w:ascii="Calibri" w:hAnsi="Calibri"/>
          <w:b/>
          <w:color w:val="1F4E78"/>
          <w:sz w:val="36"/>
        </w:rPr>
        <w:t>20. Methodological Limitations &amp; Privacy</w:t>
      </w:r>
    </w:p>
    <w:p>
      <w:pPr>
        <w:pStyle w:val="ListBullet"/>
        <w:spacing w:before="0" w:after="60" w:line="276" w:lineRule="auto"/>
      </w:pPr>
      <w:r>
        <w:rPr>
          <w:rFonts w:ascii="Calibri" w:hAnsi="Calibri"/>
          <w:b/>
          <w:color w:val="333333"/>
          <w:sz w:val="22"/>
        </w:rPr>
        <w:t xml:space="preserve">PCA vs. Common Factor Analysis: </w:t>
      </w:r>
      <w:r>
        <w:rPr>
          <w:rFonts w:ascii="Calibri" w:hAnsi="Calibri"/>
          <w:color w:val="333333"/>
          <w:sz w:val="22"/>
        </w:rPr>
        <w:t>PCA acts as a data-reduction tool rather than a latent variable factor model.</w:t>
      </w:r>
    </w:p>
    <w:p>
      <w:pPr>
        <w:pStyle w:val="ListBullet"/>
        <w:spacing w:before="0" w:after="60" w:line="276" w:lineRule="auto"/>
      </w:pPr>
      <w:r>
        <w:rPr>
          <w:rFonts w:ascii="Calibri" w:hAnsi="Calibri"/>
          <w:b/>
          <w:color w:val="333333"/>
          <w:sz w:val="22"/>
        </w:rPr>
        <w:t xml:space="preserve">Unexplained Variance: </w:t>
      </w:r>
      <w:r>
        <w:rPr>
          <w:rFonts w:ascii="Calibri" w:hAnsi="Calibri"/>
          <w:color w:val="333333"/>
          <w:sz w:val="22"/>
        </w:rPr>
        <w:t>The four components explain 52.11% of variance, leaving 47.89% attributed to external factors (waiting times, economic conditions, benefit amounts).</w:t>
      </w:r>
    </w:p>
    <w:p>
      <w:pPr>
        <w:pStyle w:val="ListBullet"/>
        <w:spacing w:before="0" w:after="60" w:line="276" w:lineRule="auto"/>
      </w:pPr>
      <w:r>
        <w:rPr>
          <w:rFonts w:ascii="Calibri" w:hAnsi="Calibri"/>
          <w:b/>
          <w:color w:val="333333"/>
          <w:sz w:val="22"/>
        </w:rPr>
        <w:t xml:space="preserve">Sample Restriction: </w:t>
      </w:r>
      <w:r>
        <w:rPr>
          <w:rFonts w:ascii="Calibri" w:hAnsi="Calibri"/>
          <w:color w:val="333333"/>
          <w:sz w:val="22"/>
        </w:rPr>
        <w:t>Factor scores are restricted to N = 244 complete cases.</w:t>
      </w:r>
    </w:p>
    <w:p>
      <w:pPr>
        <w:pStyle w:val="ListBullet"/>
        <w:spacing w:before="0" w:after="60" w:line="276" w:lineRule="auto"/>
      </w:pPr>
      <w:r>
        <w:rPr>
          <w:rFonts w:ascii="Calibri" w:hAnsi="Calibri"/>
          <w:b/>
          <w:color w:val="333333"/>
          <w:sz w:val="22"/>
        </w:rPr>
        <w:t xml:space="preserve">Data Privacy: </w:t>
      </w:r>
      <w:r>
        <w:rPr>
          <w:rFonts w:ascii="Calibri" w:hAnsi="Calibri"/>
          <w:color w:val="333333"/>
          <w:sz w:val="22"/>
        </w:rPr>
        <w:t>The respondent identifier variable ('ssn') must be anonymized or stripped prior to public portfolio publishing.</w:t>
      </w:r>
    </w:p>
    <w:p>
      <w:pPr>
        <w:keepNext/>
        <w:spacing w:before="360" w:after="120"/>
      </w:pPr>
      <w:r>
        <w:rPr>
          <w:rFonts w:ascii="Calibri" w:hAnsi="Calibri"/>
          <w:b/>
          <w:color w:val="1F4E78"/>
          <w:sz w:val="36"/>
        </w:rPr>
        <w:t>21. Conclusion</w:t>
      </w:r>
    </w:p>
    <w:p>
      <w:pPr>
        <w:spacing w:before="0" w:after="120" w:line="276" w:lineRule="auto"/>
      </w:pPr>
      <w:r>
        <w:rPr>
          <w:rFonts w:ascii="Calibri" w:hAnsi="Calibri"/>
          <w:color w:val="333333"/>
          <w:sz w:val="22"/>
        </w:rPr>
        <w:t>This Principal Component Analysis successfully reduced 16 complex survey items into four actionable operational dimensions. By bridging statistical rigor with practical governance, public service leaders can systematically evaluate and enhance client experience.</w:t>
      </w:r>
    </w:p>
    <w:p>
      <w:pPr>
        <w:keepNext/>
        <w:spacing w:before="360" w:after="120"/>
      </w:pPr>
      <w:r>
        <w:rPr>
          <w:rFonts w:ascii="Calibri" w:hAnsi="Calibri"/>
          <w:b/>
          <w:color w:val="1F4E78"/>
          <w:sz w:val="36"/>
        </w:rPr>
        <w:t>Appendix: Suggested Portfolio Summary</w:t>
      </w:r>
    </w:p>
    <w:p>
      <w:pPr>
        <w:pStyle w:val="ListBullet"/>
        <w:spacing w:before="0" w:after="60" w:line="276" w:lineRule="auto"/>
      </w:pPr>
      <w:r>
        <w:rPr>
          <w:rFonts w:ascii="Calibri" w:hAnsi="Calibri"/>
          <w:b/>
          <w:color w:val="333333"/>
          <w:sz w:val="22"/>
        </w:rPr>
        <w:t xml:space="preserve">Project Title: </w:t>
      </w:r>
      <w:r>
        <w:rPr>
          <w:rFonts w:ascii="Calibri" w:hAnsi="Calibri"/>
          <w:color w:val="333333"/>
          <w:sz w:val="22"/>
        </w:rPr>
        <w:t>Principal Component Analysis of Client Service Experience</w:t>
      </w:r>
    </w:p>
    <w:p>
      <w:pPr>
        <w:pStyle w:val="ListBullet"/>
        <w:spacing w:before="0" w:after="60" w:line="276" w:lineRule="auto"/>
      </w:pPr>
      <w:r>
        <w:rPr>
          <w:rFonts w:ascii="Calibri" w:hAnsi="Calibri"/>
          <w:b/>
          <w:color w:val="333333"/>
          <w:sz w:val="22"/>
        </w:rPr>
        <w:t xml:space="preserve">Project Summary: </w:t>
      </w:r>
      <w:r>
        <w:rPr>
          <w:rFonts w:ascii="Calibri" w:hAnsi="Calibri"/>
          <w:color w:val="333333"/>
          <w:sz w:val="22"/>
        </w:rPr>
        <w:t>Conducted an end-to-end Principal Component Analysis using IBM SPSS Statistics on 388 client survey responses to identify key service quality dimensions. Evaluated factorability (KMO = 0.712, Bartlett's p &lt; .001), extracted four components explaining 52.11% variance, and translated empirical findings into strategic management recommendations.</w:t>
      </w:r>
    </w:p>
    <w:p>
      <w:pPr>
        <w:pStyle w:val="ListBullet"/>
        <w:spacing w:before="0" w:after="60" w:line="276" w:lineRule="auto"/>
      </w:pPr>
      <w:r>
        <w:rPr>
          <w:rFonts w:ascii="Calibri" w:hAnsi="Calibri"/>
          <w:b/>
          <w:color w:val="333333"/>
          <w:sz w:val="22"/>
        </w:rPr>
        <w:t xml:space="preserve">Key Result: </w:t>
      </w:r>
      <w:r>
        <w:rPr>
          <w:rFonts w:ascii="Calibri" w:hAnsi="Calibri"/>
          <w:color w:val="333333"/>
          <w:sz w:val="22"/>
        </w:rPr>
        <w:t>Reduced 16 operational indicators into 4 core dimensions: Information Transparency, Caseworker Engagement, Interpersonal Respect, and Operational Reliability.</w:t>
      </w:r>
    </w:p>
    <w:p>
      <w:pPr>
        <w:pStyle w:val="ListBullet"/>
        <w:spacing w:before="0" w:after="60" w:line="276" w:lineRule="auto"/>
      </w:pPr>
      <w:r>
        <w:rPr>
          <w:rFonts w:ascii="Calibri" w:hAnsi="Calibri"/>
          <w:b/>
          <w:color w:val="333333"/>
          <w:sz w:val="22"/>
        </w:rPr>
        <w:t xml:space="preserve">Tools Used: </w:t>
      </w:r>
      <w:r>
        <w:rPr>
          <w:rFonts w:ascii="Calibri" w:hAnsi="Calibri"/>
          <w:color w:val="333333"/>
          <w:sz w:val="22"/>
        </w:rPr>
        <w:t>IBM SPSS Statistics, Microsoft Excel, PCA, Correlation Analysis, Factor Analysis Diagnostics, Statistical Reporting.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