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4"/>
        </w:rPr>
        <w:t>Executive Profitability Analysis: Global Superstore</w:t>
      </w:r>
    </w:p>
    <w:p>
      <w:pPr>
        <w:spacing w:before="0" w:after="360"/>
      </w:pPr>
      <w:r>
        <w:rPr>
          <w:rFonts w:ascii="Arial" w:hAnsi="Arial"/>
          <w:i/>
          <w:color w:val="4A777A"/>
          <w:sz w:val="24"/>
        </w:rPr>
        <w:t>An Interactive E-Commerce Sales and Profitability Analysis Using Google Looker Studio</w:t>
      </w:r>
    </w:p>
    <w:tbl>
      <w:tblPr>
        <w:tblW w:type="auto" w:w="0"/>
        <w:jc w:val="center"/>
        <w:tblLook w:firstColumn="1" w:firstRow="1" w:lastColumn="0" w:lastRow="0" w:noHBand="0" w:noVBand="1" w:val="04A0"/>
        <w:tblBorders>
          <w:top w:val="none"/>
          <w:bottom w:val="none"/>
          <w:left w:val="single" w:sz="18" w:space="0" w:color="1B365D"/>
          <w:right w:val="none"/>
          <w:insideH w:val="none"/>
          <w:insideV w:val="none"/>
        </w:tblBorders>
      </w:tblPr>
      <w:tblGrid>
        <w:gridCol w:w="4680"/>
        <w:gridCol w:w="4680"/>
      </w:tblGrid>
      <w:tr>
        <w:tc>
          <w:tcPr>
            <w:tcW w:type="dxa" w:w="2880"/>
            <w:shd w:fill="F4F6F8"/>
            <w:tcMar>
              <w:top w:w="60" w:type="dxa"/>
              <w:bottom w:w="60" w:type="dxa"/>
              <w:left w:w="120" w:type="dxa"/>
              <w:right w:w="120" w:type="dxa"/>
            </w:tcMar>
          </w:tcPr>
          <w:p>
            <w:pPr>
              <w:spacing w:after="0"/>
            </w:pPr>
            <w:r>
              <w:rPr>
                <w:rFonts w:ascii="Arial" w:hAnsi="Arial"/>
                <w:b/>
                <w:color w:val="1B365D"/>
                <w:sz w:val="19"/>
              </w:rPr>
              <w:t>Prepared by:</w:t>
            </w:r>
          </w:p>
        </w:tc>
        <w:tc>
          <w:tcPr>
            <w:tcW w:type="dxa" w:w="6480"/>
            <w:shd w:fill="F4F6F8"/>
            <w:tcMar>
              <w:top w:w="60" w:type="dxa"/>
              <w:bottom w:w="60" w:type="dxa"/>
              <w:left w:w="120" w:type="dxa"/>
              <w:right w:w="120" w:type="dxa"/>
            </w:tcMar>
          </w:tcPr>
          <w:p>
            <w:pPr>
              <w:spacing w:after="0"/>
            </w:pPr>
            <w:r>
              <w:rPr>
                <w:rFonts w:ascii="Arial" w:hAnsi="Arial"/>
                <w:color w:val="222222"/>
                <w:sz w:val="19"/>
              </w:rPr>
              <w:t>Rameez Nazar</w:t>
            </w:r>
          </w:p>
        </w:tc>
      </w:tr>
      <w:tr>
        <w:tc>
          <w:tcPr>
            <w:tcW w:type="dxa" w:w="2880"/>
            <w:shd w:fill="F4F6F8"/>
            <w:tcMar>
              <w:top w:w="60" w:type="dxa"/>
              <w:bottom w:w="60" w:type="dxa"/>
              <w:left w:w="120" w:type="dxa"/>
              <w:right w:w="120" w:type="dxa"/>
            </w:tcMar>
          </w:tcPr>
          <w:p>
            <w:pPr>
              <w:spacing w:after="0"/>
            </w:pPr>
            <w:r>
              <w:rPr>
                <w:rFonts w:ascii="Arial" w:hAnsi="Arial"/>
                <w:b/>
                <w:color w:val="1B365D"/>
                <w:sz w:val="19"/>
              </w:rPr>
              <w:t>Project:</w:t>
            </w:r>
          </w:p>
        </w:tc>
        <w:tc>
          <w:tcPr>
            <w:tcW w:type="dxa" w:w="6480"/>
            <w:shd w:fill="F4F6F8"/>
            <w:tcMar>
              <w:top w:w="60" w:type="dxa"/>
              <w:bottom w:w="60" w:type="dxa"/>
              <w:left w:w="120" w:type="dxa"/>
              <w:right w:w="120" w:type="dxa"/>
            </w:tcMar>
          </w:tcPr>
          <w:p>
            <w:pPr>
              <w:spacing w:after="0"/>
            </w:pPr>
            <w:r>
              <w:rPr>
                <w:rFonts w:ascii="Arial" w:hAnsi="Arial"/>
                <w:color w:val="222222"/>
                <w:sz w:val="19"/>
              </w:rPr>
              <w:t>Data Analytics Portfolio — Project 04</w:t>
            </w:r>
          </w:p>
        </w:tc>
      </w:tr>
      <w:tr>
        <w:tc>
          <w:tcPr>
            <w:tcW w:type="dxa" w:w="2880"/>
            <w:shd w:fill="F4F6F8"/>
            <w:tcMar>
              <w:top w:w="60" w:type="dxa"/>
              <w:bottom w:w="60" w:type="dxa"/>
              <w:left w:w="120" w:type="dxa"/>
              <w:right w:w="120" w:type="dxa"/>
            </w:tcMar>
          </w:tcPr>
          <w:p>
            <w:pPr>
              <w:spacing w:after="0"/>
            </w:pPr>
            <w:r>
              <w:rPr>
                <w:rFonts w:ascii="Arial" w:hAnsi="Arial"/>
                <w:b/>
                <w:color w:val="1B365D"/>
                <w:sz w:val="19"/>
              </w:rPr>
              <w:t>Platform:</w:t>
            </w:r>
          </w:p>
        </w:tc>
        <w:tc>
          <w:tcPr>
            <w:tcW w:type="dxa" w:w="6480"/>
            <w:shd w:fill="F4F6F8"/>
            <w:tcMar>
              <w:top w:w="60" w:type="dxa"/>
              <w:bottom w:w="60" w:type="dxa"/>
              <w:left w:w="120" w:type="dxa"/>
              <w:right w:w="120" w:type="dxa"/>
            </w:tcMar>
          </w:tcPr>
          <w:p>
            <w:pPr>
              <w:spacing w:after="0"/>
            </w:pPr>
            <w:r>
              <w:rPr>
                <w:rFonts w:ascii="Arial" w:hAnsi="Arial"/>
                <w:color w:val="222222"/>
                <w:sz w:val="19"/>
              </w:rPr>
              <w:t>Google Looker Studio</w:t>
            </w:r>
          </w:p>
        </w:tc>
      </w:tr>
      <w:tr>
        <w:tc>
          <w:tcPr>
            <w:tcW w:type="dxa" w:w="2880"/>
            <w:shd w:fill="F4F6F8"/>
            <w:tcMar>
              <w:top w:w="60" w:type="dxa"/>
              <w:bottom w:w="60" w:type="dxa"/>
              <w:left w:w="120" w:type="dxa"/>
              <w:right w:w="120" w:type="dxa"/>
            </w:tcMar>
          </w:tcPr>
          <w:p>
            <w:pPr>
              <w:spacing w:after="0"/>
            </w:pPr>
            <w:r>
              <w:rPr>
                <w:rFonts w:ascii="Arial" w:hAnsi="Arial"/>
                <w:b/>
                <w:color w:val="1B365D"/>
                <w:sz w:val="19"/>
              </w:rPr>
              <w:t>Dataset:</w:t>
            </w:r>
          </w:p>
        </w:tc>
        <w:tc>
          <w:tcPr>
            <w:tcW w:type="dxa" w:w="6480"/>
            <w:shd w:fill="F4F6F8"/>
            <w:tcMar>
              <w:top w:w="60" w:type="dxa"/>
              <w:bottom w:w="60" w:type="dxa"/>
              <w:left w:w="120" w:type="dxa"/>
              <w:right w:w="120" w:type="dxa"/>
            </w:tcMar>
          </w:tcPr>
          <w:p>
            <w:pPr>
              <w:spacing w:after="0"/>
            </w:pPr>
            <w:r>
              <w:rPr>
                <w:rFonts w:ascii="Arial" w:hAnsi="Arial"/>
                <w:color w:val="222222"/>
                <w:sz w:val="19"/>
              </w:rPr>
              <w:t>Global Superstore / Sample Superstore</w:t>
            </w:r>
          </w:p>
        </w:tc>
      </w:tr>
      <w:tr>
        <w:tc>
          <w:tcPr>
            <w:tcW w:type="dxa" w:w="2880"/>
            <w:shd w:fill="F4F6F8"/>
            <w:tcMar>
              <w:top w:w="60" w:type="dxa"/>
              <w:bottom w:w="60" w:type="dxa"/>
              <w:left w:w="120" w:type="dxa"/>
              <w:right w:w="120" w:type="dxa"/>
            </w:tcMar>
          </w:tcPr>
          <w:p>
            <w:pPr>
              <w:spacing w:after="0"/>
            </w:pPr>
            <w:r>
              <w:rPr>
                <w:rFonts w:ascii="Arial" w:hAnsi="Arial"/>
                <w:b/>
                <w:color w:val="1B365D"/>
                <w:sz w:val="19"/>
              </w:rPr>
              <w:t>Analysis Type:</w:t>
            </w:r>
          </w:p>
        </w:tc>
        <w:tc>
          <w:tcPr>
            <w:tcW w:type="dxa" w:w="6480"/>
            <w:shd w:fill="F4F6F8"/>
            <w:tcMar>
              <w:top w:w="60" w:type="dxa"/>
              <w:bottom w:w="60" w:type="dxa"/>
              <w:left w:w="120" w:type="dxa"/>
              <w:right w:w="120" w:type="dxa"/>
            </w:tcMar>
          </w:tcPr>
          <w:p>
            <w:pPr>
              <w:spacing w:after="0"/>
            </w:pPr>
            <w:r>
              <w:rPr>
                <w:rFonts w:ascii="Arial" w:hAnsi="Arial"/>
                <w:color w:val="222222"/>
                <w:sz w:val="19"/>
              </w:rPr>
              <w:t>Exploratory Data Analysis, Business Intelligence, Sales &amp; Profitability Analysis</w:t>
            </w:r>
          </w:p>
        </w:tc>
      </w:tr>
    </w:tbl>
    <w:p>
      <w:pPr>
        <w:spacing w:after="240"/>
      </w:pPr>
    </w:p>
    <w:p>
      <w:pPr>
        <w:keepNext/>
        <w:spacing w:before="360" w:after="120"/>
      </w:pPr>
      <w:r>
        <w:rPr>
          <w:rFonts w:ascii="Arial" w:hAnsi="Arial"/>
          <w:b/>
          <w:color w:val="1B365D"/>
          <w:sz w:val="28"/>
        </w:rPr>
        <w:t>Executive Summary</w:t>
      </w:r>
    </w:p>
    <w:p>
      <w:pPr>
        <w:spacing w:before="0" w:after="100" w:line="276" w:lineRule="auto"/>
      </w:pPr>
      <w:r>
        <w:rPr>
          <w:rFonts w:ascii="Arial" w:hAnsi="Arial"/>
          <w:color w:val="222222"/>
          <w:sz w:val="20"/>
        </w:rPr>
        <w:t>This project presents an exploratory sales and profitability analysis of the Global Superstore dataset using data preparation techniques and interactive Business Intelligence visualization through Google Looker Studio.</w:t>
      </w:r>
    </w:p>
    <w:p>
      <w:pPr>
        <w:spacing w:before="0" w:after="100" w:line="276" w:lineRule="auto"/>
      </w:pPr>
      <w:r>
        <w:rPr>
          <w:rFonts w:ascii="Arial" w:hAnsi="Arial"/>
          <w:color w:val="222222"/>
          <w:sz w:val="20"/>
        </w:rPr>
        <w:t>The objective of the project was to transform a transactional retail dataset into a structured analytical resource capable of revealing important patterns in sales, profitability, product performance, customer segments, and geographic markets.</w:t>
      </w:r>
    </w:p>
    <w:p>
      <w:pPr>
        <w:spacing w:before="0" w:after="100" w:line="276" w:lineRule="auto"/>
      </w:pPr>
      <w:r>
        <w:rPr>
          <w:rFonts w:ascii="Arial" w:hAnsi="Arial"/>
          <w:color w:val="222222"/>
          <w:sz w:val="20"/>
        </w:rPr>
        <w:t>The dataset contains 9,994 transaction records across 21 attributes, representing retail order-line activity across the United States. The analysis covers customer information, product categories, geographic regions, order and shipping characteristics, sales, quantity, discount, and profit.</w:t>
      </w:r>
    </w:p>
    <w:p>
      <w:pPr>
        <w:spacing w:before="0" w:after="100" w:line="276" w:lineRule="auto"/>
      </w:pPr>
      <w:r>
        <w:rPr>
          <w:rFonts w:ascii="Arial" w:hAnsi="Arial"/>
          <w:color w:val="222222"/>
          <w:sz w:val="20"/>
        </w:rPr>
        <w:t>The analysis identified several important business patterns.</w:t>
      </w:r>
    </w:p>
    <w:p>
      <w:pPr>
        <w:spacing w:before="0" w:after="100" w:line="276" w:lineRule="auto"/>
      </w:pPr>
      <w:r>
        <w:rPr>
          <w:rFonts w:ascii="Arial" w:hAnsi="Arial"/>
          <w:color w:val="222222"/>
          <w:sz w:val="20"/>
        </w:rPr>
        <w:t>The business generated approximately $2.30 million in sales and $286,397 in total profit, resulting in an overall profit margin of approximately 12.47%. However, profitability is not distributed evenly across products, regions, or customer segments.</w:t>
      </w:r>
    </w:p>
    <w:p>
      <w:pPr>
        <w:spacing w:before="0" w:after="100" w:line="276" w:lineRule="auto"/>
      </w:pPr>
      <w:r>
        <w:rPr>
          <w:rFonts w:ascii="Arial" w:hAnsi="Arial"/>
          <w:color w:val="222222"/>
          <w:sz w:val="20"/>
        </w:rPr>
        <w:t>Technology was the strongest overall product category, generating approximately $836,154 in sales and $145,455 in profit, with a margin of approximately 17.40%.</w:t>
      </w:r>
    </w:p>
    <w:p>
      <w:pPr>
        <w:spacing w:before="0" w:after="100" w:line="276" w:lineRule="auto"/>
      </w:pPr>
      <w:r>
        <w:rPr>
          <w:rFonts w:ascii="Arial" w:hAnsi="Arial"/>
          <w:color w:val="222222"/>
          <w:sz w:val="20"/>
        </w:rPr>
        <w:t>Furniture, despite generating approximately $742,000 in sales, produced only $18,451 in profit, resulting in a substantially lower margin of approximately 2.49%. This indicates that high sales volume does not necessarily translate into strong profitability.</w:t>
      </w:r>
    </w:p>
    <w:p>
      <w:pPr>
        <w:spacing w:before="0" w:after="100" w:line="276" w:lineRule="auto"/>
      </w:pPr>
      <w:r>
        <w:rPr>
          <w:rFonts w:ascii="Arial" w:hAnsi="Arial"/>
          <w:color w:val="222222"/>
          <w:sz w:val="20"/>
        </w:rPr>
        <w:t>The Central region was identified as an important profitability concern. Although it generated approximately $501,240 in sales, its profit margin was only 7.92%, while its average discount rate was approximately 24.04%. This suggests that aggressive discounting may be contributing to margin erosion.</w:t>
      </w:r>
    </w:p>
    <w:p>
      <w:pPr>
        <w:spacing w:before="0" w:after="100" w:line="276" w:lineRule="auto"/>
      </w:pPr>
      <w:r>
        <w:rPr>
          <w:rFonts w:ascii="Arial" w:hAnsi="Arial"/>
          <w:color w:val="222222"/>
          <w:sz w:val="20"/>
        </w:rPr>
        <w:t>At the product level, Tables and Bookcases emerged as areas of concern due to negative profitability, while products and sub-categories such as Copiers, Phones, Paper, Labels, and Accessories demonstrated stronger profitability characteristics.</w:t>
      </w:r>
    </w:p>
    <w:p>
      <w:pPr>
        <w:spacing w:before="0" w:after="100" w:line="276" w:lineRule="auto"/>
      </w:pPr>
      <w:r>
        <w:rPr>
          <w:rFonts w:ascii="Arial" w:hAnsi="Arial"/>
          <w:color w:val="222222"/>
          <w:sz w:val="20"/>
        </w:rPr>
        <w:t>The analysis demonstrates the value of combining data preparation with interactive Business Intelligence. Rather than relying solely on static tables, the Looker Studio dashboard allows users to explore sales and profitability patterns interactively and identify areas requiring further management attention.</w:t>
      </w:r>
    </w:p>
    <w:p>
      <w:pPr>
        <w:keepNext/>
        <w:spacing w:before="360" w:after="120"/>
      </w:pPr>
      <w:r>
        <w:rPr>
          <w:rFonts w:ascii="Arial" w:hAnsi="Arial"/>
          <w:b/>
          <w:color w:val="1B365D"/>
          <w:sz w:val="28"/>
        </w:rPr>
        <w:t>1. Project Overview</w:t>
      </w:r>
    </w:p>
    <w:p>
      <w:pPr>
        <w:spacing w:before="0" w:after="100" w:line="276" w:lineRule="auto"/>
      </w:pPr>
      <w:r>
        <w:rPr>
          <w:rFonts w:ascii="Arial" w:hAnsi="Arial"/>
          <w:color w:val="222222"/>
          <w:sz w:val="20"/>
        </w:rPr>
        <w:t>The purpose of this project is to analyze the sales and profitability performance of a retail e-commerce business using the Global Superstore dataset.</w:t>
      </w:r>
    </w:p>
    <w:p>
      <w:pPr>
        <w:spacing w:before="0" w:after="100" w:line="276" w:lineRule="auto"/>
      </w:pPr>
      <w:r>
        <w:rPr>
          <w:rFonts w:ascii="Arial" w:hAnsi="Arial"/>
          <w:color w:val="222222"/>
          <w:sz w:val="20"/>
        </w:rPr>
        <w:t>The project was designed as an introductory Business Intelligence and dashboard development project, with an emphasis on translating transactional data into meaningful business insights.</w:t>
      </w:r>
    </w:p>
    <w:p>
      <w:pPr>
        <w:spacing w:before="0" w:after="100" w:line="276" w:lineRule="auto"/>
      </w:pPr>
      <w:r>
        <w:rPr>
          <w:rFonts w:ascii="Arial" w:hAnsi="Arial"/>
          <w:color w:val="222222"/>
          <w:sz w:val="20"/>
        </w:rPr>
        <w:t>The analysis focuses on five major areas:</w:t>
      </w:r>
    </w:p>
    <w:p>
      <w:pPr>
        <w:pStyle w:val="ListBullet"/>
        <w:spacing w:before="0" w:after="60" w:line="276" w:lineRule="auto"/>
        <w:ind w:left="360"/>
      </w:pPr>
      <w:r>
        <w:rPr>
          <w:rFonts w:ascii="Arial" w:hAnsi="Arial"/>
          <w:color w:val="222222"/>
          <w:sz w:val="20"/>
        </w:rPr>
        <w:t>Overall sales and profitability performance</w:t>
      </w:r>
    </w:p>
    <w:p>
      <w:pPr>
        <w:pStyle w:val="ListBullet"/>
        <w:spacing w:before="0" w:after="60" w:line="276" w:lineRule="auto"/>
        <w:ind w:left="360"/>
      </w:pPr>
      <w:r>
        <w:rPr>
          <w:rFonts w:ascii="Arial" w:hAnsi="Arial"/>
          <w:color w:val="222222"/>
          <w:sz w:val="20"/>
        </w:rPr>
        <w:t>Product category and sub-category performance</w:t>
      </w:r>
    </w:p>
    <w:p>
      <w:pPr>
        <w:pStyle w:val="ListBullet"/>
        <w:spacing w:before="0" w:after="60" w:line="276" w:lineRule="auto"/>
        <w:ind w:left="360"/>
      </w:pPr>
      <w:r>
        <w:rPr>
          <w:rFonts w:ascii="Arial" w:hAnsi="Arial"/>
          <w:color w:val="222222"/>
          <w:sz w:val="20"/>
        </w:rPr>
        <w:t>Regional sales and profitability patterns</w:t>
      </w:r>
    </w:p>
    <w:p>
      <w:pPr>
        <w:pStyle w:val="ListBullet"/>
        <w:spacing w:before="0" w:after="60" w:line="276" w:lineRule="auto"/>
        <w:ind w:left="360"/>
      </w:pPr>
      <w:r>
        <w:rPr>
          <w:rFonts w:ascii="Arial" w:hAnsi="Arial"/>
          <w:color w:val="222222"/>
          <w:sz w:val="20"/>
        </w:rPr>
        <w:t>Customer segment performance</w:t>
      </w:r>
    </w:p>
    <w:p>
      <w:pPr>
        <w:pStyle w:val="ListBullet"/>
        <w:spacing w:before="0" w:after="60" w:line="276" w:lineRule="auto"/>
        <w:ind w:left="360"/>
      </w:pPr>
      <w:r>
        <w:rPr>
          <w:rFonts w:ascii="Arial" w:hAnsi="Arial"/>
          <w:color w:val="222222"/>
          <w:sz w:val="20"/>
        </w:rPr>
        <w:t>The relationship between discounting and profitability</w:t>
      </w:r>
    </w:p>
    <w:p>
      <w:pPr>
        <w:spacing w:before="0" w:after="100" w:line="276" w:lineRule="auto"/>
      </w:pPr>
      <w:r>
        <w:rPr>
          <w:rFonts w:ascii="Arial" w:hAnsi="Arial"/>
          <w:color w:val="222222"/>
          <w:sz w:val="20"/>
        </w:rPr>
        <w:t>The final outcome is an interactive dashboard developed using Google Looker Studio, supported by cleaned and structured data.</w:t>
      </w:r>
    </w:p>
    <w:p>
      <w:pPr>
        <w:spacing w:before="0" w:after="100" w:line="276" w:lineRule="auto"/>
      </w:pPr>
      <w:r>
        <w:rPr>
          <w:rFonts w:ascii="Arial" w:hAnsi="Arial"/>
          <w:color w:val="222222"/>
          <w:sz w:val="20"/>
        </w:rPr>
        <w:t>The dashboard provides a visual interface through which users can explore key performance indicators, sales patterns, and profitability trends.</w:t>
      </w:r>
    </w:p>
    <w:p>
      <w:pPr>
        <w:keepNext/>
        <w:spacing w:before="360" w:after="120"/>
      </w:pPr>
      <w:r>
        <w:rPr>
          <w:rFonts w:ascii="Arial" w:hAnsi="Arial"/>
          <w:b/>
          <w:color w:val="1B365D"/>
          <w:sz w:val="28"/>
        </w:rPr>
        <w:t>2. Project Objectives</w:t>
      </w:r>
    </w:p>
    <w:p>
      <w:pPr>
        <w:spacing w:before="0" w:after="100" w:line="276" w:lineRule="auto"/>
      </w:pPr>
      <w:r>
        <w:rPr>
          <w:rFonts w:ascii="Arial" w:hAnsi="Arial"/>
          <w:color w:val="222222"/>
          <w:sz w:val="20"/>
        </w:rPr>
        <w:t>The primary objectives of the project were to:</w:t>
      </w:r>
    </w:p>
    <w:p>
      <w:pPr>
        <w:pStyle w:val="ListBullet"/>
        <w:spacing w:before="0" w:after="60" w:line="276" w:lineRule="auto"/>
        <w:ind w:left="360"/>
      </w:pPr>
      <w:r>
        <w:rPr>
          <w:rFonts w:ascii="Arial" w:hAnsi="Arial"/>
          <w:color w:val="222222"/>
          <w:sz w:val="20"/>
        </w:rPr>
        <w:t>Analyze overall sales and profit performance.</w:t>
      </w:r>
    </w:p>
    <w:p>
      <w:pPr>
        <w:pStyle w:val="ListBullet"/>
        <w:spacing w:before="0" w:after="60" w:line="276" w:lineRule="auto"/>
        <w:ind w:left="360"/>
      </w:pPr>
      <w:r>
        <w:rPr>
          <w:rFonts w:ascii="Arial" w:hAnsi="Arial"/>
          <w:color w:val="222222"/>
          <w:sz w:val="20"/>
        </w:rPr>
        <w:t>Calculate key business performance indicators.</w:t>
      </w:r>
    </w:p>
    <w:p>
      <w:pPr>
        <w:pStyle w:val="ListBullet"/>
        <w:spacing w:before="0" w:after="60" w:line="276" w:lineRule="auto"/>
        <w:ind w:left="360"/>
      </w:pPr>
      <w:r>
        <w:rPr>
          <w:rFonts w:ascii="Arial" w:hAnsi="Arial"/>
          <w:color w:val="222222"/>
          <w:sz w:val="20"/>
        </w:rPr>
        <w:t>Identify high-performing and low-performing product categories.</w:t>
      </w:r>
    </w:p>
    <w:p>
      <w:pPr>
        <w:pStyle w:val="ListBullet"/>
        <w:spacing w:before="0" w:after="60" w:line="276" w:lineRule="auto"/>
        <w:ind w:left="360"/>
      </w:pPr>
      <w:r>
        <w:rPr>
          <w:rFonts w:ascii="Arial" w:hAnsi="Arial"/>
          <w:color w:val="222222"/>
          <w:sz w:val="20"/>
        </w:rPr>
        <w:t>Compare profitability across geographic regions.</w:t>
      </w:r>
    </w:p>
    <w:p>
      <w:pPr>
        <w:pStyle w:val="ListBullet"/>
        <w:spacing w:before="0" w:after="60" w:line="276" w:lineRule="auto"/>
        <w:ind w:left="360"/>
      </w:pPr>
      <w:r>
        <w:rPr>
          <w:rFonts w:ascii="Arial" w:hAnsi="Arial"/>
          <w:color w:val="222222"/>
          <w:sz w:val="20"/>
        </w:rPr>
        <w:t>Analyze customer segment contributions to sales and profit.</w:t>
      </w:r>
    </w:p>
    <w:p>
      <w:pPr>
        <w:pStyle w:val="ListBullet"/>
        <w:spacing w:before="0" w:after="60" w:line="276" w:lineRule="auto"/>
        <w:ind w:left="360"/>
      </w:pPr>
      <w:r>
        <w:rPr>
          <w:rFonts w:ascii="Arial" w:hAnsi="Arial"/>
          <w:color w:val="222222"/>
          <w:sz w:val="20"/>
        </w:rPr>
        <w:t>Examine the relationship between discounting and profitability.</w:t>
      </w:r>
    </w:p>
    <w:p>
      <w:pPr>
        <w:pStyle w:val="ListBullet"/>
        <w:spacing w:before="0" w:after="60" w:line="276" w:lineRule="auto"/>
        <w:ind w:left="360"/>
      </w:pPr>
      <w:r>
        <w:rPr>
          <w:rFonts w:ascii="Arial" w:hAnsi="Arial"/>
          <w:color w:val="222222"/>
          <w:sz w:val="20"/>
        </w:rPr>
        <w:t>Identify products and business areas that may require management attention.</w:t>
      </w:r>
    </w:p>
    <w:p>
      <w:pPr>
        <w:pStyle w:val="ListBullet"/>
        <w:spacing w:before="0" w:after="60" w:line="276" w:lineRule="auto"/>
        <w:ind w:left="360"/>
      </w:pPr>
      <w:r>
        <w:rPr>
          <w:rFonts w:ascii="Arial" w:hAnsi="Arial"/>
          <w:color w:val="222222"/>
          <w:sz w:val="20"/>
        </w:rPr>
        <w:t>Develop an interactive Business Intelligence dashboard.</w:t>
      </w:r>
    </w:p>
    <w:p>
      <w:pPr>
        <w:pStyle w:val="ListBullet"/>
        <w:spacing w:before="0" w:after="60" w:line="276" w:lineRule="auto"/>
        <w:ind w:left="360"/>
      </w:pPr>
      <w:r>
        <w:rPr>
          <w:rFonts w:ascii="Arial" w:hAnsi="Arial"/>
          <w:color w:val="222222"/>
          <w:sz w:val="20"/>
        </w:rPr>
        <w:t>Translate analytical findings into practical business insights.</w:t>
      </w:r>
    </w:p>
    <w:p>
      <w:pPr>
        <w:pStyle w:val="ListBullet"/>
        <w:spacing w:before="0" w:after="60" w:line="276" w:lineRule="auto"/>
        <w:ind w:left="360"/>
      </w:pPr>
      <w:r>
        <w:rPr>
          <w:rFonts w:ascii="Arial" w:hAnsi="Arial"/>
          <w:color w:val="222222"/>
          <w:sz w:val="20"/>
        </w:rPr>
        <w:t>Demonstrate the ability to move from transactional data to executive-level reporting.</w:t>
      </w:r>
    </w:p>
    <w:p>
      <w:pPr>
        <w:keepNext/>
        <w:spacing w:before="360" w:after="120"/>
      </w:pPr>
      <w:r>
        <w:rPr>
          <w:rFonts w:ascii="Arial" w:hAnsi="Arial"/>
          <w:b/>
          <w:color w:val="1B365D"/>
          <w:sz w:val="28"/>
        </w:rPr>
        <w:t>3. Tools and Technologies</w:t>
      </w:r>
    </w:p>
    <w:p>
      <w:pPr>
        <w:spacing w:before="0" w:after="100" w:line="276" w:lineRule="auto"/>
      </w:pPr>
      <w:r>
        <w:rPr>
          <w:rFonts w:ascii="Arial" w:hAnsi="Arial"/>
          <w:color w:val="222222"/>
          <w:sz w:val="20"/>
        </w:rPr>
        <w:t>The project used the following tools:</w:t>
      </w:r>
    </w:p>
    <w:p>
      <w:pPr>
        <w:keepNext/>
        <w:spacing w:before="240" w:after="80"/>
      </w:pPr>
      <w:r>
        <w:rPr>
          <w:rFonts w:ascii="Arial" w:hAnsi="Arial"/>
          <w:b/>
          <w:color w:val="4A777A"/>
          <w:sz w:val="23"/>
        </w:rPr>
        <w:t>Google Looker Studio</w:t>
      </w:r>
    </w:p>
    <w:p>
      <w:pPr>
        <w:spacing w:before="0" w:after="100" w:line="276" w:lineRule="auto"/>
      </w:pPr>
      <w:r>
        <w:rPr>
          <w:rFonts w:ascii="Arial" w:hAnsi="Arial"/>
          <w:color w:val="222222"/>
          <w:sz w:val="20"/>
        </w:rPr>
        <w:t>Used to develop the interactive Business Intelligence dashboard. The dashboard provides visual analysis of:</w:t>
      </w:r>
    </w:p>
    <w:p>
      <w:pPr>
        <w:pStyle w:val="ListBullet"/>
        <w:spacing w:before="0" w:after="60" w:line="276" w:lineRule="auto"/>
        <w:ind w:left="360"/>
      </w:pPr>
      <w:r>
        <w:rPr>
          <w:rFonts w:ascii="Arial" w:hAnsi="Arial"/>
          <w:color w:val="222222"/>
          <w:sz w:val="20"/>
        </w:rPr>
        <w:t>Sales</w:t>
      </w:r>
    </w:p>
    <w:p>
      <w:pPr>
        <w:pStyle w:val="ListBullet"/>
        <w:spacing w:before="0" w:after="60" w:line="276" w:lineRule="auto"/>
        <w:ind w:left="360"/>
      </w:pPr>
      <w:r>
        <w:rPr>
          <w:rFonts w:ascii="Arial" w:hAnsi="Arial"/>
          <w:color w:val="222222"/>
          <w:sz w:val="20"/>
        </w:rPr>
        <w:t>Profit</w:t>
      </w:r>
    </w:p>
    <w:p>
      <w:pPr>
        <w:pStyle w:val="ListBullet"/>
        <w:spacing w:before="0" w:after="60" w:line="276" w:lineRule="auto"/>
        <w:ind w:left="360"/>
      </w:pPr>
      <w:r>
        <w:rPr>
          <w:rFonts w:ascii="Arial" w:hAnsi="Arial"/>
          <w:color w:val="222222"/>
          <w:sz w:val="20"/>
        </w:rPr>
        <w:t>Profit margin</w:t>
      </w:r>
    </w:p>
    <w:p>
      <w:pPr>
        <w:pStyle w:val="ListBullet"/>
        <w:spacing w:before="0" w:after="60" w:line="276" w:lineRule="auto"/>
        <w:ind w:left="360"/>
      </w:pPr>
      <w:r>
        <w:rPr>
          <w:rFonts w:ascii="Arial" w:hAnsi="Arial"/>
          <w:color w:val="222222"/>
          <w:sz w:val="20"/>
        </w:rPr>
        <w:t>Quantity</w:t>
      </w:r>
    </w:p>
    <w:p>
      <w:pPr>
        <w:pStyle w:val="ListBullet"/>
        <w:spacing w:before="0" w:after="60" w:line="276" w:lineRule="auto"/>
        <w:ind w:left="360"/>
      </w:pPr>
      <w:r>
        <w:rPr>
          <w:rFonts w:ascii="Arial" w:hAnsi="Arial"/>
          <w:color w:val="222222"/>
          <w:sz w:val="20"/>
        </w:rPr>
        <w:t>Discount</w:t>
      </w:r>
    </w:p>
    <w:p>
      <w:pPr>
        <w:pStyle w:val="ListBullet"/>
        <w:spacing w:before="0" w:after="60" w:line="276" w:lineRule="auto"/>
        <w:ind w:left="360"/>
      </w:pPr>
      <w:r>
        <w:rPr>
          <w:rFonts w:ascii="Arial" w:hAnsi="Arial"/>
          <w:color w:val="222222"/>
          <w:sz w:val="20"/>
        </w:rPr>
        <w:t>Product categories</w:t>
      </w:r>
    </w:p>
    <w:p>
      <w:pPr>
        <w:pStyle w:val="ListBullet"/>
        <w:spacing w:before="0" w:after="60" w:line="276" w:lineRule="auto"/>
        <w:ind w:left="360"/>
      </w:pPr>
      <w:r>
        <w:rPr>
          <w:rFonts w:ascii="Arial" w:hAnsi="Arial"/>
          <w:color w:val="222222"/>
          <w:sz w:val="20"/>
        </w:rPr>
        <w:t>Regions</w:t>
      </w:r>
    </w:p>
    <w:p>
      <w:pPr>
        <w:pStyle w:val="ListBullet"/>
        <w:spacing w:before="0" w:after="60" w:line="276" w:lineRule="auto"/>
        <w:ind w:left="360"/>
      </w:pPr>
      <w:r>
        <w:rPr>
          <w:rFonts w:ascii="Arial" w:hAnsi="Arial"/>
          <w:color w:val="222222"/>
          <w:sz w:val="20"/>
        </w:rPr>
        <w:t>Customer segments</w:t>
      </w:r>
    </w:p>
    <w:p>
      <w:pPr>
        <w:pStyle w:val="ListBullet"/>
        <w:spacing w:before="0" w:after="60" w:line="276" w:lineRule="auto"/>
        <w:ind w:left="360"/>
      </w:pPr>
      <w:r>
        <w:rPr>
          <w:rFonts w:ascii="Arial" w:hAnsi="Arial"/>
          <w:color w:val="222222"/>
          <w:sz w:val="20"/>
        </w:rPr>
        <w:t>Sales and profitability trends</w:t>
      </w:r>
    </w:p>
    <w:p>
      <w:pPr>
        <w:keepNext/>
        <w:spacing w:before="240" w:after="80"/>
      </w:pPr>
      <w:r>
        <w:rPr>
          <w:rFonts w:ascii="Arial" w:hAnsi="Arial"/>
          <w:b/>
          <w:color w:val="4A777A"/>
          <w:sz w:val="23"/>
        </w:rPr>
        <w:t>Microsoft Excel / CSV</w:t>
      </w:r>
    </w:p>
    <w:p>
      <w:pPr>
        <w:spacing w:before="0" w:after="100" w:line="276" w:lineRule="auto"/>
      </w:pPr>
      <w:r>
        <w:rPr>
          <w:rFonts w:ascii="Arial" w:hAnsi="Arial"/>
          <w:color w:val="222222"/>
          <w:sz w:val="20"/>
        </w:rPr>
        <w:t>Used for working with the source and cleaned datasets.</w:t>
      </w:r>
    </w:p>
    <w:p>
      <w:pPr>
        <w:keepNext/>
        <w:spacing w:before="240" w:after="80"/>
      </w:pPr>
      <w:r>
        <w:rPr>
          <w:rFonts w:ascii="Arial" w:hAnsi="Arial"/>
          <w:b/>
          <w:color w:val="4A777A"/>
          <w:sz w:val="23"/>
        </w:rPr>
        <w:t>GitHub</w:t>
      </w:r>
    </w:p>
    <w:p>
      <w:pPr>
        <w:spacing w:before="0" w:after="100" w:line="276" w:lineRule="auto"/>
      </w:pPr>
      <w:r>
        <w:rPr>
          <w:rFonts w:ascii="Arial" w:hAnsi="Arial"/>
          <w:color w:val="222222"/>
          <w:sz w:val="20"/>
        </w:rPr>
        <w:t>Used to organize and document the project as part of the broader Data Analytics Portfolio. The project repository contains:</w:t>
      </w:r>
    </w:p>
    <w:p>
      <w:pPr>
        <w:pStyle w:val="ListBullet"/>
        <w:spacing w:before="0" w:after="60" w:line="276" w:lineRule="auto"/>
        <w:ind w:left="360"/>
      </w:pPr>
      <w:r>
        <w:rPr>
          <w:rFonts w:ascii="Arial" w:hAnsi="Arial"/>
          <w:color w:val="222222"/>
          <w:sz w:val="20"/>
        </w:rPr>
        <w:t>Source dataset</w:t>
      </w:r>
    </w:p>
    <w:p>
      <w:pPr>
        <w:pStyle w:val="ListBullet"/>
        <w:spacing w:before="0" w:after="60" w:line="276" w:lineRule="auto"/>
        <w:ind w:left="360"/>
      </w:pPr>
      <w:r>
        <w:rPr>
          <w:rFonts w:ascii="Arial" w:hAnsi="Arial"/>
          <w:color w:val="222222"/>
          <w:sz w:val="20"/>
        </w:rPr>
        <w:t>Cleaned dataset</w:t>
      </w:r>
    </w:p>
    <w:p>
      <w:pPr>
        <w:pStyle w:val="ListBullet"/>
        <w:spacing w:before="0" w:after="60" w:line="276" w:lineRule="auto"/>
        <w:ind w:left="360"/>
      </w:pPr>
      <w:r>
        <w:rPr>
          <w:rFonts w:ascii="Arial" w:hAnsi="Arial"/>
          <w:color w:val="222222"/>
          <w:sz w:val="20"/>
        </w:rPr>
        <w:t>Dashboard documentation</w:t>
      </w:r>
    </w:p>
    <w:p>
      <w:pPr>
        <w:pStyle w:val="ListBullet"/>
        <w:spacing w:before="0" w:after="60" w:line="276" w:lineRule="auto"/>
        <w:ind w:left="360"/>
      </w:pPr>
      <w:r>
        <w:rPr>
          <w:rFonts w:ascii="Arial" w:hAnsi="Arial"/>
          <w:color w:val="222222"/>
          <w:sz w:val="20"/>
        </w:rPr>
        <w:t>Interactive dashboard link</w:t>
      </w:r>
    </w:p>
    <w:p>
      <w:pPr>
        <w:pStyle w:val="ListBullet"/>
        <w:spacing w:before="0" w:after="60" w:line="276" w:lineRule="auto"/>
        <w:ind w:left="360"/>
      </w:pPr>
      <w:r>
        <w:rPr>
          <w:rFonts w:ascii="Arial" w:hAnsi="Arial"/>
          <w:color w:val="222222"/>
          <w:sz w:val="20"/>
        </w:rPr>
        <w:t>PDF dashboard export</w:t>
      </w:r>
    </w:p>
    <w:p>
      <w:pPr>
        <w:pStyle w:val="ListBullet"/>
        <w:spacing w:before="0" w:after="60" w:line="276" w:lineRule="auto"/>
        <w:ind w:left="360"/>
      </w:pPr>
      <w:r>
        <w:rPr>
          <w:rFonts w:ascii="Arial" w:hAnsi="Arial"/>
          <w:color w:val="222222"/>
          <w:sz w:val="20"/>
        </w:rPr>
        <w:t>Project documentation</w:t>
      </w:r>
    </w:p>
    <w:p>
      <w:pPr>
        <w:keepNext/>
        <w:spacing w:before="360" w:after="120"/>
      </w:pPr>
      <w:r>
        <w:rPr>
          <w:rFonts w:ascii="Arial" w:hAnsi="Arial"/>
          <w:b/>
          <w:color w:val="1B365D"/>
          <w:sz w:val="28"/>
        </w:rPr>
        <w:t>4. Dataset Overview</w:t>
      </w:r>
    </w:p>
    <w:p>
      <w:pPr>
        <w:spacing w:before="0" w:after="100" w:line="276" w:lineRule="auto"/>
      </w:pPr>
      <w:r>
        <w:rPr>
          <w:rFonts w:ascii="Arial" w:hAnsi="Arial"/>
          <w:color w:val="222222"/>
          <w:sz w:val="20"/>
        </w:rPr>
        <w:t>The analysis is based on the Global Superstore / Sample Superstore dataset.</w:t>
      </w:r>
    </w:p>
    <w:p>
      <w:pPr>
        <w:spacing w:before="0" w:after="100" w:line="276" w:lineRule="auto"/>
      </w:pPr>
      <w:r>
        <w:rPr>
          <w:rFonts w:ascii="Arial" w:hAnsi="Arial"/>
          <w:color w:val="222222"/>
          <w:sz w:val="20"/>
        </w:rPr>
        <w:t>The dataset contains:</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CCCCCC"/>
          <w:insideV w:val="none"/>
        </w:tblBorders>
      </w:tblPr>
      <w:tblGrid>
        <w:gridCol w:w="4680"/>
        <w:gridCol w:w="4680"/>
      </w:tblGrid>
      <w:tr>
        <w:trPr>
          <w:cantSplit/>
          <w:tblHeader/>
        </w:trPr>
        <w:tc>
          <w:tcPr>
            <w:tcW w:type="dxa" w:w="3600"/>
            <w:shd w:fill="1B365D"/>
            <w:tcMar>
              <w:top w:w="140" w:type="dxa"/>
              <w:bottom w:w="140" w:type="dxa"/>
              <w:left w:w="150" w:type="dxa"/>
              <w:right w:w="150" w:type="dxa"/>
            </w:tcMar>
          </w:tcPr>
          <w:p>
            <w:pPr>
              <w:spacing w:before="0" w:after="0"/>
            </w:pPr>
            <w:r>
              <w:rPr>
                <w:rFonts w:ascii="Arial" w:hAnsi="Arial"/>
                <w:b/>
                <w:color w:val="FFFFFF"/>
                <w:sz w:val="19"/>
              </w:rPr>
              <w:t>Attribute</w:t>
            </w:r>
          </w:p>
        </w:tc>
        <w:tc>
          <w:tcPr>
            <w:tcW w:type="dxa" w:w="5760"/>
            <w:shd w:fill="1B365D"/>
            <w:tcMar>
              <w:top w:w="140" w:type="dxa"/>
              <w:bottom w:w="140" w:type="dxa"/>
              <w:left w:w="150" w:type="dxa"/>
              <w:right w:w="150" w:type="dxa"/>
            </w:tcMar>
          </w:tcPr>
          <w:p>
            <w:pPr>
              <w:spacing w:before="0" w:after="0"/>
            </w:pPr>
            <w:r>
              <w:rPr>
                <w:rFonts w:ascii="Arial" w:hAnsi="Arial"/>
                <w:b/>
                <w:color w:val="FFFFFF"/>
                <w:sz w:val="19"/>
              </w:rPr>
              <w:t>Description</w:t>
            </w:r>
          </w:p>
        </w:tc>
      </w:tr>
      <w:tr>
        <w:trPr>
          <w:cantSplit/>
        </w:trPr>
        <w:tc>
          <w:tcPr>
            <w:tcW w:type="dxa" w:w="3600"/>
            <w:shd w:fill="F4F6F8"/>
            <w:tcMar>
              <w:top w:w="100" w:type="dxa"/>
              <w:bottom w:w="100" w:type="dxa"/>
              <w:left w:w="150" w:type="dxa"/>
              <w:right w:w="150" w:type="dxa"/>
            </w:tcMar>
          </w:tcPr>
          <w:p>
            <w:pPr>
              <w:spacing w:before="0" w:after="0"/>
            </w:pPr>
            <w:r>
              <w:rPr>
                <w:rFonts w:ascii="Arial" w:hAnsi="Arial"/>
                <w:color w:val="222222"/>
                <w:sz w:val="19"/>
              </w:rPr>
              <w:t>Total Records</w:t>
            </w:r>
          </w:p>
        </w:tc>
        <w:tc>
          <w:tcPr>
            <w:tcW w:type="dxa" w:w="5760"/>
            <w:shd w:fill="F4F6F8"/>
            <w:tcMar>
              <w:top w:w="100" w:type="dxa"/>
              <w:bottom w:w="100" w:type="dxa"/>
              <w:left w:w="150" w:type="dxa"/>
              <w:right w:w="150" w:type="dxa"/>
            </w:tcMar>
          </w:tcPr>
          <w:p>
            <w:pPr>
              <w:spacing w:before="0" w:after="0"/>
            </w:pPr>
            <w:r>
              <w:rPr>
                <w:rFonts w:ascii="Arial" w:hAnsi="Arial"/>
                <w:color w:val="222222"/>
                <w:sz w:val="19"/>
              </w:rPr>
              <w:t>9,994</w:t>
            </w:r>
          </w:p>
        </w:tc>
      </w:tr>
      <w:tr>
        <w:trPr>
          <w:cantSplit/>
        </w:trPr>
        <w:tc>
          <w:tcPr>
            <w:tcW w:type="dxa" w:w="3600"/>
            <w:shd w:fill="FFFFFF"/>
            <w:tcMar>
              <w:top w:w="100" w:type="dxa"/>
              <w:bottom w:w="100" w:type="dxa"/>
              <w:left w:w="150" w:type="dxa"/>
              <w:right w:w="150" w:type="dxa"/>
            </w:tcMar>
          </w:tcPr>
          <w:p>
            <w:pPr>
              <w:spacing w:before="0" w:after="0"/>
            </w:pPr>
            <w:r>
              <w:rPr>
                <w:rFonts w:ascii="Arial" w:hAnsi="Arial"/>
                <w:color w:val="222222"/>
                <w:sz w:val="19"/>
              </w:rPr>
              <w:t>Total Variables</w:t>
            </w:r>
          </w:p>
        </w:tc>
        <w:tc>
          <w:tcPr>
            <w:tcW w:type="dxa" w:w="5760"/>
            <w:shd w:fill="FFFFFF"/>
            <w:tcMar>
              <w:top w:w="100" w:type="dxa"/>
              <w:bottom w:w="100" w:type="dxa"/>
              <w:left w:w="150" w:type="dxa"/>
              <w:right w:w="150" w:type="dxa"/>
            </w:tcMar>
          </w:tcPr>
          <w:p>
            <w:pPr>
              <w:spacing w:before="0" w:after="0"/>
            </w:pPr>
            <w:r>
              <w:rPr>
                <w:rFonts w:ascii="Arial" w:hAnsi="Arial"/>
                <w:color w:val="222222"/>
                <w:sz w:val="19"/>
              </w:rPr>
              <w:t>21</w:t>
            </w:r>
          </w:p>
        </w:tc>
      </w:tr>
      <w:tr>
        <w:trPr>
          <w:cantSplit/>
        </w:trPr>
        <w:tc>
          <w:tcPr>
            <w:tcW w:type="dxa" w:w="3600"/>
            <w:shd w:fill="F4F6F8"/>
            <w:tcMar>
              <w:top w:w="100" w:type="dxa"/>
              <w:bottom w:w="100" w:type="dxa"/>
              <w:left w:w="150" w:type="dxa"/>
              <w:right w:w="150" w:type="dxa"/>
            </w:tcMar>
          </w:tcPr>
          <w:p>
            <w:pPr>
              <w:spacing w:before="0" w:after="0"/>
            </w:pPr>
            <w:r>
              <w:rPr>
                <w:rFonts w:ascii="Arial" w:hAnsi="Arial"/>
                <w:color w:val="222222"/>
                <w:sz w:val="19"/>
              </w:rPr>
              <w:t>Unique Orders</w:t>
            </w:r>
          </w:p>
        </w:tc>
        <w:tc>
          <w:tcPr>
            <w:tcW w:type="dxa" w:w="5760"/>
            <w:shd w:fill="F4F6F8"/>
            <w:tcMar>
              <w:top w:w="100" w:type="dxa"/>
              <w:bottom w:w="100" w:type="dxa"/>
              <w:left w:w="150" w:type="dxa"/>
              <w:right w:w="150" w:type="dxa"/>
            </w:tcMar>
          </w:tcPr>
          <w:p>
            <w:pPr>
              <w:spacing w:before="0" w:after="0"/>
            </w:pPr>
            <w:r>
              <w:rPr>
                <w:rFonts w:ascii="Arial" w:hAnsi="Arial"/>
                <w:color w:val="222222"/>
                <w:sz w:val="19"/>
              </w:rPr>
              <w:t>5,009</w:t>
            </w:r>
          </w:p>
        </w:tc>
      </w:tr>
      <w:tr>
        <w:trPr>
          <w:cantSplit/>
        </w:trPr>
        <w:tc>
          <w:tcPr>
            <w:tcW w:type="dxa" w:w="3600"/>
            <w:shd w:fill="FFFFFF"/>
            <w:tcMar>
              <w:top w:w="100" w:type="dxa"/>
              <w:bottom w:w="100" w:type="dxa"/>
              <w:left w:w="150" w:type="dxa"/>
              <w:right w:w="150" w:type="dxa"/>
            </w:tcMar>
          </w:tcPr>
          <w:p>
            <w:pPr>
              <w:spacing w:before="0" w:after="0"/>
            </w:pPr>
            <w:r>
              <w:rPr>
                <w:rFonts w:ascii="Arial" w:hAnsi="Arial"/>
                <w:color w:val="222222"/>
                <w:sz w:val="19"/>
              </w:rPr>
              <w:t>Unique Customers</w:t>
            </w:r>
          </w:p>
        </w:tc>
        <w:tc>
          <w:tcPr>
            <w:tcW w:type="dxa" w:w="5760"/>
            <w:shd w:fill="FFFFFF"/>
            <w:tcMar>
              <w:top w:w="100" w:type="dxa"/>
              <w:bottom w:w="100" w:type="dxa"/>
              <w:left w:w="150" w:type="dxa"/>
              <w:right w:w="150" w:type="dxa"/>
            </w:tcMar>
          </w:tcPr>
          <w:p>
            <w:pPr>
              <w:spacing w:before="0" w:after="0"/>
            </w:pPr>
            <w:r>
              <w:rPr>
                <w:rFonts w:ascii="Arial" w:hAnsi="Arial"/>
                <w:color w:val="222222"/>
                <w:sz w:val="19"/>
              </w:rPr>
              <w:t>793</w:t>
            </w:r>
          </w:p>
        </w:tc>
      </w:tr>
      <w:tr>
        <w:trPr>
          <w:cantSplit/>
        </w:trPr>
        <w:tc>
          <w:tcPr>
            <w:tcW w:type="dxa" w:w="3600"/>
            <w:shd w:fill="F4F6F8"/>
            <w:tcMar>
              <w:top w:w="100" w:type="dxa"/>
              <w:bottom w:w="100" w:type="dxa"/>
              <w:left w:w="150" w:type="dxa"/>
              <w:right w:w="150" w:type="dxa"/>
            </w:tcMar>
          </w:tcPr>
          <w:p>
            <w:pPr>
              <w:spacing w:before="0" w:after="0"/>
            </w:pPr>
            <w:r>
              <w:rPr>
                <w:rFonts w:ascii="Arial" w:hAnsi="Arial"/>
                <w:color w:val="222222"/>
                <w:sz w:val="19"/>
              </w:rPr>
              <w:t>Geographic Coverage</w:t>
            </w:r>
          </w:p>
        </w:tc>
        <w:tc>
          <w:tcPr>
            <w:tcW w:type="dxa" w:w="5760"/>
            <w:shd w:fill="F4F6F8"/>
            <w:tcMar>
              <w:top w:w="100" w:type="dxa"/>
              <w:bottom w:w="100" w:type="dxa"/>
              <w:left w:w="150" w:type="dxa"/>
              <w:right w:w="150" w:type="dxa"/>
            </w:tcMar>
          </w:tcPr>
          <w:p>
            <w:pPr>
              <w:spacing w:before="0" w:after="0"/>
            </w:pPr>
            <w:r>
              <w:rPr>
                <w:rFonts w:ascii="Arial" w:hAnsi="Arial"/>
                <w:color w:val="222222"/>
                <w:sz w:val="19"/>
              </w:rPr>
              <w:t>49 States / 531 Cities</w:t>
            </w:r>
          </w:p>
        </w:tc>
      </w:tr>
      <w:tr>
        <w:trPr>
          <w:cantSplit/>
        </w:trPr>
        <w:tc>
          <w:tcPr>
            <w:tcW w:type="dxa" w:w="3600"/>
            <w:shd w:fill="FFFFFF"/>
            <w:tcMar>
              <w:top w:w="100" w:type="dxa"/>
              <w:bottom w:w="100" w:type="dxa"/>
              <w:left w:w="150" w:type="dxa"/>
              <w:right w:w="150" w:type="dxa"/>
            </w:tcMar>
          </w:tcPr>
          <w:p>
            <w:pPr>
              <w:spacing w:before="0" w:after="0"/>
            </w:pPr>
            <w:r>
              <w:rPr>
                <w:rFonts w:ascii="Arial" w:hAnsi="Arial"/>
                <w:color w:val="222222"/>
                <w:sz w:val="19"/>
              </w:rPr>
              <w:t>Total Sales</w:t>
            </w:r>
          </w:p>
        </w:tc>
        <w:tc>
          <w:tcPr>
            <w:tcW w:type="dxa" w:w="5760"/>
            <w:shd w:fill="FFFFFF"/>
            <w:tcMar>
              <w:top w:w="100" w:type="dxa"/>
              <w:bottom w:w="100" w:type="dxa"/>
              <w:left w:w="150" w:type="dxa"/>
              <w:right w:w="150" w:type="dxa"/>
            </w:tcMar>
          </w:tcPr>
          <w:p>
            <w:pPr>
              <w:spacing w:before="0" w:after="0"/>
            </w:pPr>
            <w:r>
              <w:rPr>
                <w:rFonts w:ascii="Arial" w:hAnsi="Arial"/>
                <w:color w:val="222222"/>
                <w:sz w:val="19"/>
              </w:rPr>
              <w:t>$2,297,200.86</w:t>
            </w:r>
          </w:p>
        </w:tc>
      </w:tr>
      <w:tr>
        <w:trPr>
          <w:cantSplit/>
        </w:trPr>
        <w:tc>
          <w:tcPr>
            <w:tcW w:type="dxa" w:w="3600"/>
            <w:shd w:fill="F4F6F8"/>
            <w:tcMar>
              <w:top w:w="100" w:type="dxa"/>
              <w:bottom w:w="100" w:type="dxa"/>
              <w:left w:w="150" w:type="dxa"/>
              <w:right w:w="150" w:type="dxa"/>
            </w:tcMar>
          </w:tcPr>
          <w:p>
            <w:pPr>
              <w:spacing w:before="0" w:after="0"/>
            </w:pPr>
            <w:r>
              <w:rPr>
                <w:rFonts w:ascii="Arial" w:hAnsi="Arial"/>
                <w:color w:val="222222"/>
                <w:sz w:val="19"/>
              </w:rPr>
              <w:t>Total Profit</w:t>
            </w:r>
          </w:p>
        </w:tc>
        <w:tc>
          <w:tcPr>
            <w:tcW w:type="dxa" w:w="5760"/>
            <w:shd w:fill="F4F6F8"/>
            <w:tcMar>
              <w:top w:w="100" w:type="dxa"/>
              <w:bottom w:w="100" w:type="dxa"/>
              <w:left w:w="150" w:type="dxa"/>
              <w:right w:w="150" w:type="dxa"/>
            </w:tcMar>
          </w:tcPr>
          <w:p>
            <w:pPr>
              <w:spacing w:before="0" w:after="0"/>
            </w:pPr>
            <w:r>
              <w:rPr>
                <w:rFonts w:ascii="Arial" w:hAnsi="Arial"/>
                <w:color w:val="222222"/>
                <w:sz w:val="19"/>
              </w:rPr>
              <w:t>$286,397.02</w:t>
            </w:r>
          </w:p>
        </w:tc>
      </w:tr>
      <w:tr>
        <w:trPr>
          <w:cantSplit/>
        </w:trPr>
        <w:tc>
          <w:tcPr>
            <w:tcW w:type="dxa" w:w="3600"/>
            <w:shd w:fill="FFFFFF"/>
            <w:tcMar>
              <w:top w:w="100" w:type="dxa"/>
              <w:bottom w:w="100" w:type="dxa"/>
              <w:left w:w="150" w:type="dxa"/>
              <w:right w:w="150" w:type="dxa"/>
            </w:tcMar>
          </w:tcPr>
          <w:p>
            <w:pPr>
              <w:spacing w:before="0" w:after="0"/>
            </w:pPr>
            <w:r>
              <w:rPr>
                <w:rFonts w:ascii="Arial" w:hAnsi="Arial"/>
                <w:color w:val="222222"/>
                <w:sz w:val="19"/>
              </w:rPr>
              <w:t>Overall Profit Margin</w:t>
            </w:r>
          </w:p>
        </w:tc>
        <w:tc>
          <w:tcPr>
            <w:tcW w:type="dxa" w:w="5760"/>
            <w:shd w:fill="FFFFFF"/>
            <w:tcMar>
              <w:top w:w="100" w:type="dxa"/>
              <w:bottom w:w="100" w:type="dxa"/>
              <w:left w:w="150" w:type="dxa"/>
              <w:right w:w="150" w:type="dxa"/>
            </w:tcMar>
          </w:tcPr>
          <w:p>
            <w:pPr>
              <w:spacing w:before="0" w:after="0"/>
            </w:pPr>
            <w:r>
              <w:rPr>
                <w:rFonts w:ascii="Arial" w:hAnsi="Arial"/>
                <w:color w:val="222222"/>
                <w:sz w:val="19"/>
              </w:rPr>
              <w:t>12.47%</w:t>
            </w:r>
          </w:p>
        </w:tc>
      </w:tr>
      <w:tr>
        <w:trPr>
          <w:cantSplit/>
        </w:trPr>
        <w:tc>
          <w:tcPr>
            <w:tcW w:type="dxa" w:w="3600"/>
            <w:shd w:fill="F4F6F8"/>
            <w:tcMar>
              <w:top w:w="100" w:type="dxa"/>
              <w:bottom w:w="100" w:type="dxa"/>
              <w:left w:w="150" w:type="dxa"/>
              <w:right w:w="150" w:type="dxa"/>
            </w:tcMar>
          </w:tcPr>
          <w:p>
            <w:pPr>
              <w:spacing w:before="0" w:after="0"/>
            </w:pPr>
            <w:r>
              <w:rPr>
                <w:rFonts w:ascii="Arial" w:hAnsi="Arial"/>
                <w:color w:val="222222"/>
                <w:sz w:val="19"/>
              </w:rPr>
              <w:t>Total Quantity Sold</w:t>
            </w:r>
          </w:p>
        </w:tc>
        <w:tc>
          <w:tcPr>
            <w:tcW w:type="dxa" w:w="5760"/>
            <w:shd w:fill="F4F6F8"/>
            <w:tcMar>
              <w:top w:w="100" w:type="dxa"/>
              <w:bottom w:w="100" w:type="dxa"/>
              <w:left w:w="150" w:type="dxa"/>
              <w:right w:w="150" w:type="dxa"/>
            </w:tcMar>
          </w:tcPr>
          <w:p>
            <w:pPr>
              <w:spacing w:before="0" w:after="0"/>
            </w:pPr>
            <w:r>
              <w:rPr>
                <w:rFonts w:ascii="Arial" w:hAnsi="Arial"/>
                <w:color w:val="222222"/>
                <w:sz w:val="19"/>
              </w:rPr>
              <w:t>37,873</w:t>
            </w:r>
          </w:p>
        </w:tc>
      </w:tr>
      <w:tr>
        <w:trPr>
          <w:cantSplit/>
        </w:trPr>
        <w:tc>
          <w:tcPr>
            <w:tcW w:type="dxa" w:w="3600"/>
            <w:shd w:fill="FFFFFF"/>
            <w:tcMar>
              <w:top w:w="100" w:type="dxa"/>
              <w:bottom w:w="100" w:type="dxa"/>
              <w:left w:w="150" w:type="dxa"/>
              <w:right w:w="150" w:type="dxa"/>
            </w:tcMar>
          </w:tcPr>
          <w:p>
            <w:pPr>
              <w:spacing w:before="0" w:after="0"/>
            </w:pPr>
            <w:r>
              <w:rPr>
                <w:rFonts w:ascii="Arial" w:hAnsi="Arial"/>
                <w:color w:val="222222"/>
                <w:sz w:val="19"/>
              </w:rPr>
              <w:t>Average Discount</w:t>
            </w:r>
          </w:p>
        </w:tc>
        <w:tc>
          <w:tcPr>
            <w:tcW w:type="dxa" w:w="5760"/>
            <w:shd w:fill="FFFFFF"/>
            <w:tcMar>
              <w:top w:w="100" w:type="dxa"/>
              <w:bottom w:w="100" w:type="dxa"/>
              <w:left w:w="150" w:type="dxa"/>
              <w:right w:w="150" w:type="dxa"/>
            </w:tcMar>
          </w:tcPr>
          <w:p>
            <w:pPr>
              <w:spacing w:before="0" w:after="0"/>
            </w:pPr>
            <w:r>
              <w:rPr>
                <w:rFonts w:ascii="Arial" w:hAnsi="Arial"/>
                <w:color w:val="222222"/>
                <w:sz w:val="19"/>
              </w:rPr>
              <w:t>15.62%</w:t>
            </w:r>
          </w:p>
        </w:tc>
      </w:tr>
    </w:tbl>
    <w:p>
      <w:pPr>
        <w:spacing w:before="0" w:after="100" w:line="276" w:lineRule="auto"/>
      </w:pPr>
      <w:r>
        <w:rPr>
          <w:rFonts w:ascii="Arial" w:hAnsi="Arial"/>
          <w:color w:val="222222"/>
          <w:sz w:val="20"/>
        </w:rPr>
        <w:br/>
        <w:t>The dataset represents individual retail order-line transactions. Each record contains information related to the order, customer, geography, product, sales, discount, and profit.</w:t>
      </w:r>
    </w:p>
    <w:p>
      <w:pPr>
        <w:keepNext/>
        <w:spacing w:before="360" w:after="120"/>
      </w:pPr>
      <w:r>
        <w:rPr>
          <w:rFonts w:ascii="Arial" w:hAnsi="Arial"/>
          <w:b/>
          <w:color w:val="1B365D"/>
          <w:sz w:val="28"/>
        </w:rPr>
        <w:t>5. Dataset Structure</w:t>
      </w:r>
    </w:p>
    <w:p>
      <w:pPr>
        <w:spacing w:before="0" w:after="100" w:line="276" w:lineRule="auto"/>
      </w:pPr>
      <w:r>
        <w:rPr>
          <w:rFonts w:ascii="Arial" w:hAnsi="Arial"/>
          <w:color w:val="222222"/>
          <w:sz w:val="20"/>
        </w:rPr>
        <w:t>The 21 variables can be grouped into four major analytical dimensions.</w:t>
      </w:r>
    </w:p>
    <w:p>
      <w:pPr>
        <w:keepNext/>
        <w:spacing w:before="240" w:after="80"/>
      </w:pPr>
      <w:r>
        <w:rPr>
          <w:rFonts w:ascii="Arial" w:hAnsi="Arial"/>
          <w:b/>
          <w:color w:val="4A777A"/>
          <w:sz w:val="23"/>
        </w:rPr>
        <w:t>5.1 Order and Shipping Information</w:t>
      </w:r>
    </w:p>
    <w:p>
      <w:pPr>
        <w:spacing w:before="0" w:after="100" w:line="276" w:lineRule="auto"/>
      </w:pPr>
      <w:r>
        <w:rPr>
          <w:rFonts w:ascii="Arial" w:hAnsi="Arial"/>
          <w:color w:val="222222"/>
          <w:sz w:val="20"/>
        </w:rPr>
        <w:t>This dimension includes:</w:t>
      </w:r>
    </w:p>
    <w:p>
      <w:pPr>
        <w:pStyle w:val="ListBullet"/>
        <w:spacing w:before="0" w:after="60" w:line="276" w:lineRule="auto"/>
        <w:ind w:left="360"/>
      </w:pPr>
      <w:r>
        <w:rPr>
          <w:rFonts w:ascii="Arial" w:hAnsi="Arial"/>
          <w:color w:val="222222"/>
          <w:sz w:val="20"/>
        </w:rPr>
        <w:t>Row ID</w:t>
      </w:r>
    </w:p>
    <w:p>
      <w:pPr>
        <w:pStyle w:val="ListBullet"/>
        <w:spacing w:before="0" w:after="60" w:line="276" w:lineRule="auto"/>
        <w:ind w:left="360"/>
      </w:pPr>
      <w:r>
        <w:rPr>
          <w:rFonts w:ascii="Arial" w:hAnsi="Arial"/>
          <w:color w:val="222222"/>
          <w:sz w:val="20"/>
        </w:rPr>
        <w:t>Order ID</w:t>
      </w:r>
    </w:p>
    <w:p>
      <w:pPr>
        <w:pStyle w:val="ListBullet"/>
        <w:spacing w:before="0" w:after="60" w:line="276" w:lineRule="auto"/>
        <w:ind w:left="360"/>
      </w:pPr>
      <w:r>
        <w:rPr>
          <w:rFonts w:ascii="Arial" w:hAnsi="Arial"/>
          <w:color w:val="222222"/>
          <w:sz w:val="20"/>
        </w:rPr>
        <w:t>Order Date</w:t>
      </w:r>
    </w:p>
    <w:p>
      <w:pPr>
        <w:pStyle w:val="ListBullet"/>
        <w:spacing w:before="0" w:after="60" w:line="276" w:lineRule="auto"/>
        <w:ind w:left="360"/>
      </w:pPr>
      <w:r>
        <w:rPr>
          <w:rFonts w:ascii="Arial" w:hAnsi="Arial"/>
          <w:color w:val="222222"/>
          <w:sz w:val="20"/>
        </w:rPr>
        <w:t>Ship Date</w:t>
      </w:r>
    </w:p>
    <w:p>
      <w:pPr>
        <w:pStyle w:val="ListBullet"/>
        <w:spacing w:before="0" w:after="60" w:line="276" w:lineRule="auto"/>
        <w:ind w:left="360"/>
      </w:pPr>
      <w:r>
        <w:rPr>
          <w:rFonts w:ascii="Arial" w:hAnsi="Arial"/>
          <w:color w:val="222222"/>
          <w:sz w:val="20"/>
        </w:rPr>
        <w:t>Ship Mode</w:t>
      </w:r>
    </w:p>
    <w:p>
      <w:pPr>
        <w:spacing w:before="0" w:after="100" w:line="276" w:lineRule="auto"/>
      </w:pPr>
      <w:r>
        <w:rPr>
          <w:rFonts w:ascii="Arial" w:hAnsi="Arial"/>
          <w:color w:val="222222"/>
          <w:sz w:val="20"/>
        </w:rPr>
        <w:t>These variables support analysis of order volume, time trends, and shipping characteristics.</w:t>
      </w:r>
    </w:p>
    <w:p>
      <w:pPr>
        <w:keepNext/>
        <w:spacing w:before="240" w:after="80"/>
      </w:pPr>
      <w:r>
        <w:rPr>
          <w:rFonts w:ascii="Arial" w:hAnsi="Arial"/>
          <w:b/>
          <w:color w:val="4A777A"/>
          <w:sz w:val="23"/>
        </w:rPr>
        <w:t>5.2 Customer Information</w:t>
      </w:r>
    </w:p>
    <w:p>
      <w:pPr>
        <w:spacing w:before="0" w:after="100" w:line="276" w:lineRule="auto"/>
      </w:pPr>
      <w:r>
        <w:rPr>
          <w:rFonts w:ascii="Arial" w:hAnsi="Arial"/>
          <w:color w:val="222222"/>
          <w:sz w:val="20"/>
        </w:rPr>
        <w:t>Customer-related variables include:</w:t>
      </w:r>
    </w:p>
    <w:p>
      <w:pPr>
        <w:pStyle w:val="ListBullet"/>
        <w:spacing w:before="0" w:after="60" w:line="276" w:lineRule="auto"/>
        <w:ind w:left="360"/>
      </w:pPr>
      <w:r>
        <w:rPr>
          <w:rFonts w:ascii="Arial" w:hAnsi="Arial"/>
          <w:color w:val="222222"/>
          <w:sz w:val="20"/>
        </w:rPr>
        <w:t>Customer ID</w:t>
      </w:r>
    </w:p>
    <w:p>
      <w:pPr>
        <w:pStyle w:val="ListBullet"/>
        <w:spacing w:before="0" w:after="60" w:line="276" w:lineRule="auto"/>
        <w:ind w:left="360"/>
      </w:pPr>
      <w:r>
        <w:rPr>
          <w:rFonts w:ascii="Arial" w:hAnsi="Arial"/>
          <w:color w:val="222222"/>
          <w:sz w:val="20"/>
        </w:rPr>
        <w:t>Customer Name</w:t>
      </w:r>
    </w:p>
    <w:p>
      <w:pPr>
        <w:pStyle w:val="ListBullet"/>
        <w:spacing w:before="0" w:after="60" w:line="276" w:lineRule="auto"/>
        <w:ind w:left="360"/>
      </w:pPr>
      <w:r>
        <w:rPr>
          <w:rFonts w:ascii="Arial" w:hAnsi="Arial"/>
          <w:color w:val="222222"/>
          <w:sz w:val="20"/>
        </w:rPr>
        <w:t>Segment</w:t>
      </w:r>
    </w:p>
    <w:p>
      <w:pPr>
        <w:spacing w:before="0" w:after="100" w:line="276" w:lineRule="auto"/>
      </w:pPr>
      <w:r>
        <w:rPr>
          <w:rFonts w:ascii="Arial" w:hAnsi="Arial"/>
          <w:color w:val="222222"/>
          <w:sz w:val="20"/>
        </w:rPr>
        <w:t>The customer segment classification consists of:</w:t>
      </w:r>
    </w:p>
    <w:p>
      <w:pPr>
        <w:pStyle w:val="ListBullet"/>
        <w:spacing w:before="0" w:after="60" w:line="276" w:lineRule="auto"/>
        <w:ind w:left="360"/>
      </w:pPr>
      <w:r>
        <w:rPr>
          <w:rFonts w:ascii="Arial" w:hAnsi="Arial"/>
          <w:color w:val="222222"/>
          <w:sz w:val="20"/>
        </w:rPr>
        <w:t>Consumer</w:t>
      </w:r>
    </w:p>
    <w:p>
      <w:pPr>
        <w:pStyle w:val="ListBullet"/>
        <w:spacing w:before="0" w:after="60" w:line="276" w:lineRule="auto"/>
        <w:ind w:left="360"/>
      </w:pPr>
      <w:r>
        <w:rPr>
          <w:rFonts w:ascii="Arial" w:hAnsi="Arial"/>
          <w:color w:val="222222"/>
          <w:sz w:val="20"/>
        </w:rPr>
        <w:t>Corporate</w:t>
      </w:r>
    </w:p>
    <w:p>
      <w:pPr>
        <w:pStyle w:val="ListBullet"/>
        <w:spacing w:before="0" w:after="60" w:line="276" w:lineRule="auto"/>
        <w:ind w:left="360"/>
      </w:pPr>
      <w:r>
        <w:rPr>
          <w:rFonts w:ascii="Arial" w:hAnsi="Arial"/>
          <w:color w:val="222222"/>
          <w:sz w:val="20"/>
        </w:rPr>
        <w:t>Home Office</w:t>
      </w:r>
    </w:p>
    <w:p>
      <w:pPr>
        <w:spacing w:before="0" w:after="100" w:line="276" w:lineRule="auto"/>
      </w:pPr>
      <w:r>
        <w:rPr>
          <w:rFonts w:ascii="Arial" w:hAnsi="Arial"/>
          <w:color w:val="222222"/>
          <w:sz w:val="20"/>
        </w:rPr>
        <w:t>This allows the business to evaluate differences in sales and profitability across customer groups.</w:t>
      </w:r>
    </w:p>
    <w:p>
      <w:pPr>
        <w:keepNext/>
        <w:spacing w:before="240" w:after="80"/>
      </w:pPr>
      <w:r>
        <w:rPr>
          <w:rFonts w:ascii="Arial" w:hAnsi="Arial"/>
          <w:b/>
          <w:color w:val="4A777A"/>
          <w:sz w:val="23"/>
        </w:rPr>
        <w:t>5.3 Geographic Information</w:t>
      </w:r>
    </w:p>
    <w:p>
      <w:pPr>
        <w:spacing w:before="0" w:after="100" w:line="276" w:lineRule="auto"/>
      </w:pPr>
      <w:r>
        <w:rPr>
          <w:rFonts w:ascii="Arial" w:hAnsi="Arial"/>
          <w:color w:val="222222"/>
          <w:sz w:val="20"/>
        </w:rPr>
        <w:t>Geographic variables include:</w:t>
      </w:r>
    </w:p>
    <w:p>
      <w:pPr>
        <w:pStyle w:val="ListBullet"/>
        <w:spacing w:before="0" w:after="60" w:line="276" w:lineRule="auto"/>
        <w:ind w:left="360"/>
      </w:pPr>
      <w:r>
        <w:rPr>
          <w:rFonts w:ascii="Arial" w:hAnsi="Arial"/>
          <w:color w:val="222222"/>
          <w:sz w:val="20"/>
        </w:rPr>
        <w:t>Country</w:t>
      </w:r>
    </w:p>
    <w:p>
      <w:pPr>
        <w:pStyle w:val="ListBullet"/>
        <w:spacing w:before="0" w:after="60" w:line="276" w:lineRule="auto"/>
        <w:ind w:left="360"/>
      </w:pPr>
      <w:r>
        <w:rPr>
          <w:rFonts w:ascii="Arial" w:hAnsi="Arial"/>
          <w:color w:val="222222"/>
          <w:sz w:val="20"/>
        </w:rPr>
        <w:t>State</w:t>
      </w:r>
    </w:p>
    <w:p>
      <w:pPr>
        <w:pStyle w:val="ListBullet"/>
        <w:spacing w:before="0" w:after="60" w:line="276" w:lineRule="auto"/>
        <w:ind w:left="360"/>
      </w:pPr>
      <w:r>
        <w:rPr>
          <w:rFonts w:ascii="Arial" w:hAnsi="Arial"/>
          <w:color w:val="222222"/>
          <w:sz w:val="20"/>
        </w:rPr>
        <w:t>City</w:t>
      </w:r>
    </w:p>
    <w:p>
      <w:pPr>
        <w:pStyle w:val="ListBullet"/>
        <w:spacing w:before="0" w:after="60" w:line="276" w:lineRule="auto"/>
        <w:ind w:left="360"/>
      </w:pPr>
      <w:r>
        <w:rPr>
          <w:rFonts w:ascii="Arial" w:hAnsi="Arial"/>
          <w:color w:val="222222"/>
          <w:sz w:val="20"/>
        </w:rPr>
        <w:t>Postal Code</w:t>
      </w:r>
    </w:p>
    <w:p>
      <w:pPr>
        <w:pStyle w:val="ListBullet"/>
        <w:spacing w:before="0" w:after="60" w:line="276" w:lineRule="auto"/>
        <w:ind w:left="360"/>
      </w:pPr>
      <w:r>
        <w:rPr>
          <w:rFonts w:ascii="Arial" w:hAnsi="Arial"/>
          <w:color w:val="222222"/>
          <w:sz w:val="20"/>
        </w:rPr>
        <w:t>Region</w:t>
      </w:r>
    </w:p>
    <w:p>
      <w:pPr>
        <w:spacing w:before="0" w:after="100" w:line="276" w:lineRule="auto"/>
      </w:pPr>
      <w:r>
        <w:rPr>
          <w:rFonts w:ascii="Arial" w:hAnsi="Arial"/>
          <w:color w:val="222222"/>
          <w:sz w:val="20"/>
        </w:rPr>
        <w:t>The analysis focuses primarily on four major regions:</w:t>
      </w:r>
    </w:p>
    <w:p>
      <w:pPr>
        <w:pStyle w:val="ListBullet"/>
        <w:spacing w:before="0" w:after="60" w:line="276" w:lineRule="auto"/>
        <w:ind w:left="360"/>
      </w:pPr>
      <w:r>
        <w:rPr>
          <w:rFonts w:ascii="Arial" w:hAnsi="Arial"/>
          <w:color w:val="222222"/>
          <w:sz w:val="20"/>
        </w:rPr>
        <w:t>West</w:t>
      </w:r>
    </w:p>
    <w:p>
      <w:pPr>
        <w:pStyle w:val="ListBullet"/>
        <w:spacing w:before="0" w:after="60" w:line="276" w:lineRule="auto"/>
        <w:ind w:left="360"/>
      </w:pPr>
      <w:r>
        <w:rPr>
          <w:rFonts w:ascii="Arial" w:hAnsi="Arial"/>
          <w:color w:val="222222"/>
          <w:sz w:val="20"/>
        </w:rPr>
        <w:t>East</w:t>
      </w:r>
    </w:p>
    <w:p>
      <w:pPr>
        <w:pStyle w:val="ListBullet"/>
        <w:spacing w:before="0" w:after="60" w:line="276" w:lineRule="auto"/>
        <w:ind w:left="360"/>
      </w:pPr>
      <w:r>
        <w:rPr>
          <w:rFonts w:ascii="Arial" w:hAnsi="Arial"/>
          <w:color w:val="222222"/>
          <w:sz w:val="20"/>
        </w:rPr>
        <w:t>South</w:t>
      </w:r>
    </w:p>
    <w:p>
      <w:pPr>
        <w:pStyle w:val="ListBullet"/>
        <w:spacing w:before="0" w:after="60" w:line="276" w:lineRule="auto"/>
        <w:ind w:left="360"/>
      </w:pPr>
      <w:r>
        <w:rPr>
          <w:rFonts w:ascii="Arial" w:hAnsi="Arial"/>
          <w:color w:val="222222"/>
          <w:sz w:val="20"/>
        </w:rPr>
        <w:t>Central</w:t>
      </w:r>
    </w:p>
    <w:p>
      <w:pPr>
        <w:keepNext/>
        <w:spacing w:before="240" w:after="80"/>
      </w:pPr>
      <w:r>
        <w:rPr>
          <w:rFonts w:ascii="Arial" w:hAnsi="Arial"/>
          <w:b/>
          <w:color w:val="4A777A"/>
          <w:sz w:val="23"/>
        </w:rPr>
        <w:t>5.4 Product and Financial Information</w:t>
      </w:r>
    </w:p>
    <w:p>
      <w:pPr>
        <w:spacing w:before="0" w:after="100" w:line="276" w:lineRule="auto"/>
      </w:pPr>
      <w:r>
        <w:rPr>
          <w:rFonts w:ascii="Arial" w:hAnsi="Arial"/>
          <w:color w:val="222222"/>
          <w:sz w:val="20"/>
        </w:rPr>
        <w:t>Product and financial variables include:</w:t>
      </w:r>
    </w:p>
    <w:p>
      <w:pPr>
        <w:pStyle w:val="ListBullet"/>
        <w:spacing w:before="0" w:after="60" w:line="276" w:lineRule="auto"/>
        <w:ind w:left="360"/>
      </w:pPr>
      <w:r>
        <w:rPr>
          <w:rFonts w:ascii="Arial" w:hAnsi="Arial"/>
          <w:color w:val="222222"/>
          <w:sz w:val="20"/>
        </w:rPr>
        <w:t>Product ID</w:t>
      </w:r>
    </w:p>
    <w:p>
      <w:pPr>
        <w:pStyle w:val="ListBullet"/>
        <w:spacing w:before="0" w:after="60" w:line="276" w:lineRule="auto"/>
        <w:ind w:left="360"/>
      </w:pPr>
      <w:r>
        <w:rPr>
          <w:rFonts w:ascii="Arial" w:hAnsi="Arial"/>
          <w:color w:val="222222"/>
          <w:sz w:val="20"/>
        </w:rPr>
        <w:t>Category</w:t>
      </w:r>
    </w:p>
    <w:p>
      <w:pPr>
        <w:pStyle w:val="ListBullet"/>
        <w:spacing w:before="0" w:after="60" w:line="276" w:lineRule="auto"/>
        <w:ind w:left="360"/>
      </w:pPr>
      <w:r>
        <w:rPr>
          <w:rFonts w:ascii="Arial" w:hAnsi="Arial"/>
          <w:color w:val="222222"/>
          <w:sz w:val="20"/>
        </w:rPr>
        <w:t>Sub-Category</w:t>
      </w:r>
    </w:p>
    <w:p>
      <w:pPr>
        <w:pStyle w:val="ListBullet"/>
        <w:spacing w:before="0" w:after="60" w:line="276" w:lineRule="auto"/>
        <w:ind w:left="360"/>
      </w:pPr>
      <w:r>
        <w:rPr>
          <w:rFonts w:ascii="Arial" w:hAnsi="Arial"/>
          <w:color w:val="222222"/>
          <w:sz w:val="20"/>
        </w:rPr>
        <w:t>Product Name</w:t>
      </w:r>
    </w:p>
    <w:p>
      <w:pPr>
        <w:pStyle w:val="ListBullet"/>
        <w:spacing w:before="0" w:after="60" w:line="276" w:lineRule="auto"/>
        <w:ind w:left="360"/>
      </w:pPr>
      <w:r>
        <w:rPr>
          <w:rFonts w:ascii="Arial" w:hAnsi="Arial"/>
          <w:color w:val="222222"/>
          <w:sz w:val="20"/>
        </w:rPr>
        <w:t>Sales</w:t>
      </w:r>
    </w:p>
    <w:p>
      <w:pPr>
        <w:pStyle w:val="ListBullet"/>
        <w:spacing w:before="0" w:after="60" w:line="276" w:lineRule="auto"/>
        <w:ind w:left="360"/>
      </w:pPr>
      <w:r>
        <w:rPr>
          <w:rFonts w:ascii="Arial" w:hAnsi="Arial"/>
          <w:color w:val="222222"/>
          <w:sz w:val="20"/>
        </w:rPr>
        <w:t>Quantity</w:t>
      </w:r>
    </w:p>
    <w:p>
      <w:pPr>
        <w:pStyle w:val="ListBullet"/>
        <w:spacing w:before="0" w:after="60" w:line="276" w:lineRule="auto"/>
        <w:ind w:left="360"/>
      </w:pPr>
      <w:r>
        <w:rPr>
          <w:rFonts w:ascii="Arial" w:hAnsi="Arial"/>
          <w:color w:val="222222"/>
          <w:sz w:val="20"/>
        </w:rPr>
        <w:t>Discount</w:t>
      </w:r>
    </w:p>
    <w:p>
      <w:pPr>
        <w:pStyle w:val="ListBullet"/>
        <w:spacing w:before="0" w:after="60" w:line="276" w:lineRule="auto"/>
        <w:ind w:left="360"/>
      </w:pPr>
      <w:r>
        <w:rPr>
          <w:rFonts w:ascii="Arial" w:hAnsi="Arial"/>
          <w:color w:val="222222"/>
          <w:sz w:val="20"/>
        </w:rPr>
        <w:t>Profit</w:t>
      </w:r>
    </w:p>
    <w:p>
      <w:pPr>
        <w:spacing w:before="0" w:after="100" w:line="276" w:lineRule="auto"/>
      </w:pPr>
      <w:r>
        <w:rPr>
          <w:rFonts w:ascii="Arial" w:hAnsi="Arial"/>
          <w:color w:val="222222"/>
          <w:sz w:val="20"/>
        </w:rPr>
        <w:t>These variables form the foundation of the profitability analysis.</w:t>
      </w:r>
    </w:p>
    <w:p>
      <w:pPr>
        <w:keepNext/>
        <w:spacing w:before="360" w:after="120"/>
      </w:pPr>
      <w:r>
        <w:rPr>
          <w:rFonts w:ascii="Arial" w:hAnsi="Arial"/>
          <w:b/>
          <w:color w:val="1B365D"/>
          <w:sz w:val="28"/>
        </w:rPr>
        <w:t>6. Data Preparation and Cleaning</w:t>
      </w:r>
    </w:p>
    <w:p>
      <w:pPr>
        <w:spacing w:before="0" w:after="100" w:line="276" w:lineRule="auto"/>
      </w:pPr>
      <w:r>
        <w:rPr>
          <w:rFonts w:ascii="Arial" w:hAnsi="Arial"/>
          <w:color w:val="222222"/>
          <w:sz w:val="20"/>
        </w:rPr>
        <w:t>The project used two versions of the dataset:</w:t>
      </w:r>
    </w:p>
    <w:p>
      <w:pPr>
        <w:pStyle w:val="ListBullet"/>
        <w:spacing w:before="0" w:after="60" w:line="276" w:lineRule="auto"/>
        <w:ind w:left="360"/>
      </w:pPr>
      <w:r>
        <w:rPr>
          <w:rFonts w:ascii="Arial" w:hAnsi="Arial"/>
          <w:color w:val="222222"/>
          <w:sz w:val="20"/>
        </w:rPr>
        <w:t>Sample-Superstore-csv.csv</w:t>
      </w:r>
    </w:p>
    <w:p>
      <w:pPr>
        <w:pStyle w:val="ListBullet"/>
        <w:spacing w:before="0" w:after="60" w:line="276" w:lineRule="auto"/>
        <w:ind w:left="360"/>
      </w:pPr>
      <w:r>
        <w:rPr>
          <w:rFonts w:ascii="Arial" w:hAnsi="Arial"/>
          <w:color w:val="222222"/>
          <w:sz w:val="20"/>
        </w:rPr>
        <w:t>Superstore_Cleaned.csv</w:t>
      </w:r>
    </w:p>
    <w:p>
      <w:pPr>
        <w:spacing w:before="0" w:after="100" w:line="276" w:lineRule="auto"/>
      </w:pPr>
      <w:r>
        <w:rPr>
          <w:rFonts w:ascii="Arial" w:hAnsi="Arial"/>
          <w:color w:val="222222"/>
          <w:sz w:val="20"/>
        </w:rPr>
        <w:t>The original dataset was retained as the source dataset, while the cleaned dataset was prepared for analytical and dashboard use.</w:t>
      </w:r>
    </w:p>
    <w:p>
      <w:pPr>
        <w:spacing w:before="0" w:after="100" w:line="276" w:lineRule="auto"/>
      </w:pPr>
      <w:r>
        <w:rPr>
          <w:rFonts w:ascii="Arial" w:hAnsi="Arial"/>
          <w:color w:val="222222"/>
          <w:sz w:val="20"/>
        </w:rPr>
        <w:t>The data preparation process focused on ensuring that the dataset was suitable for Business Intelligence analysis.</w:t>
      </w:r>
    </w:p>
    <w:p>
      <w:pPr>
        <w:spacing w:before="0" w:after="100" w:line="276" w:lineRule="auto"/>
      </w:pPr>
      <w:r>
        <w:rPr>
          <w:rFonts w:ascii="Arial" w:hAnsi="Arial"/>
          <w:color w:val="222222"/>
          <w:sz w:val="20"/>
        </w:rPr>
        <w:t>The preparation workflow included:</w:t>
      </w:r>
    </w:p>
    <w:p>
      <w:pPr>
        <w:pStyle w:val="ListBullet"/>
        <w:spacing w:before="0" w:after="60" w:line="276" w:lineRule="auto"/>
        <w:ind w:left="360"/>
      </w:pPr>
      <w:r>
        <w:rPr>
          <w:rFonts w:ascii="Arial" w:hAnsi="Arial"/>
          <w:color w:val="222222"/>
          <w:sz w:val="20"/>
        </w:rPr>
        <w:t>Reviewing the source dataset structure.</w:t>
      </w:r>
    </w:p>
    <w:p>
      <w:pPr>
        <w:pStyle w:val="ListBullet"/>
        <w:spacing w:before="0" w:after="60" w:line="276" w:lineRule="auto"/>
        <w:ind w:left="360"/>
      </w:pPr>
      <w:r>
        <w:rPr>
          <w:rFonts w:ascii="Arial" w:hAnsi="Arial"/>
          <w:color w:val="222222"/>
          <w:sz w:val="20"/>
        </w:rPr>
        <w:t>Examining variable names and data types.</w:t>
      </w:r>
    </w:p>
    <w:p>
      <w:pPr>
        <w:pStyle w:val="ListBullet"/>
        <w:spacing w:before="0" w:after="60" w:line="276" w:lineRule="auto"/>
        <w:ind w:left="360"/>
      </w:pPr>
      <w:r>
        <w:rPr>
          <w:rFonts w:ascii="Arial" w:hAnsi="Arial"/>
          <w:color w:val="222222"/>
          <w:sz w:val="20"/>
        </w:rPr>
        <w:t>Checking the consistency of sales, profit, discount, and quantity fields.</w:t>
      </w:r>
    </w:p>
    <w:p>
      <w:pPr>
        <w:pStyle w:val="ListBullet"/>
        <w:spacing w:before="0" w:after="60" w:line="276" w:lineRule="auto"/>
        <w:ind w:left="360"/>
      </w:pPr>
      <w:r>
        <w:rPr>
          <w:rFonts w:ascii="Arial" w:hAnsi="Arial"/>
          <w:color w:val="222222"/>
          <w:sz w:val="20"/>
        </w:rPr>
        <w:t>Reviewing geographic and categorical fields.</w:t>
      </w:r>
    </w:p>
    <w:p>
      <w:pPr>
        <w:pStyle w:val="ListBullet"/>
        <w:spacing w:before="0" w:after="60" w:line="276" w:lineRule="auto"/>
        <w:ind w:left="360"/>
      </w:pPr>
      <w:r>
        <w:rPr>
          <w:rFonts w:ascii="Arial" w:hAnsi="Arial"/>
          <w:color w:val="222222"/>
          <w:sz w:val="20"/>
        </w:rPr>
        <w:t>Preparing the dataset for dashboard integration.</w:t>
      </w:r>
    </w:p>
    <w:p>
      <w:pPr>
        <w:pStyle w:val="ListBullet"/>
        <w:spacing w:before="0" w:after="60" w:line="276" w:lineRule="auto"/>
        <w:ind w:left="360"/>
      </w:pPr>
      <w:r>
        <w:rPr>
          <w:rFonts w:ascii="Arial" w:hAnsi="Arial"/>
          <w:color w:val="222222"/>
          <w:sz w:val="20"/>
        </w:rPr>
        <w:t>Creating a cleaned version for analytical use.</w:t>
      </w:r>
    </w:p>
    <w:p>
      <w:pPr>
        <w:pStyle w:val="ListBullet"/>
        <w:spacing w:before="0" w:after="60" w:line="276" w:lineRule="auto"/>
        <w:ind w:left="360"/>
      </w:pPr>
      <w:r>
        <w:rPr>
          <w:rFonts w:ascii="Arial" w:hAnsi="Arial"/>
          <w:color w:val="222222"/>
          <w:sz w:val="20"/>
        </w:rPr>
        <w:t>Connecting the prepared data to Google Looker Studio.</w:t>
      </w:r>
    </w:p>
    <w:p>
      <w:pPr>
        <w:spacing w:before="0" w:after="100" w:line="276" w:lineRule="auto"/>
      </w:pPr>
      <w:r>
        <w:rPr>
          <w:rFonts w:ascii="Arial" w:hAnsi="Arial"/>
          <w:color w:val="222222"/>
          <w:sz w:val="20"/>
        </w:rPr>
        <w:t>The cleaned dataset was then used as the primary analytical source for the dashboard.</w:t>
      </w:r>
    </w:p>
    <w:p>
      <w:pPr>
        <w:keepNext/>
        <w:spacing w:before="360" w:after="120"/>
      </w:pPr>
      <w:r>
        <w:rPr>
          <w:rFonts w:ascii="Arial" w:hAnsi="Arial"/>
          <w:b/>
          <w:color w:val="1B365D"/>
          <w:sz w:val="28"/>
        </w:rPr>
        <w:t>7. Key Performance Indicators</w:t>
      </w:r>
    </w:p>
    <w:p>
      <w:pPr>
        <w:spacing w:before="0" w:after="100" w:line="276" w:lineRule="auto"/>
      </w:pPr>
      <w:r>
        <w:rPr>
          <w:rFonts w:ascii="Arial" w:hAnsi="Arial"/>
          <w:color w:val="222222"/>
          <w:sz w:val="20"/>
        </w:rPr>
        <w:t>The analysis produced several high-level business KPIs.</w:t>
      </w:r>
    </w:p>
    <w:p>
      <w:pPr>
        <w:pStyle w:val="ListBullet"/>
        <w:spacing w:before="0" w:after="60" w:line="276" w:lineRule="auto"/>
        <w:ind w:left="360"/>
      </w:pPr>
      <w:r>
        <w:rPr>
          <w:rFonts w:ascii="Arial" w:hAnsi="Arial"/>
          <w:b/>
          <w:color w:val="222222"/>
          <w:sz w:val="20"/>
        </w:rPr>
        <w:t xml:space="preserve">Total Sales: </w:t>
      </w:r>
      <w:r>
        <w:rPr>
          <w:rFonts w:ascii="Arial" w:hAnsi="Arial"/>
          <w:color w:val="222222"/>
          <w:sz w:val="20"/>
        </w:rPr>
        <w:t>$2,297,200.86 — This represents the total revenue generated across all recorded transactions.</w:t>
      </w:r>
    </w:p>
    <w:p>
      <w:pPr>
        <w:pStyle w:val="ListBullet"/>
        <w:spacing w:before="0" w:after="60" w:line="276" w:lineRule="auto"/>
        <w:ind w:left="360"/>
      </w:pPr>
      <w:r>
        <w:rPr>
          <w:rFonts w:ascii="Arial" w:hAnsi="Arial"/>
          <w:b/>
          <w:color w:val="222222"/>
          <w:sz w:val="20"/>
        </w:rPr>
        <w:t xml:space="preserve">Total Profit: </w:t>
      </w:r>
      <w:r>
        <w:rPr>
          <w:rFonts w:ascii="Arial" w:hAnsi="Arial"/>
          <w:color w:val="222222"/>
          <w:sz w:val="20"/>
        </w:rPr>
        <w:t>$286,397.02 — This represents the aggregate profit generated after accounting for the financial impact of discounts and other transaction-level factors captured in the dataset.</w:t>
      </w:r>
    </w:p>
    <w:p>
      <w:pPr>
        <w:pStyle w:val="ListBullet"/>
        <w:spacing w:before="0" w:after="60" w:line="276" w:lineRule="auto"/>
        <w:ind w:left="360"/>
      </w:pPr>
      <w:r>
        <w:rPr>
          <w:rFonts w:ascii="Arial" w:hAnsi="Arial"/>
          <w:b/>
          <w:color w:val="222222"/>
          <w:sz w:val="20"/>
        </w:rPr>
        <w:t xml:space="preserve">Overall Profit Margin: </w:t>
      </w:r>
      <w:r>
        <w:rPr>
          <w:rFonts w:ascii="Arial" w:hAnsi="Arial"/>
          <w:color w:val="222222"/>
          <w:sz w:val="20"/>
        </w:rPr>
        <w:t>12.47% — The overall margin indicates that approximately 12.47% of sales translated into profit.</w:t>
      </w:r>
    </w:p>
    <w:p>
      <w:pPr>
        <w:pStyle w:val="ListBullet"/>
        <w:spacing w:before="0" w:after="60" w:line="276" w:lineRule="auto"/>
        <w:ind w:left="360"/>
      </w:pPr>
      <w:r>
        <w:rPr>
          <w:rFonts w:ascii="Arial" w:hAnsi="Arial"/>
          <w:b/>
          <w:color w:val="222222"/>
          <w:sz w:val="20"/>
        </w:rPr>
        <w:t xml:space="preserve">Total Quantity Sold: </w:t>
      </w:r>
      <w:r>
        <w:rPr>
          <w:rFonts w:ascii="Arial" w:hAnsi="Arial"/>
          <w:color w:val="222222"/>
          <w:sz w:val="20"/>
        </w:rPr>
        <w:t>37,873 units — This represents the total number of units sold across the dataset.</w:t>
      </w:r>
    </w:p>
    <w:p>
      <w:pPr>
        <w:pStyle w:val="ListBullet"/>
        <w:spacing w:before="0" w:after="60" w:line="276" w:lineRule="auto"/>
        <w:ind w:left="360"/>
      </w:pPr>
      <w:r>
        <w:rPr>
          <w:rFonts w:ascii="Arial" w:hAnsi="Arial"/>
          <w:b/>
          <w:color w:val="222222"/>
          <w:sz w:val="20"/>
        </w:rPr>
        <w:t xml:space="preserve">Average Discount: </w:t>
      </w:r>
      <w:r>
        <w:rPr>
          <w:rFonts w:ascii="Arial" w:hAnsi="Arial"/>
          <w:color w:val="222222"/>
          <w:sz w:val="20"/>
        </w:rPr>
        <w:t>15.62% — The average discount applied across the analyzed transaction records was approximately 15.62%.</w:t>
      </w:r>
    </w:p>
    <w:p>
      <w:pPr>
        <w:spacing w:before="0" w:after="100" w:line="276" w:lineRule="auto"/>
      </w:pPr>
      <w:r>
        <w:rPr>
          <w:rFonts w:ascii="Arial" w:hAnsi="Arial"/>
          <w:color w:val="222222"/>
          <w:sz w:val="20"/>
        </w:rPr>
        <w:t>These KPIs provide the executive-level foundation for the dashboard.</w:t>
      </w:r>
    </w:p>
    <w:p>
      <w:pPr>
        <w:keepNext/>
        <w:spacing w:before="360" w:after="120"/>
      </w:pPr>
      <w:r>
        <w:rPr>
          <w:rFonts w:ascii="Arial" w:hAnsi="Arial"/>
          <w:b/>
          <w:color w:val="1B365D"/>
          <w:sz w:val="28"/>
        </w:rPr>
        <w:t>8. Product Category Performance</w:t>
      </w:r>
    </w:p>
    <w:p>
      <w:pPr>
        <w:spacing w:before="0" w:after="100" w:line="276" w:lineRule="auto"/>
      </w:pPr>
      <w:r>
        <w:rPr>
          <w:rFonts w:ascii="Arial" w:hAnsi="Arial"/>
          <w:color w:val="222222"/>
          <w:sz w:val="20"/>
        </w:rPr>
        <w:t>The analysis identified significant differences in profitability between product categories.</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CCCCCC"/>
          <w:insideV w:val="none"/>
        </w:tblBorders>
      </w:tblPr>
      <w:tblGrid>
        <w:gridCol w:w="2340"/>
        <w:gridCol w:w="2340"/>
        <w:gridCol w:w="2340"/>
        <w:gridCol w:w="2340"/>
      </w:tblGrid>
      <w:tr>
        <w:trPr>
          <w:cantSplit/>
          <w:tblHeader/>
        </w:trPr>
        <w:tc>
          <w:tcPr>
            <w:tcW w:type="dxa" w:w="2880"/>
            <w:shd w:fill="1B365D"/>
            <w:tcMar>
              <w:top w:w="140" w:type="dxa"/>
              <w:bottom w:w="140" w:type="dxa"/>
              <w:left w:w="150" w:type="dxa"/>
              <w:right w:w="150" w:type="dxa"/>
            </w:tcMar>
          </w:tcPr>
          <w:p>
            <w:pPr>
              <w:spacing w:before="0" w:after="0"/>
            </w:pPr>
            <w:r>
              <w:rPr>
                <w:rFonts w:ascii="Arial" w:hAnsi="Arial"/>
                <w:b/>
                <w:color w:val="FFFFFF"/>
                <w:sz w:val="19"/>
              </w:rPr>
              <w:t>Category</w:t>
            </w:r>
          </w:p>
        </w:tc>
        <w:tc>
          <w:tcPr>
            <w:tcW w:type="dxa" w:w="2160"/>
            <w:shd w:fill="1B365D"/>
            <w:tcMar>
              <w:top w:w="140" w:type="dxa"/>
              <w:bottom w:w="140" w:type="dxa"/>
              <w:left w:w="150" w:type="dxa"/>
              <w:right w:w="150" w:type="dxa"/>
            </w:tcMar>
          </w:tcPr>
          <w:p>
            <w:pPr>
              <w:spacing w:before="0" w:after="0"/>
            </w:pPr>
            <w:r>
              <w:rPr>
                <w:rFonts w:ascii="Arial" w:hAnsi="Arial"/>
                <w:b/>
                <w:color w:val="FFFFFF"/>
                <w:sz w:val="19"/>
              </w:rPr>
              <w:t>Sales</w:t>
            </w:r>
          </w:p>
        </w:tc>
        <w:tc>
          <w:tcPr>
            <w:tcW w:type="dxa" w:w="2160"/>
            <w:shd w:fill="1B365D"/>
            <w:tcMar>
              <w:top w:w="140" w:type="dxa"/>
              <w:bottom w:w="140" w:type="dxa"/>
              <w:left w:w="150" w:type="dxa"/>
              <w:right w:w="150" w:type="dxa"/>
            </w:tcMar>
          </w:tcPr>
          <w:p>
            <w:pPr>
              <w:spacing w:before="0" w:after="0"/>
            </w:pPr>
            <w:r>
              <w:rPr>
                <w:rFonts w:ascii="Arial" w:hAnsi="Arial"/>
                <w:b/>
                <w:color w:val="FFFFFF"/>
                <w:sz w:val="19"/>
              </w:rPr>
              <w:t>Profit</w:t>
            </w:r>
          </w:p>
        </w:tc>
        <w:tc>
          <w:tcPr>
            <w:tcW w:type="dxa" w:w="2160"/>
            <w:shd w:fill="1B365D"/>
            <w:tcMar>
              <w:top w:w="140" w:type="dxa"/>
              <w:bottom w:w="140" w:type="dxa"/>
              <w:left w:w="150" w:type="dxa"/>
              <w:right w:w="150" w:type="dxa"/>
            </w:tcMar>
          </w:tcPr>
          <w:p>
            <w:pPr>
              <w:spacing w:before="0" w:after="0"/>
            </w:pPr>
            <w:r>
              <w:rPr>
                <w:rFonts w:ascii="Arial" w:hAnsi="Arial"/>
                <w:b/>
                <w:color w:val="FFFFFF"/>
                <w:sz w:val="19"/>
              </w:rPr>
              <w:t>Profit Margin</w:t>
            </w:r>
          </w:p>
        </w:tc>
      </w:tr>
      <w:tr>
        <w:trPr>
          <w:cantSplit/>
        </w:trPr>
        <w:tc>
          <w:tcPr>
            <w:tcW w:type="dxa" w:w="2880"/>
            <w:shd w:fill="F4F6F8"/>
            <w:tcMar>
              <w:top w:w="100" w:type="dxa"/>
              <w:bottom w:w="100" w:type="dxa"/>
              <w:left w:w="150" w:type="dxa"/>
              <w:right w:w="150" w:type="dxa"/>
            </w:tcMar>
          </w:tcPr>
          <w:p>
            <w:pPr>
              <w:spacing w:before="0" w:after="0"/>
            </w:pPr>
            <w:r>
              <w:rPr>
                <w:rFonts w:ascii="Arial" w:hAnsi="Arial"/>
                <w:color w:val="222222"/>
                <w:sz w:val="19"/>
              </w:rPr>
              <w:t>Technology</w:t>
            </w:r>
          </w:p>
        </w:tc>
        <w:tc>
          <w:tcPr>
            <w:tcW w:type="dxa" w:w="2160"/>
            <w:shd w:fill="F4F6F8"/>
            <w:tcMar>
              <w:top w:w="100" w:type="dxa"/>
              <w:bottom w:w="100" w:type="dxa"/>
              <w:left w:w="150" w:type="dxa"/>
              <w:right w:w="150" w:type="dxa"/>
            </w:tcMar>
          </w:tcPr>
          <w:p>
            <w:pPr>
              <w:spacing w:before="0" w:after="0"/>
            </w:pPr>
            <w:r>
              <w:rPr>
                <w:rFonts w:ascii="Arial" w:hAnsi="Arial"/>
                <w:color w:val="222222"/>
                <w:sz w:val="19"/>
              </w:rPr>
              <w:t>$836,154.03</w:t>
            </w:r>
          </w:p>
        </w:tc>
        <w:tc>
          <w:tcPr>
            <w:tcW w:type="dxa" w:w="2160"/>
            <w:shd w:fill="F4F6F8"/>
            <w:tcMar>
              <w:top w:w="100" w:type="dxa"/>
              <w:bottom w:w="100" w:type="dxa"/>
              <w:left w:w="150" w:type="dxa"/>
              <w:right w:w="150" w:type="dxa"/>
            </w:tcMar>
          </w:tcPr>
          <w:p>
            <w:pPr>
              <w:spacing w:before="0" w:after="0"/>
            </w:pPr>
            <w:r>
              <w:rPr>
                <w:rFonts w:ascii="Arial" w:hAnsi="Arial"/>
                <w:color w:val="222222"/>
                <w:sz w:val="19"/>
              </w:rPr>
              <w:t>$145,454.95</w:t>
            </w:r>
          </w:p>
        </w:tc>
        <w:tc>
          <w:tcPr>
            <w:tcW w:type="dxa" w:w="2160"/>
            <w:shd w:fill="F4F6F8"/>
            <w:tcMar>
              <w:top w:w="100" w:type="dxa"/>
              <w:bottom w:w="100" w:type="dxa"/>
              <w:left w:w="150" w:type="dxa"/>
              <w:right w:w="150" w:type="dxa"/>
            </w:tcMar>
          </w:tcPr>
          <w:p>
            <w:pPr>
              <w:spacing w:before="0" w:after="0"/>
            </w:pPr>
            <w:r>
              <w:rPr>
                <w:rFonts w:ascii="Arial" w:hAnsi="Arial"/>
                <w:color w:val="222222"/>
                <w:sz w:val="19"/>
              </w:rPr>
              <w:t>17.40%</w:t>
            </w:r>
          </w:p>
        </w:tc>
      </w:tr>
      <w:tr>
        <w:trPr>
          <w:cantSplit/>
        </w:trPr>
        <w:tc>
          <w:tcPr>
            <w:tcW w:type="dxa" w:w="2880"/>
            <w:shd w:fill="FFFFFF"/>
            <w:tcMar>
              <w:top w:w="100" w:type="dxa"/>
              <w:bottom w:w="100" w:type="dxa"/>
              <w:left w:w="150" w:type="dxa"/>
              <w:right w:w="150" w:type="dxa"/>
            </w:tcMar>
          </w:tcPr>
          <w:p>
            <w:pPr>
              <w:spacing w:before="0" w:after="0"/>
            </w:pPr>
            <w:r>
              <w:rPr>
                <w:rFonts w:ascii="Arial" w:hAnsi="Arial"/>
                <w:color w:val="222222"/>
                <w:sz w:val="19"/>
              </w:rPr>
              <w:t>Office Supplies</w:t>
            </w:r>
          </w:p>
        </w:tc>
        <w:tc>
          <w:tcPr>
            <w:tcW w:type="dxa" w:w="2160"/>
            <w:shd w:fill="FFFFFF"/>
            <w:tcMar>
              <w:top w:w="100" w:type="dxa"/>
              <w:bottom w:w="100" w:type="dxa"/>
              <w:left w:w="150" w:type="dxa"/>
              <w:right w:w="150" w:type="dxa"/>
            </w:tcMar>
          </w:tcPr>
          <w:p>
            <w:pPr>
              <w:spacing w:before="0" w:after="0"/>
            </w:pPr>
            <w:r>
              <w:rPr>
                <w:rFonts w:ascii="Arial" w:hAnsi="Arial"/>
                <w:color w:val="222222"/>
                <w:sz w:val="19"/>
              </w:rPr>
              <w:t>$719,047.03</w:t>
            </w:r>
          </w:p>
        </w:tc>
        <w:tc>
          <w:tcPr>
            <w:tcW w:type="dxa" w:w="2160"/>
            <w:shd w:fill="FFFFFF"/>
            <w:tcMar>
              <w:top w:w="100" w:type="dxa"/>
              <w:bottom w:w="100" w:type="dxa"/>
              <w:left w:w="150" w:type="dxa"/>
              <w:right w:w="150" w:type="dxa"/>
            </w:tcMar>
          </w:tcPr>
          <w:p>
            <w:pPr>
              <w:spacing w:before="0" w:after="0"/>
            </w:pPr>
            <w:r>
              <w:rPr>
                <w:rFonts w:ascii="Arial" w:hAnsi="Arial"/>
                <w:color w:val="222222"/>
                <w:sz w:val="19"/>
              </w:rPr>
              <w:t>$122,490.80</w:t>
            </w:r>
          </w:p>
        </w:tc>
        <w:tc>
          <w:tcPr>
            <w:tcW w:type="dxa" w:w="2160"/>
            <w:shd w:fill="FFFFFF"/>
            <w:tcMar>
              <w:top w:w="100" w:type="dxa"/>
              <w:bottom w:w="100" w:type="dxa"/>
              <w:left w:w="150" w:type="dxa"/>
              <w:right w:w="150" w:type="dxa"/>
            </w:tcMar>
          </w:tcPr>
          <w:p>
            <w:pPr>
              <w:spacing w:before="0" w:after="0"/>
            </w:pPr>
            <w:r>
              <w:rPr>
                <w:rFonts w:ascii="Arial" w:hAnsi="Arial"/>
                <w:color w:val="222222"/>
                <w:sz w:val="19"/>
              </w:rPr>
              <w:t>17.04%</w:t>
            </w:r>
          </w:p>
        </w:tc>
      </w:tr>
      <w:tr>
        <w:trPr>
          <w:cantSplit/>
        </w:trPr>
        <w:tc>
          <w:tcPr>
            <w:tcW w:type="dxa" w:w="2880"/>
            <w:shd w:fill="F4F6F8"/>
            <w:tcMar>
              <w:top w:w="100" w:type="dxa"/>
              <w:bottom w:w="100" w:type="dxa"/>
              <w:left w:w="150" w:type="dxa"/>
              <w:right w:w="150" w:type="dxa"/>
            </w:tcMar>
          </w:tcPr>
          <w:p>
            <w:pPr>
              <w:spacing w:before="0" w:after="0"/>
            </w:pPr>
            <w:r>
              <w:rPr>
                <w:rFonts w:ascii="Arial" w:hAnsi="Arial"/>
                <w:color w:val="222222"/>
                <w:sz w:val="19"/>
              </w:rPr>
              <w:t>Furniture</w:t>
            </w:r>
          </w:p>
        </w:tc>
        <w:tc>
          <w:tcPr>
            <w:tcW w:type="dxa" w:w="2160"/>
            <w:shd w:fill="F4F6F8"/>
            <w:tcMar>
              <w:top w:w="100" w:type="dxa"/>
              <w:bottom w:w="100" w:type="dxa"/>
              <w:left w:w="150" w:type="dxa"/>
              <w:right w:w="150" w:type="dxa"/>
            </w:tcMar>
          </w:tcPr>
          <w:p>
            <w:pPr>
              <w:spacing w:before="0" w:after="0"/>
            </w:pPr>
            <w:r>
              <w:rPr>
                <w:rFonts w:ascii="Arial" w:hAnsi="Arial"/>
                <w:color w:val="222222"/>
                <w:sz w:val="19"/>
              </w:rPr>
              <w:t>$741,999.80</w:t>
            </w:r>
          </w:p>
        </w:tc>
        <w:tc>
          <w:tcPr>
            <w:tcW w:type="dxa" w:w="2160"/>
            <w:shd w:fill="F4F6F8"/>
            <w:tcMar>
              <w:top w:w="100" w:type="dxa"/>
              <w:bottom w:w="100" w:type="dxa"/>
              <w:left w:w="150" w:type="dxa"/>
              <w:right w:w="150" w:type="dxa"/>
            </w:tcMar>
          </w:tcPr>
          <w:p>
            <w:pPr>
              <w:spacing w:before="0" w:after="0"/>
            </w:pPr>
            <w:r>
              <w:rPr>
                <w:rFonts w:ascii="Arial" w:hAnsi="Arial"/>
                <w:color w:val="222222"/>
                <w:sz w:val="19"/>
              </w:rPr>
              <w:t>$18,451.27</w:t>
            </w:r>
          </w:p>
        </w:tc>
        <w:tc>
          <w:tcPr>
            <w:tcW w:type="dxa" w:w="2160"/>
            <w:shd w:fill="F4F6F8"/>
            <w:tcMar>
              <w:top w:w="100" w:type="dxa"/>
              <w:bottom w:w="100" w:type="dxa"/>
              <w:left w:w="150" w:type="dxa"/>
              <w:right w:w="150" w:type="dxa"/>
            </w:tcMar>
          </w:tcPr>
          <w:p>
            <w:pPr>
              <w:spacing w:before="0" w:after="0"/>
            </w:pPr>
            <w:r>
              <w:rPr>
                <w:rFonts w:ascii="Arial" w:hAnsi="Arial"/>
                <w:color w:val="222222"/>
                <w:sz w:val="19"/>
              </w:rPr>
              <w:t>2.49%</w:t>
            </w:r>
          </w:p>
        </w:tc>
      </w:tr>
    </w:tbl>
    <w:p>
      <w:pPr>
        <w:keepNext/>
        <w:spacing w:before="240" w:after="80"/>
      </w:pPr>
      <w:r>
        <w:rPr>
          <w:rFonts w:ascii="Arial" w:hAnsi="Arial"/>
          <w:b/>
          <w:color w:val="4A777A"/>
          <w:sz w:val="23"/>
        </w:rPr>
        <w:t>8.1 Technology</w:t>
      </w:r>
    </w:p>
    <w:p>
      <w:pPr>
        <w:spacing w:before="0" w:after="100" w:line="276" w:lineRule="auto"/>
      </w:pPr>
      <w:r>
        <w:rPr>
          <w:rFonts w:ascii="Arial" w:hAnsi="Arial"/>
          <w:color w:val="222222"/>
          <w:sz w:val="20"/>
        </w:rPr>
        <w:t>Technology was the strongest overall category. It generated:</w:t>
      </w:r>
    </w:p>
    <w:p>
      <w:pPr>
        <w:pStyle w:val="ListBullet"/>
        <w:spacing w:before="0" w:after="60" w:line="276" w:lineRule="auto"/>
        <w:ind w:left="360"/>
      </w:pPr>
      <w:r>
        <w:rPr>
          <w:rFonts w:ascii="Arial" w:hAnsi="Arial"/>
          <w:color w:val="222222"/>
          <w:sz w:val="20"/>
        </w:rPr>
        <w:t>$836,154.03 in sales</w:t>
      </w:r>
    </w:p>
    <w:p>
      <w:pPr>
        <w:pStyle w:val="ListBullet"/>
        <w:spacing w:before="0" w:after="60" w:line="276" w:lineRule="auto"/>
        <w:ind w:left="360"/>
      </w:pPr>
      <w:r>
        <w:rPr>
          <w:rFonts w:ascii="Arial" w:hAnsi="Arial"/>
          <w:color w:val="222222"/>
          <w:sz w:val="20"/>
        </w:rPr>
        <w:t>$145,454.95 in profit</w:t>
      </w:r>
    </w:p>
    <w:p>
      <w:pPr>
        <w:pStyle w:val="ListBullet"/>
        <w:spacing w:before="0" w:after="60" w:line="276" w:lineRule="auto"/>
        <w:ind w:left="360"/>
      </w:pPr>
      <w:r>
        <w:rPr>
          <w:rFonts w:ascii="Arial" w:hAnsi="Arial"/>
          <w:color w:val="222222"/>
          <w:sz w:val="20"/>
        </w:rPr>
        <w:t>17.40% profit margin</w:t>
      </w:r>
    </w:p>
    <w:p>
      <w:pPr>
        <w:spacing w:before="0" w:after="100" w:line="276" w:lineRule="auto"/>
      </w:pPr>
      <w:r>
        <w:rPr>
          <w:rFonts w:ascii="Arial" w:hAnsi="Arial"/>
          <w:color w:val="222222"/>
          <w:sz w:val="20"/>
        </w:rPr>
        <w:t>Technology therefore represents an important source of profitable revenue.</w:t>
      </w:r>
    </w:p>
    <w:p>
      <w:pPr>
        <w:spacing w:before="0" w:after="100" w:line="276" w:lineRule="auto"/>
      </w:pPr>
      <w:r>
        <w:rPr>
          <w:rFonts w:ascii="Arial" w:hAnsi="Arial"/>
          <w:color w:val="222222"/>
          <w:sz w:val="20"/>
        </w:rPr>
        <w:t>Strong performance was particularly associated with sub-categories such as:</w:t>
      </w:r>
    </w:p>
    <w:p>
      <w:pPr>
        <w:pStyle w:val="ListBullet"/>
        <w:spacing w:before="0" w:after="60" w:line="276" w:lineRule="auto"/>
        <w:ind w:left="360"/>
      </w:pPr>
      <w:r>
        <w:rPr>
          <w:rFonts w:ascii="Arial" w:hAnsi="Arial"/>
          <w:color w:val="222222"/>
          <w:sz w:val="20"/>
        </w:rPr>
        <w:t>Copiers</w:t>
      </w:r>
    </w:p>
    <w:p>
      <w:pPr>
        <w:pStyle w:val="ListBullet"/>
        <w:spacing w:before="0" w:after="60" w:line="276" w:lineRule="auto"/>
        <w:ind w:left="360"/>
      </w:pPr>
      <w:r>
        <w:rPr>
          <w:rFonts w:ascii="Arial" w:hAnsi="Arial"/>
          <w:color w:val="222222"/>
          <w:sz w:val="20"/>
        </w:rPr>
        <w:t>Accessories</w:t>
      </w:r>
    </w:p>
    <w:p>
      <w:pPr>
        <w:pStyle w:val="ListBullet"/>
        <w:spacing w:before="0" w:after="60" w:line="276" w:lineRule="auto"/>
        <w:ind w:left="360"/>
      </w:pPr>
      <w:r>
        <w:rPr>
          <w:rFonts w:ascii="Arial" w:hAnsi="Arial"/>
          <w:color w:val="222222"/>
          <w:sz w:val="20"/>
        </w:rPr>
        <w:t>Phones</w:t>
      </w:r>
    </w:p>
    <w:p>
      <w:pPr>
        <w:spacing w:before="0" w:after="100" w:line="276" w:lineRule="auto"/>
      </w:pPr>
      <w:r>
        <w:rPr>
          <w:rFonts w:ascii="Arial" w:hAnsi="Arial"/>
          <w:color w:val="222222"/>
          <w:sz w:val="20"/>
        </w:rPr>
        <w:t>Copiers demonstrated a particularly strong margin of approximately 37.20%, while Accessories generated a margin of approximately 25.05%.</w:t>
      </w:r>
    </w:p>
    <w:p>
      <w:pPr>
        <w:spacing w:before="0" w:after="100" w:line="276" w:lineRule="auto"/>
      </w:pPr>
      <w:r>
        <w:rPr>
          <w:rFonts w:ascii="Arial" w:hAnsi="Arial"/>
          <w:color w:val="222222"/>
          <w:sz w:val="20"/>
        </w:rPr>
        <w:t>The results indicate that Technology products provide an important combination of sales volume and profitability.</w:t>
      </w:r>
    </w:p>
    <w:p>
      <w:pPr>
        <w:keepNext/>
        <w:spacing w:before="240" w:after="80"/>
      </w:pPr>
      <w:r>
        <w:rPr>
          <w:rFonts w:ascii="Arial" w:hAnsi="Arial"/>
          <w:b/>
          <w:color w:val="4A777A"/>
          <w:sz w:val="23"/>
        </w:rPr>
        <w:t>8.2 Office Supplies</w:t>
      </w:r>
    </w:p>
    <w:p>
      <w:pPr>
        <w:spacing w:before="0" w:after="100" w:line="276" w:lineRule="auto"/>
      </w:pPr>
      <w:r>
        <w:rPr>
          <w:rFonts w:ascii="Arial" w:hAnsi="Arial"/>
          <w:color w:val="222222"/>
          <w:sz w:val="20"/>
        </w:rPr>
        <w:t>Office Supplies generated:</w:t>
      </w:r>
    </w:p>
    <w:p>
      <w:pPr>
        <w:pStyle w:val="ListBullet"/>
        <w:spacing w:before="0" w:after="60" w:line="276" w:lineRule="auto"/>
        <w:ind w:left="360"/>
      </w:pPr>
      <w:r>
        <w:rPr>
          <w:rFonts w:ascii="Arial" w:hAnsi="Arial"/>
          <w:color w:val="222222"/>
          <w:sz w:val="20"/>
        </w:rPr>
        <w:t>$719,047.03 in sales</w:t>
      </w:r>
    </w:p>
    <w:p>
      <w:pPr>
        <w:pStyle w:val="ListBullet"/>
        <w:spacing w:before="0" w:after="60" w:line="276" w:lineRule="auto"/>
        <w:ind w:left="360"/>
      </w:pPr>
      <w:r>
        <w:rPr>
          <w:rFonts w:ascii="Arial" w:hAnsi="Arial"/>
          <w:color w:val="222222"/>
          <w:sz w:val="20"/>
        </w:rPr>
        <w:t>$122,490.80 in profit</w:t>
      </w:r>
    </w:p>
    <w:p>
      <w:pPr>
        <w:pStyle w:val="ListBullet"/>
        <w:spacing w:before="0" w:after="60" w:line="276" w:lineRule="auto"/>
        <w:ind w:left="360"/>
      </w:pPr>
      <w:r>
        <w:rPr>
          <w:rFonts w:ascii="Arial" w:hAnsi="Arial"/>
          <w:color w:val="222222"/>
          <w:sz w:val="20"/>
        </w:rPr>
        <w:t>17.04% profit margin</w:t>
      </w:r>
    </w:p>
    <w:p>
      <w:pPr>
        <w:spacing w:before="0" w:after="100" w:line="276" w:lineRule="auto"/>
      </w:pPr>
      <w:r>
        <w:rPr>
          <w:rFonts w:ascii="Arial" w:hAnsi="Arial"/>
          <w:color w:val="222222"/>
          <w:sz w:val="20"/>
        </w:rPr>
        <w:t>The category also represented a high-volume portion of the business. Approximately 22,906 units were sold across approximately 3,742 orders.</w:t>
      </w:r>
    </w:p>
    <w:p>
      <w:pPr>
        <w:spacing w:before="0" w:after="100" w:line="276" w:lineRule="auto"/>
      </w:pPr>
      <w:r>
        <w:rPr>
          <w:rFonts w:ascii="Arial" w:hAnsi="Arial"/>
          <w:color w:val="222222"/>
          <w:sz w:val="20"/>
        </w:rPr>
        <w:t>Several product groups demonstrated particularly strong margins. For example:</w:t>
      </w:r>
    </w:p>
    <w:p>
      <w:pPr>
        <w:pStyle w:val="ListBullet"/>
        <w:spacing w:before="0" w:after="60" w:line="276" w:lineRule="auto"/>
        <w:ind w:left="360"/>
      </w:pPr>
      <w:r>
        <w:rPr>
          <w:rFonts w:ascii="Arial" w:hAnsi="Arial"/>
          <w:color w:val="222222"/>
          <w:sz w:val="20"/>
        </w:rPr>
        <w:t>Paper: approximately 43.39% margin</w:t>
      </w:r>
    </w:p>
    <w:p>
      <w:pPr>
        <w:pStyle w:val="ListBullet"/>
        <w:spacing w:before="0" w:after="60" w:line="276" w:lineRule="auto"/>
        <w:ind w:left="360"/>
      </w:pPr>
      <w:r>
        <w:rPr>
          <w:rFonts w:ascii="Arial" w:hAnsi="Arial"/>
          <w:color w:val="222222"/>
          <w:sz w:val="20"/>
        </w:rPr>
        <w:t>Labels: approximately 44.42% margin</w:t>
      </w:r>
    </w:p>
    <w:p>
      <w:pPr>
        <w:spacing w:before="0" w:after="100" w:line="276" w:lineRule="auto"/>
      </w:pPr>
      <w:r>
        <w:rPr>
          <w:rFonts w:ascii="Arial" w:hAnsi="Arial"/>
          <w:color w:val="222222"/>
          <w:sz w:val="20"/>
        </w:rPr>
        <w:t>These products demonstrate that high-volume staple products can also provide strong profitability when discounting and pricing are managed effectively.</w:t>
      </w:r>
    </w:p>
    <w:p>
      <w:pPr>
        <w:keepNext/>
        <w:spacing w:before="240" w:after="80"/>
      </w:pPr>
      <w:r>
        <w:rPr>
          <w:rFonts w:ascii="Arial" w:hAnsi="Arial"/>
          <w:b/>
          <w:color w:val="4A777A"/>
          <w:sz w:val="23"/>
        </w:rPr>
        <w:t>8.3 Furniture</w:t>
      </w:r>
    </w:p>
    <w:p>
      <w:pPr>
        <w:spacing w:before="0" w:after="100" w:line="276" w:lineRule="auto"/>
      </w:pPr>
      <w:r>
        <w:rPr>
          <w:rFonts w:ascii="Arial" w:hAnsi="Arial"/>
          <w:color w:val="222222"/>
          <w:sz w:val="20"/>
        </w:rPr>
        <w:t>Furniture represents the most significant category-level profitability concern. The category generated:</w:t>
      </w:r>
    </w:p>
    <w:p>
      <w:pPr>
        <w:pStyle w:val="ListBullet"/>
        <w:spacing w:before="0" w:after="60" w:line="276" w:lineRule="auto"/>
        <w:ind w:left="360"/>
      </w:pPr>
      <w:r>
        <w:rPr>
          <w:rFonts w:ascii="Arial" w:hAnsi="Arial"/>
          <w:color w:val="222222"/>
          <w:sz w:val="20"/>
        </w:rPr>
        <w:t>$741,999.80 in sales</w:t>
      </w:r>
    </w:p>
    <w:p>
      <w:pPr>
        <w:pStyle w:val="ListBullet"/>
        <w:spacing w:before="0" w:after="60" w:line="276" w:lineRule="auto"/>
        <w:ind w:left="360"/>
      </w:pPr>
      <w:r>
        <w:rPr>
          <w:rFonts w:ascii="Arial" w:hAnsi="Arial"/>
          <w:color w:val="222222"/>
          <w:sz w:val="20"/>
        </w:rPr>
        <w:t>$18,451.27 in profit</w:t>
      </w:r>
    </w:p>
    <w:p>
      <w:pPr>
        <w:pStyle w:val="ListBullet"/>
        <w:spacing w:before="0" w:after="60" w:line="276" w:lineRule="auto"/>
        <w:ind w:left="360"/>
      </w:pPr>
      <w:r>
        <w:rPr>
          <w:rFonts w:ascii="Arial" w:hAnsi="Arial"/>
          <w:color w:val="222222"/>
          <w:sz w:val="20"/>
        </w:rPr>
        <w:t>2.49% profit margin</w:t>
      </w:r>
    </w:p>
    <w:p>
      <w:pPr>
        <w:spacing w:before="0" w:after="100" w:line="276" w:lineRule="auto"/>
      </w:pPr>
      <w:r>
        <w:rPr>
          <w:rFonts w:ascii="Arial" w:hAnsi="Arial"/>
          <w:color w:val="222222"/>
          <w:sz w:val="20"/>
        </w:rPr>
        <w:t>This creates a significant contrast with Technology and Office Supplies. Furniture generates a substantial amount of revenue but retains very little profit.</w:t>
      </w:r>
    </w:p>
    <w:p>
      <w:pPr>
        <w:spacing w:before="0" w:after="100" w:line="276" w:lineRule="auto"/>
      </w:pPr>
      <w:r>
        <w:rPr>
          <w:rFonts w:ascii="Arial" w:hAnsi="Arial"/>
          <w:color w:val="222222"/>
          <w:sz w:val="20"/>
        </w:rPr>
        <w:t>The primary concerns appear to be associated with:</w:t>
      </w:r>
    </w:p>
    <w:p>
      <w:pPr>
        <w:pStyle w:val="ListBullet"/>
        <w:spacing w:before="0" w:after="60" w:line="276" w:lineRule="auto"/>
        <w:ind w:left="360"/>
      </w:pPr>
      <w:r>
        <w:rPr>
          <w:rFonts w:ascii="Arial" w:hAnsi="Arial"/>
          <w:color w:val="222222"/>
          <w:sz w:val="20"/>
        </w:rPr>
        <w:t>High discounting</w:t>
      </w:r>
    </w:p>
    <w:p>
      <w:pPr>
        <w:pStyle w:val="ListBullet"/>
        <w:spacing w:before="0" w:after="60" w:line="276" w:lineRule="auto"/>
        <w:ind w:left="360"/>
      </w:pPr>
      <w:r>
        <w:rPr>
          <w:rFonts w:ascii="Arial" w:hAnsi="Arial"/>
          <w:color w:val="222222"/>
          <w:sz w:val="20"/>
        </w:rPr>
        <w:t>Shipping-related costs</w:t>
      </w:r>
    </w:p>
    <w:p>
      <w:pPr>
        <w:pStyle w:val="ListBullet"/>
        <w:spacing w:before="0" w:after="60" w:line="276" w:lineRule="auto"/>
        <w:ind w:left="360"/>
      </w:pPr>
      <w:r>
        <w:rPr>
          <w:rFonts w:ascii="Arial" w:hAnsi="Arial"/>
          <w:color w:val="222222"/>
          <w:sz w:val="20"/>
        </w:rPr>
        <w:t>Loss-making sub-categories</w:t>
      </w:r>
    </w:p>
    <w:p>
      <w:pPr>
        <w:spacing w:before="0" w:after="100" w:line="276" w:lineRule="auto"/>
      </w:pPr>
      <w:r>
        <w:rPr>
          <w:rFonts w:ascii="Arial" w:hAnsi="Arial"/>
          <w:color w:val="222222"/>
          <w:sz w:val="20"/>
        </w:rPr>
        <w:t>Tables generated approximately -$17,725.48 in net profit, while Bookcases generated approximately -$3,472.56.</w:t>
      </w:r>
    </w:p>
    <w:p>
      <w:pPr>
        <w:spacing w:before="0" w:after="100" w:line="276" w:lineRule="auto"/>
      </w:pPr>
      <w:r>
        <w:rPr>
          <w:rFonts w:ascii="Arial" w:hAnsi="Arial"/>
          <w:color w:val="222222"/>
          <w:sz w:val="20"/>
        </w:rPr>
        <w:t>This suggests that Furniture requires closer investigation into pricing strategy, discount policies, shipping costs, and product-level profitability.</w:t>
      </w:r>
    </w:p>
    <w:p>
      <w:pPr>
        <w:keepNext/>
        <w:spacing w:before="360" w:after="120"/>
      </w:pPr>
      <w:r>
        <w:rPr>
          <w:rFonts w:ascii="Arial" w:hAnsi="Arial"/>
          <w:b/>
          <w:color w:val="1B365D"/>
          <w:sz w:val="28"/>
        </w:rPr>
        <w:t>9. Regional Performance Analysis</w:t>
      </w:r>
    </w:p>
    <w:p>
      <w:pPr>
        <w:spacing w:before="0" w:after="100" w:line="276" w:lineRule="auto"/>
      </w:pPr>
      <w:r>
        <w:rPr>
          <w:rFonts w:ascii="Arial" w:hAnsi="Arial"/>
          <w:color w:val="222222"/>
          <w:sz w:val="20"/>
        </w:rPr>
        <w:t>The business operates across four major regions.</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CCCCCC"/>
          <w:insideV w:val="none"/>
        </w:tblBorders>
      </w:tblPr>
      <w:tblGrid>
        <w:gridCol w:w="1872"/>
        <w:gridCol w:w="1872"/>
        <w:gridCol w:w="1872"/>
        <w:gridCol w:w="1872"/>
        <w:gridCol w:w="1872"/>
      </w:tblGrid>
      <w:tr>
        <w:trPr>
          <w:cantSplit/>
          <w:tblHeader/>
        </w:trPr>
        <w:tc>
          <w:tcPr>
            <w:tcW w:type="dxa" w:w="1872"/>
            <w:shd w:fill="1B365D"/>
            <w:tcMar>
              <w:top w:w="140" w:type="dxa"/>
              <w:bottom w:w="140" w:type="dxa"/>
              <w:left w:w="150" w:type="dxa"/>
              <w:right w:w="150" w:type="dxa"/>
            </w:tcMar>
          </w:tcPr>
          <w:p>
            <w:pPr>
              <w:spacing w:before="0" w:after="0"/>
            </w:pPr>
            <w:r>
              <w:rPr>
                <w:rFonts w:ascii="Arial" w:hAnsi="Arial"/>
                <w:b/>
                <w:color w:val="FFFFFF"/>
                <w:sz w:val="19"/>
              </w:rPr>
              <w:t>Region</w:t>
            </w:r>
          </w:p>
        </w:tc>
        <w:tc>
          <w:tcPr>
            <w:tcW w:type="dxa" w:w="1872"/>
            <w:shd w:fill="1B365D"/>
            <w:tcMar>
              <w:top w:w="140" w:type="dxa"/>
              <w:bottom w:w="140" w:type="dxa"/>
              <w:left w:w="150" w:type="dxa"/>
              <w:right w:w="150" w:type="dxa"/>
            </w:tcMar>
          </w:tcPr>
          <w:p>
            <w:pPr>
              <w:spacing w:before="0" w:after="0"/>
            </w:pPr>
            <w:r>
              <w:rPr>
                <w:rFonts w:ascii="Arial" w:hAnsi="Arial"/>
                <w:b/>
                <w:color w:val="FFFFFF"/>
                <w:sz w:val="19"/>
              </w:rPr>
              <w:t>Sales</w:t>
            </w:r>
          </w:p>
        </w:tc>
        <w:tc>
          <w:tcPr>
            <w:tcW w:type="dxa" w:w="1872"/>
            <w:shd w:fill="1B365D"/>
            <w:tcMar>
              <w:top w:w="140" w:type="dxa"/>
              <w:bottom w:w="140" w:type="dxa"/>
              <w:left w:w="150" w:type="dxa"/>
              <w:right w:w="150" w:type="dxa"/>
            </w:tcMar>
          </w:tcPr>
          <w:p>
            <w:pPr>
              <w:spacing w:before="0" w:after="0"/>
            </w:pPr>
            <w:r>
              <w:rPr>
                <w:rFonts w:ascii="Arial" w:hAnsi="Arial"/>
                <w:b/>
                <w:color w:val="FFFFFF"/>
                <w:sz w:val="19"/>
              </w:rPr>
              <w:t>Profit</w:t>
            </w:r>
          </w:p>
        </w:tc>
        <w:tc>
          <w:tcPr>
            <w:tcW w:type="dxa" w:w="1584"/>
            <w:shd w:fill="1B365D"/>
            <w:tcMar>
              <w:top w:w="140" w:type="dxa"/>
              <w:bottom w:w="140" w:type="dxa"/>
              <w:left w:w="150" w:type="dxa"/>
              <w:right w:w="150" w:type="dxa"/>
            </w:tcMar>
          </w:tcPr>
          <w:p>
            <w:pPr>
              <w:spacing w:before="0" w:after="0"/>
            </w:pPr>
            <w:r>
              <w:rPr>
                <w:rFonts w:ascii="Arial" w:hAnsi="Arial"/>
                <w:b/>
                <w:color w:val="FFFFFF"/>
                <w:sz w:val="19"/>
              </w:rPr>
              <w:t>Margin</w:t>
            </w:r>
          </w:p>
        </w:tc>
        <w:tc>
          <w:tcPr>
            <w:tcW w:type="dxa" w:w="2160"/>
            <w:shd w:fill="1B365D"/>
            <w:tcMar>
              <w:top w:w="140" w:type="dxa"/>
              <w:bottom w:w="140" w:type="dxa"/>
              <w:left w:w="150" w:type="dxa"/>
              <w:right w:w="150" w:type="dxa"/>
            </w:tcMar>
          </w:tcPr>
          <w:p>
            <w:pPr>
              <w:spacing w:before="0" w:after="0"/>
            </w:pPr>
            <w:r>
              <w:rPr>
                <w:rFonts w:ascii="Arial" w:hAnsi="Arial"/>
                <w:b/>
                <w:color w:val="FFFFFF"/>
                <w:sz w:val="19"/>
              </w:rPr>
              <w:t>Average Discount</w:t>
            </w:r>
          </w:p>
        </w:tc>
      </w:tr>
      <w:tr>
        <w:trPr>
          <w:cantSplit/>
        </w:trPr>
        <w:tc>
          <w:tcPr>
            <w:tcW w:type="dxa" w:w="1872"/>
            <w:shd w:fill="F4F6F8"/>
            <w:tcMar>
              <w:top w:w="100" w:type="dxa"/>
              <w:bottom w:w="100" w:type="dxa"/>
              <w:left w:w="150" w:type="dxa"/>
              <w:right w:w="150" w:type="dxa"/>
            </w:tcMar>
          </w:tcPr>
          <w:p>
            <w:pPr>
              <w:spacing w:before="0" w:after="0"/>
            </w:pPr>
            <w:r>
              <w:rPr>
                <w:rFonts w:ascii="Arial" w:hAnsi="Arial"/>
                <w:color w:val="222222"/>
                <w:sz w:val="19"/>
              </w:rPr>
              <w:t>West</w:t>
            </w:r>
          </w:p>
        </w:tc>
        <w:tc>
          <w:tcPr>
            <w:tcW w:type="dxa" w:w="1872"/>
            <w:shd w:fill="F4F6F8"/>
            <w:tcMar>
              <w:top w:w="100" w:type="dxa"/>
              <w:bottom w:w="100" w:type="dxa"/>
              <w:left w:w="150" w:type="dxa"/>
              <w:right w:w="150" w:type="dxa"/>
            </w:tcMar>
          </w:tcPr>
          <w:p>
            <w:pPr>
              <w:spacing w:before="0" w:after="0"/>
            </w:pPr>
            <w:r>
              <w:rPr>
                <w:rFonts w:ascii="Arial" w:hAnsi="Arial"/>
                <w:color w:val="222222"/>
                <w:sz w:val="19"/>
              </w:rPr>
              <w:t>$725,457.82</w:t>
            </w:r>
          </w:p>
        </w:tc>
        <w:tc>
          <w:tcPr>
            <w:tcW w:type="dxa" w:w="1872"/>
            <w:shd w:fill="F4F6F8"/>
            <w:tcMar>
              <w:top w:w="100" w:type="dxa"/>
              <w:bottom w:w="100" w:type="dxa"/>
              <w:left w:w="150" w:type="dxa"/>
              <w:right w:w="150" w:type="dxa"/>
            </w:tcMar>
          </w:tcPr>
          <w:p>
            <w:pPr>
              <w:spacing w:before="0" w:after="0"/>
            </w:pPr>
            <w:r>
              <w:rPr>
                <w:rFonts w:ascii="Arial" w:hAnsi="Arial"/>
                <w:color w:val="222222"/>
                <w:sz w:val="19"/>
              </w:rPr>
              <w:t>$108,418.45</w:t>
            </w:r>
          </w:p>
        </w:tc>
        <w:tc>
          <w:tcPr>
            <w:tcW w:type="dxa" w:w="1584"/>
            <w:shd w:fill="F4F6F8"/>
            <w:tcMar>
              <w:top w:w="100" w:type="dxa"/>
              <w:bottom w:w="100" w:type="dxa"/>
              <w:left w:w="150" w:type="dxa"/>
              <w:right w:w="150" w:type="dxa"/>
            </w:tcMar>
          </w:tcPr>
          <w:p>
            <w:pPr>
              <w:spacing w:before="0" w:after="0"/>
            </w:pPr>
            <w:r>
              <w:rPr>
                <w:rFonts w:ascii="Arial" w:hAnsi="Arial"/>
                <w:color w:val="222222"/>
                <w:sz w:val="19"/>
              </w:rPr>
              <w:t>14.94%</w:t>
            </w:r>
          </w:p>
        </w:tc>
        <w:tc>
          <w:tcPr>
            <w:tcW w:type="dxa" w:w="2160"/>
            <w:shd w:fill="F4F6F8"/>
            <w:tcMar>
              <w:top w:w="100" w:type="dxa"/>
              <w:bottom w:w="100" w:type="dxa"/>
              <w:left w:w="150" w:type="dxa"/>
              <w:right w:w="150" w:type="dxa"/>
            </w:tcMar>
          </w:tcPr>
          <w:p>
            <w:pPr>
              <w:spacing w:before="0" w:after="0"/>
            </w:pPr>
            <w:r>
              <w:rPr>
                <w:rFonts w:ascii="Arial" w:hAnsi="Arial"/>
                <w:color w:val="222222"/>
                <w:sz w:val="19"/>
              </w:rPr>
              <w:t>10.93%</w:t>
            </w:r>
          </w:p>
        </w:tc>
      </w:tr>
      <w:tr>
        <w:trPr>
          <w:cantSplit/>
        </w:trPr>
        <w:tc>
          <w:tcPr>
            <w:tcW w:type="dxa" w:w="1872"/>
            <w:shd w:fill="FFFFFF"/>
            <w:tcMar>
              <w:top w:w="100" w:type="dxa"/>
              <w:bottom w:w="100" w:type="dxa"/>
              <w:left w:w="150" w:type="dxa"/>
              <w:right w:w="150" w:type="dxa"/>
            </w:tcMar>
          </w:tcPr>
          <w:p>
            <w:pPr>
              <w:spacing w:before="0" w:after="0"/>
            </w:pPr>
            <w:r>
              <w:rPr>
                <w:rFonts w:ascii="Arial" w:hAnsi="Arial"/>
                <w:color w:val="222222"/>
                <w:sz w:val="19"/>
              </w:rPr>
              <w:t>East</w:t>
            </w:r>
          </w:p>
        </w:tc>
        <w:tc>
          <w:tcPr>
            <w:tcW w:type="dxa" w:w="1872"/>
            <w:shd w:fill="FFFFFF"/>
            <w:tcMar>
              <w:top w:w="100" w:type="dxa"/>
              <w:bottom w:w="100" w:type="dxa"/>
              <w:left w:w="150" w:type="dxa"/>
              <w:right w:w="150" w:type="dxa"/>
            </w:tcMar>
          </w:tcPr>
          <w:p>
            <w:pPr>
              <w:spacing w:before="0" w:after="0"/>
            </w:pPr>
            <w:r>
              <w:rPr>
                <w:rFonts w:ascii="Arial" w:hAnsi="Arial"/>
                <w:color w:val="222222"/>
                <w:sz w:val="19"/>
              </w:rPr>
              <w:t>$678,781.24</w:t>
            </w:r>
          </w:p>
        </w:tc>
        <w:tc>
          <w:tcPr>
            <w:tcW w:type="dxa" w:w="1872"/>
            <w:shd w:fill="FFFFFF"/>
            <w:tcMar>
              <w:top w:w="100" w:type="dxa"/>
              <w:bottom w:w="100" w:type="dxa"/>
              <w:left w:w="150" w:type="dxa"/>
              <w:right w:w="150" w:type="dxa"/>
            </w:tcMar>
          </w:tcPr>
          <w:p>
            <w:pPr>
              <w:spacing w:before="0" w:after="0"/>
            </w:pPr>
            <w:r>
              <w:rPr>
                <w:rFonts w:ascii="Arial" w:hAnsi="Arial"/>
                <w:color w:val="222222"/>
                <w:sz w:val="19"/>
              </w:rPr>
              <w:t>$91,522.78</w:t>
            </w:r>
          </w:p>
        </w:tc>
        <w:tc>
          <w:tcPr>
            <w:tcW w:type="dxa" w:w="1584"/>
            <w:shd w:fill="FFFFFF"/>
            <w:tcMar>
              <w:top w:w="100" w:type="dxa"/>
              <w:bottom w:w="100" w:type="dxa"/>
              <w:left w:w="150" w:type="dxa"/>
              <w:right w:w="150" w:type="dxa"/>
            </w:tcMar>
          </w:tcPr>
          <w:p>
            <w:pPr>
              <w:spacing w:before="0" w:after="0"/>
            </w:pPr>
            <w:r>
              <w:rPr>
                <w:rFonts w:ascii="Arial" w:hAnsi="Arial"/>
                <w:color w:val="222222"/>
                <w:sz w:val="19"/>
              </w:rPr>
              <w:t>13.48%</w:t>
            </w:r>
          </w:p>
        </w:tc>
        <w:tc>
          <w:tcPr>
            <w:tcW w:type="dxa" w:w="2160"/>
            <w:shd w:fill="FFFFFF"/>
            <w:tcMar>
              <w:top w:w="100" w:type="dxa"/>
              <w:bottom w:w="100" w:type="dxa"/>
              <w:left w:w="150" w:type="dxa"/>
              <w:right w:w="150" w:type="dxa"/>
            </w:tcMar>
          </w:tcPr>
          <w:p>
            <w:pPr>
              <w:spacing w:before="0" w:after="0"/>
            </w:pPr>
            <w:r>
              <w:rPr>
                <w:rFonts w:ascii="Arial" w:hAnsi="Arial"/>
                <w:color w:val="222222"/>
                <w:sz w:val="19"/>
              </w:rPr>
              <w:t>14.54%</w:t>
            </w:r>
          </w:p>
        </w:tc>
      </w:tr>
      <w:tr>
        <w:trPr>
          <w:cantSplit/>
        </w:trPr>
        <w:tc>
          <w:tcPr>
            <w:tcW w:type="dxa" w:w="1872"/>
            <w:shd w:fill="F4F6F8"/>
            <w:tcMar>
              <w:top w:w="100" w:type="dxa"/>
              <w:bottom w:w="100" w:type="dxa"/>
              <w:left w:w="150" w:type="dxa"/>
              <w:right w:w="150" w:type="dxa"/>
            </w:tcMar>
          </w:tcPr>
          <w:p>
            <w:pPr>
              <w:spacing w:before="0" w:after="0"/>
            </w:pPr>
            <w:r>
              <w:rPr>
                <w:rFonts w:ascii="Arial" w:hAnsi="Arial"/>
                <w:color w:val="222222"/>
                <w:sz w:val="19"/>
              </w:rPr>
              <w:t>South</w:t>
            </w:r>
          </w:p>
        </w:tc>
        <w:tc>
          <w:tcPr>
            <w:tcW w:type="dxa" w:w="1872"/>
            <w:shd w:fill="F4F6F8"/>
            <w:tcMar>
              <w:top w:w="100" w:type="dxa"/>
              <w:bottom w:w="100" w:type="dxa"/>
              <w:left w:w="150" w:type="dxa"/>
              <w:right w:w="150" w:type="dxa"/>
            </w:tcMar>
          </w:tcPr>
          <w:p>
            <w:pPr>
              <w:spacing w:before="0" w:after="0"/>
            </w:pPr>
            <w:r>
              <w:rPr>
                <w:rFonts w:ascii="Arial" w:hAnsi="Arial"/>
                <w:color w:val="222222"/>
                <w:sz w:val="19"/>
              </w:rPr>
              <w:t>$391,721.91</w:t>
            </w:r>
          </w:p>
        </w:tc>
        <w:tc>
          <w:tcPr>
            <w:tcW w:type="dxa" w:w="1872"/>
            <w:shd w:fill="F4F6F8"/>
            <w:tcMar>
              <w:top w:w="100" w:type="dxa"/>
              <w:bottom w:w="100" w:type="dxa"/>
              <w:left w:w="150" w:type="dxa"/>
              <w:right w:w="150" w:type="dxa"/>
            </w:tcMar>
          </w:tcPr>
          <w:p>
            <w:pPr>
              <w:spacing w:before="0" w:after="0"/>
            </w:pPr>
            <w:r>
              <w:rPr>
                <w:rFonts w:ascii="Arial" w:hAnsi="Arial"/>
                <w:color w:val="222222"/>
                <w:sz w:val="19"/>
              </w:rPr>
              <w:t>$46,749.43</w:t>
            </w:r>
          </w:p>
        </w:tc>
        <w:tc>
          <w:tcPr>
            <w:tcW w:type="dxa" w:w="1584"/>
            <w:shd w:fill="F4F6F8"/>
            <w:tcMar>
              <w:top w:w="100" w:type="dxa"/>
              <w:bottom w:w="100" w:type="dxa"/>
              <w:left w:w="150" w:type="dxa"/>
              <w:right w:w="150" w:type="dxa"/>
            </w:tcMar>
          </w:tcPr>
          <w:p>
            <w:pPr>
              <w:spacing w:before="0" w:after="0"/>
            </w:pPr>
            <w:r>
              <w:rPr>
                <w:rFonts w:ascii="Arial" w:hAnsi="Arial"/>
                <w:color w:val="222222"/>
                <w:sz w:val="19"/>
              </w:rPr>
              <w:t>11.93%</w:t>
            </w:r>
          </w:p>
        </w:tc>
        <w:tc>
          <w:tcPr>
            <w:tcW w:type="dxa" w:w="2160"/>
            <w:shd w:fill="F4F6F8"/>
            <w:tcMar>
              <w:top w:w="100" w:type="dxa"/>
              <w:bottom w:w="100" w:type="dxa"/>
              <w:left w:w="150" w:type="dxa"/>
              <w:right w:w="150" w:type="dxa"/>
            </w:tcMar>
          </w:tcPr>
          <w:p>
            <w:pPr>
              <w:spacing w:before="0" w:after="0"/>
            </w:pPr>
            <w:r>
              <w:rPr>
                <w:rFonts w:ascii="Arial" w:hAnsi="Arial"/>
                <w:color w:val="222222"/>
                <w:sz w:val="19"/>
              </w:rPr>
              <w:t>14.73%</w:t>
            </w:r>
          </w:p>
        </w:tc>
      </w:tr>
      <w:tr>
        <w:trPr>
          <w:cantSplit/>
        </w:trPr>
        <w:tc>
          <w:tcPr>
            <w:tcW w:type="dxa" w:w="1872"/>
            <w:shd w:fill="FFFFFF"/>
            <w:tcMar>
              <w:top w:w="100" w:type="dxa"/>
              <w:bottom w:w="100" w:type="dxa"/>
              <w:left w:w="150" w:type="dxa"/>
              <w:right w:w="150" w:type="dxa"/>
            </w:tcMar>
          </w:tcPr>
          <w:p>
            <w:pPr>
              <w:spacing w:before="0" w:after="0"/>
            </w:pPr>
            <w:r>
              <w:rPr>
                <w:rFonts w:ascii="Arial" w:hAnsi="Arial"/>
                <w:color w:val="222222"/>
                <w:sz w:val="19"/>
              </w:rPr>
              <w:t>Central</w:t>
            </w:r>
          </w:p>
        </w:tc>
        <w:tc>
          <w:tcPr>
            <w:tcW w:type="dxa" w:w="1872"/>
            <w:shd w:fill="FFFFFF"/>
            <w:tcMar>
              <w:top w:w="100" w:type="dxa"/>
              <w:bottom w:w="100" w:type="dxa"/>
              <w:left w:w="150" w:type="dxa"/>
              <w:right w:w="150" w:type="dxa"/>
            </w:tcMar>
          </w:tcPr>
          <w:p>
            <w:pPr>
              <w:spacing w:before="0" w:after="0"/>
            </w:pPr>
            <w:r>
              <w:rPr>
                <w:rFonts w:ascii="Arial" w:hAnsi="Arial"/>
                <w:color w:val="222222"/>
                <w:sz w:val="19"/>
              </w:rPr>
              <w:t>$501,239.89</w:t>
            </w:r>
          </w:p>
        </w:tc>
        <w:tc>
          <w:tcPr>
            <w:tcW w:type="dxa" w:w="1872"/>
            <w:shd w:fill="FFFFFF"/>
            <w:tcMar>
              <w:top w:w="100" w:type="dxa"/>
              <w:bottom w:w="100" w:type="dxa"/>
              <w:left w:w="150" w:type="dxa"/>
              <w:right w:w="150" w:type="dxa"/>
            </w:tcMar>
          </w:tcPr>
          <w:p>
            <w:pPr>
              <w:spacing w:before="0" w:after="0"/>
            </w:pPr>
            <w:r>
              <w:rPr>
                <w:rFonts w:ascii="Arial" w:hAnsi="Arial"/>
                <w:color w:val="222222"/>
                <w:sz w:val="19"/>
              </w:rPr>
              <w:t>$39,706.36</w:t>
            </w:r>
          </w:p>
        </w:tc>
        <w:tc>
          <w:tcPr>
            <w:tcW w:type="dxa" w:w="1584"/>
            <w:shd w:fill="FFFFFF"/>
            <w:tcMar>
              <w:top w:w="100" w:type="dxa"/>
              <w:bottom w:w="100" w:type="dxa"/>
              <w:left w:w="150" w:type="dxa"/>
              <w:right w:w="150" w:type="dxa"/>
            </w:tcMar>
          </w:tcPr>
          <w:p>
            <w:pPr>
              <w:spacing w:before="0" w:after="0"/>
            </w:pPr>
            <w:r>
              <w:rPr>
                <w:rFonts w:ascii="Arial" w:hAnsi="Arial"/>
                <w:color w:val="222222"/>
                <w:sz w:val="19"/>
              </w:rPr>
              <w:t>7.92%</w:t>
            </w:r>
          </w:p>
        </w:tc>
        <w:tc>
          <w:tcPr>
            <w:tcW w:type="dxa" w:w="2160"/>
            <w:shd w:fill="FFFFFF"/>
            <w:tcMar>
              <w:top w:w="100" w:type="dxa"/>
              <w:bottom w:w="100" w:type="dxa"/>
              <w:left w:w="150" w:type="dxa"/>
              <w:right w:w="150" w:type="dxa"/>
            </w:tcMar>
          </w:tcPr>
          <w:p>
            <w:pPr>
              <w:spacing w:before="0" w:after="0"/>
            </w:pPr>
            <w:r>
              <w:rPr>
                <w:rFonts w:ascii="Arial" w:hAnsi="Arial"/>
                <w:color w:val="222222"/>
                <w:sz w:val="19"/>
              </w:rPr>
              <w:t>24.04%</w:t>
            </w:r>
          </w:p>
        </w:tc>
      </w:tr>
    </w:tbl>
    <w:p>
      <w:pPr>
        <w:keepNext/>
        <w:spacing w:before="240" w:after="80"/>
      </w:pPr>
      <w:r>
        <w:rPr>
          <w:rFonts w:ascii="Arial" w:hAnsi="Arial"/>
          <w:b/>
          <w:color w:val="4A777A"/>
          <w:sz w:val="23"/>
        </w:rPr>
        <w:t>9.1 West Region</w:t>
      </w:r>
    </w:p>
    <w:p>
      <w:pPr>
        <w:spacing w:before="0" w:after="100" w:line="276" w:lineRule="auto"/>
      </w:pPr>
      <w:r>
        <w:rPr>
          <w:rFonts w:ascii="Arial" w:hAnsi="Arial"/>
          <w:color w:val="222222"/>
          <w:sz w:val="20"/>
        </w:rPr>
        <w:t>The West was the strongest regional performer. It generated:</w:t>
      </w:r>
    </w:p>
    <w:p>
      <w:pPr>
        <w:pStyle w:val="ListBullet"/>
        <w:spacing w:before="0" w:after="60" w:line="276" w:lineRule="auto"/>
        <w:ind w:left="360"/>
      </w:pPr>
      <w:r>
        <w:rPr>
          <w:rFonts w:ascii="Arial" w:hAnsi="Arial"/>
          <w:color w:val="222222"/>
          <w:sz w:val="20"/>
        </w:rPr>
        <w:t>$725,457.82 in sales</w:t>
      </w:r>
    </w:p>
    <w:p>
      <w:pPr>
        <w:pStyle w:val="ListBullet"/>
        <w:spacing w:before="0" w:after="60" w:line="276" w:lineRule="auto"/>
        <w:ind w:left="360"/>
      </w:pPr>
      <w:r>
        <w:rPr>
          <w:rFonts w:ascii="Arial" w:hAnsi="Arial"/>
          <w:color w:val="222222"/>
          <w:sz w:val="20"/>
        </w:rPr>
        <w:t>$108,418.45 in profit</w:t>
      </w:r>
    </w:p>
    <w:p>
      <w:pPr>
        <w:pStyle w:val="ListBullet"/>
        <w:spacing w:before="0" w:after="60" w:line="276" w:lineRule="auto"/>
        <w:ind w:left="360"/>
      </w:pPr>
      <w:r>
        <w:rPr>
          <w:rFonts w:ascii="Arial" w:hAnsi="Arial"/>
          <w:color w:val="222222"/>
          <w:sz w:val="20"/>
        </w:rPr>
        <w:t>14.94% profit margin</w:t>
      </w:r>
    </w:p>
    <w:p>
      <w:pPr>
        <w:spacing w:before="0" w:after="100" w:line="276" w:lineRule="auto"/>
      </w:pPr>
      <w:r>
        <w:rPr>
          <w:rFonts w:ascii="Arial" w:hAnsi="Arial"/>
          <w:color w:val="222222"/>
          <w:sz w:val="20"/>
        </w:rPr>
        <w:t>It also had the lowest average discount rate among the four regions at approximately 10.93%.</w:t>
      </w:r>
    </w:p>
    <w:p>
      <w:pPr>
        <w:spacing w:before="0" w:after="100" w:line="276" w:lineRule="auto"/>
      </w:pPr>
      <w:r>
        <w:rPr>
          <w:rFonts w:ascii="Arial" w:hAnsi="Arial"/>
          <w:color w:val="222222"/>
          <w:sz w:val="20"/>
        </w:rPr>
        <w:t>The combination of high sales, strong profit, and relatively low discounting suggests a comparatively efficient regional pricing strategy.</w:t>
      </w:r>
    </w:p>
    <w:p>
      <w:pPr>
        <w:keepNext/>
        <w:spacing w:before="240" w:after="80"/>
      </w:pPr>
      <w:r>
        <w:rPr>
          <w:rFonts w:ascii="Arial" w:hAnsi="Arial"/>
          <w:b/>
          <w:color w:val="4A777A"/>
          <w:sz w:val="23"/>
        </w:rPr>
        <w:t>9.2 East Region</w:t>
      </w:r>
    </w:p>
    <w:p>
      <w:pPr>
        <w:spacing w:before="0" w:after="100" w:line="276" w:lineRule="auto"/>
      </w:pPr>
      <w:r>
        <w:rPr>
          <w:rFonts w:ascii="Arial" w:hAnsi="Arial"/>
          <w:color w:val="222222"/>
          <w:sz w:val="20"/>
        </w:rPr>
        <w:t>The East generated:</w:t>
      </w:r>
    </w:p>
    <w:p>
      <w:pPr>
        <w:pStyle w:val="ListBullet"/>
        <w:spacing w:before="0" w:after="60" w:line="276" w:lineRule="auto"/>
        <w:ind w:left="360"/>
      </w:pPr>
      <w:r>
        <w:rPr>
          <w:rFonts w:ascii="Arial" w:hAnsi="Arial"/>
          <w:color w:val="222222"/>
          <w:sz w:val="20"/>
        </w:rPr>
        <w:t>$678,781.24 in sales</w:t>
      </w:r>
    </w:p>
    <w:p>
      <w:pPr>
        <w:pStyle w:val="ListBullet"/>
        <w:spacing w:before="0" w:after="60" w:line="276" w:lineRule="auto"/>
        <w:ind w:left="360"/>
      </w:pPr>
      <w:r>
        <w:rPr>
          <w:rFonts w:ascii="Arial" w:hAnsi="Arial"/>
          <w:color w:val="222222"/>
          <w:sz w:val="20"/>
        </w:rPr>
        <w:t>$91,522.78 in profit</w:t>
      </w:r>
    </w:p>
    <w:p>
      <w:pPr>
        <w:pStyle w:val="ListBullet"/>
        <w:spacing w:before="0" w:after="60" w:line="276" w:lineRule="auto"/>
        <w:ind w:left="360"/>
      </w:pPr>
      <w:r>
        <w:rPr>
          <w:rFonts w:ascii="Arial" w:hAnsi="Arial"/>
          <w:color w:val="222222"/>
          <w:sz w:val="20"/>
        </w:rPr>
        <w:t>13.48% profit margin</w:t>
      </w:r>
    </w:p>
    <w:p>
      <w:pPr>
        <w:spacing w:before="0" w:after="100" w:line="276" w:lineRule="auto"/>
      </w:pPr>
      <w:r>
        <w:rPr>
          <w:rFonts w:ascii="Arial" w:hAnsi="Arial"/>
          <w:color w:val="222222"/>
          <w:sz w:val="20"/>
        </w:rPr>
        <w:t>The region demonstrates a strong balance between sales generation and profitability.</w:t>
      </w:r>
    </w:p>
    <w:p>
      <w:pPr>
        <w:keepNext/>
        <w:spacing w:before="240" w:after="80"/>
      </w:pPr>
      <w:r>
        <w:rPr>
          <w:rFonts w:ascii="Arial" w:hAnsi="Arial"/>
          <w:b/>
          <w:color w:val="4A777A"/>
          <w:sz w:val="23"/>
        </w:rPr>
        <w:t>9.3 South Region</w:t>
      </w:r>
    </w:p>
    <w:p>
      <w:pPr>
        <w:spacing w:before="0" w:after="100" w:line="276" w:lineRule="auto"/>
      </w:pPr>
      <w:r>
        <w:rPr>
          <w:rFonts w:ascii="Arial" w:hAnsi="Arial"/>
          <w:color w:val="222222"/>
          <w:sz w:val="20"/>
        </w:rPr>
        <w:t>The South generated:</w:t>
      </w:r>
    </w:p>
    <w:p>
      <w:pPr>
        <w:pStyle w:val="ListBullet"/>
        <w:spacing w:before="0" w:after="60" w:line="276" w:lineRule="auto"/>
        <w:ind w:left="360"/>
      </w:pPr>
      <w:r>
        <w:rPr>
          <w:rFonts w:ascii="Arial" w:hAnsi="Arial"/>
          <w:color w:val="222222"/>
          <w:sz w:val="20"/>
        </w:rPr>
        <w:t>$391,721.91 in sales</w:t>
      </w:r>
    </w:p>
    <w:p>
      <w:pPr>
        <w:pStyle w:val="ListBullet"/>
        <w:spacing w:before="0" w:after="60" w:line="276" w:lineRule="auto"/>
        <w:ind w:left="360"/>
      </w:pPr>
      <w:r>
        <w:rPr>
          <w:rFonts w:ascii="Arial" w:hAnsi="Arial"/>
          <w:color w:val="222222"/>
          <w:sz w:val="20"/>
        </w:rPr>
        <w:t>$46,749.43 in profit</w:t>
      </w:r>
    </w:p>
    <w:p>
      <w:pPr>
        <w:pStyle w:val="ListBullet"/>
        <w:spacing w:before="0" w:after="60" w:line="276" w:lineRule="auto"/>
        <w:ind w:left="360"/>
      </w:pPr>
      <w:r>
        <w:rPr>
          <w:rFonts w:ascii="Arial" w:hAnsi="Arial"/>
          <w:color w:val="222222"/>
          <w:sz w:val="20"/>
        </w:rPr>
        <w:t>11.93% profit margin</w:t>
      </w:r>
    </w:p>
    <w:p>
      <w:pPr>
        <w:spacing w:before="0" w:after="100" w:line="276" w:lineRule="auto"/>
      </w:pPr>
      <w:r>
        <w:rPr>
          <w:rFonts w:ascii="Arial" w:hAnsi="Arial"/>
          <w:color w:val="222222"/>
          <w:sz w:val="20"/>
        </w:rPr>
        <w:t>Although the region has a smaller sales footprint, profitability remains relatively stable.</w:t>
      </w:r>
    </w:p>
    <w:p>
      <w:pPr>
        <w:keepNext/>
        <w:spacing w:before="240" w:after="80"/>
      </w:pPr>
      <w:r>
        <w:rPr>
          <w:rFonts w:ascii="Arial" w:hAnsi="Arial"/>
          <w:b/>
          <w:color w:val="4A777A"/>
          <w:sz w:val="23"/>
        </w:rPr>
        <w:t>9.4 Central Region</w:t>
      </w:r>
    </w:p>
    <w:p>
      <w:pPr>
        <w:spacing w:before="0" w:after="100" w:line="276" w:lineRule="auto"/>
      </w:pPr>
      <w:r>
        <w:rPr>
          <w:rFonts w:ascii="Arial" w:hAnsi="Arial"/>
          <w:color w:val="222222"/>
          <w:sz w:val="20"/>
        </w:rPr>
        <w:t>The Central region requires particular management attention. It generated:</w:t>
      </w:r>
    </w:p>
    <w:p>
      <w:pPr>
        <w:pStyle w:val="ListBullet"/>
        <w:spacing w:before="0" w:after="60" w:line="276" w:lineRule="auto"/>
        <w:ind w:left="360"/>
      </w:pPr>
      <w:r>
        <w:rPr>
          <w:rFonts w:ascii="Arial" w:hAnsi="Arial"/>
          <w:color w:val="222222"/>
          <w:sz w:val="20"/>
        </w:rPr>
        <w:t>$501,239.89 in sales</w:t>
      </w:r>
    </w:p>
    <w:p>
      <w:pPr>
        <w:pStyle w:val="ListBullet"/>
        <w:spacing w:before="0" w:after="60" w:line="276" w:lineRule="auto"/>
        <w:ind w:left="360"/>
      </w:pPr>
      <w:r>
        <w:rPr>
          <w:rFonts w:ascii="Arial" w:hAnsi="Arial"/>
          <w:color w:val="222222"/>
          <w:sz w:val="20"/>
        </w:rPr>
        <w:t>$39,706.36 in profit</w:t>
      </w:r>
    </w:p>
    <w:p>
      <w:pPr>
        <w:pStyle w:val="ListBullet"/>
        <w:spacing w:before="0" w:after="60" w:line="276" w:lineRule="auto"/>
        <w:ind w:left="360"/>
      </w:pPr>
      <w:r>
        <w:rPr>
          <w:rFonts w:ascii="Arial" w:hAnsi="Arial"/>
          <w:color w:val="222222"/>
          <w:sz w:val="20"/>
        </w:rPr>
        <w:t>7.92% profit margin</w:t>
      </w:r>
    </w:p>
    <w:p>
      <w:pPr>
        <w:spacing w:before="0" w:after="100" w:line="276" w:lineRule="auto"/>
      </w:pPr>
      <w:r>
        <w:rPr>
          <w:rFonts w:ascii="Arial" w:hAnsi="Arial"/>
          <w:color w:val="222222"/>
          <w:sz w:val="20"/>
        </w:rPr>
        <w:t>At the same time, the region had the highest average discount rate: 24.04%.</w:t>
      </w:r>
    </w:p>
    <w:p>
      <w:pPr>
        <w:spacing w:before="0" w:after="100" w:line="276" w:lineRule="auto"/>
      </w:pPr>
      <w:r>
        <w:rPr>
          <w:rFonts w:ascii="Arial" w:hAnsi="Arial"/>
          <w:color w:val="222222"/>
          <w:sz w:val="20"/>
        </w:rPr>
        <w:t>This combination suggests a potential relationship between aggressive discounting and reduced profitability.</w:t>
      </w:r>
    </w:p>
    <w:p>
      <w:pPr>
        <w:spacing w:before="0" w:after="100" w:line="276" w:lineRule="auto"/>
      </w:pPr>
      <w:r>
        <w:rPr>
          <w:rFonts w:ascii="Arial" w:hAnsi="Arial"/>
          <w:color w:val="222222"/>
          <w:sz w:val="20"/>
        </w:rPr>
        <w:t>The Central region therefore represents a strong candidate for further analysis of:</w:t>
      </w:r>
    </w:p>
    <w:p>
      <w:pPr>
        <w:pStyle w:val="ListBullet"/>
        <w:spacing w:before="0" w:after="60" w:line="276" w:lineRule="auto"/>
        <w:ind w:left="360"/>
      </w:pPr>
      <w:r>
        <w:rPr>
          <w:rFonts w:ascii="Arial" w:hAnsi="Arial"/>
          <w:color w:val="222222"/>
          <w:sz w:val="20"/>
        </w:rPr>
        <w:t>Discount policies</w:t>
      </w:r>
    </w:p>
    <w:p>
      <w:pPr>
        <w:pStyle w:val="ListBullet"/>
        <w:spacing w:before="0" w:after="60" w:line="276" w:lineRule="auto"/>
        <w:ind w:left="360"/>
      </w:pPr>
      <w:r>
        <w:rPr>
          <w:rFonts w:ascii="Arial" w:hAnsi="Arial"/>
          <w:color w:val="222222"/>
          <w:sz w:val="20"/>
        </w:rPr>
        <w:t>Product mix</w:t>
      </w:r>
    </w:p>
    <w:p>
      <w:pPr>
        <w:pStyle w:val="ListBullet"/>
        <w:spacing w:before="0" w:after="60" w:line="276" w:lineRule="auto"/>
        <w:ind w:left="360"/>
      </w:pPr>
      <w:r>
        <w:rPr>
          <w:rFonts w:ascii="Arial" w:hAnsi="Arial"/>
          <w:color w:val="222222"/>
          <w:sz w:val="20"/>
        </w:rPr>
        <w:t>Promotional campaigns</w:t>
      </w:r>
    </w:p>
    <w:p>
      <w:pPr>
        <w:pStyle w:val="ListBullet"/>
        <w:spacing w:before="0" w:after="60" w:line="276" w:lineRule="auto"/>
        <w:ind w:left="360"/>
      </w:pPr>
      <w:r>
        <w:rPr>
          <w:rFonts w:ascii="Arial" w:hAnsi="Arial"/>
          <w:color w:val="222222"/>
          <w:sz w:val="20"/>
        </w:rPr>
        <w:t>Customer segments</w:t>
      </w:r>
    </w:p>
    <w:p>
      <w:pPr>
        <w:pStyle w:val="ListBullet"/>
        <w:spacing w:before="0" w:after="60" w:line="276" w:lineRule="auto"/>
        <w:ind w:left="360"/>
      </w:pPr>
      <w:r>
        <w:rPr>
          <w:rFonts w:ascii="Arial" w:hAnsi="Arial"/>
          <w:color w:val="222222"/>
          <w:sz w:val="20"/>
        </w:rPr>
        <w:t>Regional pricing</w:t>
      </w:r>
    </w:p>
    <w:p>
      <w:pPr>
        <w:pStyle w:val="ListBullet"/>
        <w:spacing w:before="0" w:after="60" w:line="276" w:lineRule="auto"/>
        <w:ind w:left="360"/>
      </w:pPr>
      <w:r>
        <w:rPr>
          <w:rFonts w:ascii="Arial" w:hAnsi="Arial"/>
          <w:color w:val="222222"/>
          <w:sz w:val="20"/>
        </w:rPr>
        <w:t>Loss-making products</w:t>
      </w:r>
    </w:p>
    <w:p>
      <w:pPr>
        <w:keepNext/>
        <w:spacing w:before="360" w:after="120"/>
      </w:pPr>
      <w:r>
        <w:rPr>
          <w:rFonts w:ascii="Arial" w:hAnsi="Arial"/>
          <w:b/>
          <w:color w:val="1B365D"/>
          <w:sz w:val="28"/>
        </w:rPr>
        <w:t>10. Customer Segment Analysis</w:t>
      </w:r>
    </w:p>
    <w:p>
      <w:pPr>
        <w:spacing w:before="0" w:after="100" w:line="276" w:lineRule="auto"/>
      </w:pPr>
      <w:r>
        <w:rPr>
          <w:rFonts w:ascii="Arial" w:hAnsi="Arial"/>
          <w:color w:val="222222"/>
          <w:sz w:val="20"/>
        </w:rPr>
        <w:t>The dataset contains three customer segments.</w:t>
      </w:r>
    </w:p>
    <w:p>
      <w:pPr>
        <w:keepNext/>
        <w:spacing w:before="240" w:after="80"/>
      </w:pPr>
      <w:r>
        <w:rPr>
          <w:rFonts w:ascii="Arial" w:hAnsi="Arial"/>
          <w:b/>
          <w:color w:val="4A777A"/>
          <w:sz w:val="23"/>
        </w:rPr>
        <w:t>Consumer</w:t>
      </w:r>
    </w:p>
    <w:p>
      <w:pPr>
        <w:spacing w:before="0" w:after="100" w:line="276" w:lineRule="auto"/>
      </w:pPr>
      <w:r>
        <w:rPr>
          <w:rFonts w:ascii="Arial" w:hAnsi="Arial"/>
          <w:color w:val="222222"/>
          <w:sz w:val="20"/>
        </w:rPr>
        <w:t>Consumers represented approximately 50.6% of sales.</w:t>
      </w:r>
    </w:p>
    <w:p>
      <w:pPr>
        <w:pStyle w:val="ListBullet"/>
        <w:spacing w:before="0" w:after="60" w:line="276" w:lineRule="auto"/>
        <w:ind w:left="360"/>
      </w:pPr>
      <w:r>
        <w:rPr>
          <w:rFonts w:ascii="Arial" w:hAnsi="Arial"/>
          <w:color w:val="222222"/>
          <w:sz w:val="20"/>
        </w:rPr>
        <w:t>Sales: $1,161,401.35</w:t>
      </w:r>
    </w:p>
    <w:p>
      <w:pPr>
        <w:pStyle w:val="ListBullet"/>
        <w:spacing w:before="0" w:after="60" w:line="276" w:lineRule="auto"/>
        <w:ind w:left="360"/>
      </w:pPr>
      <w:r>
        <w:rPr>
          <w:rFonts w:ascii="Arial" w:hAnsi="Arial"/>
          <w:color w:val="222222"/>
          <w:sz w:val="20"/>
        </w:rPr>
        <w:t>Profit: $134,119.21</w:t>
      </w:r>
    </w:p>
    <w:p>
      <w:pPr>
        <w:pStyle w:val="ListBullet"/>
        <w:spacing w:before="0" w:after="60" w:line="276" w:lineRule="auto"/>
        <w:ind w:left="360"/>
      </w:pPr>
      <w:r>
        <w:rPr>
          <w:rFonts w:ascii="Arial" w:hAnsi="Arial"/>
          <w:color w:val="222222"/>
          <w:sz w:val="20"/>
        </w:rPr>
        <w:t>Margin: 11.55%</w:t>
      </w:r>
    </w:p>
    <w:p>
      <w:pPr>
        <w:spacing w:before="0" w:after="100" w:line="276" w:lineRule="auto"/>
      </w:pPr>
      <w:r>
        <w:rPr>
          <w:rFonts w:ascii="Arial" w:hAnsi="Arial"/>
          <w:color w:val="222222"/>
          <w:sz w:val="20"/>
        </w:rPr>
        <w:t>The Consumer segment is the largest source of revenue.</w:t>
      </w:r>
    </w:p>
    <w:p>
      <w:pPr>
        <w:keepNext/>
        <w:spacing w:before="240" w:after="80"/>
      </w:pPr>
      <w:r>
        <w:rPr>
          <w:rFonts w:ascii="Arial" w:hAnsi="Arial"/>
          <w:b/>
          <w:color w:val="4A777A"/>
          <w:sz w:val="23"/>
        </w:rPr>
        <w:t>Corporate</w:t>
      </w:r>
    </w:p>
    <w:p>
      <w:pPr>
        <w:spacing w:before="0" w:after="100" w:line="276" w:lineRule="auto"/>
      </w:pPr>
      <w:r>
        <w:rPr>
          <w:rFonts w:ascii="Arial" w:hAnsi="Arial"/>
          <w:color w:val="222222"/>
          <w:sz w:val="20"/>
        </w:rPr>
        <w:t>Corporate customers represented approximately 30.7% of sales.</w:t>
      </w:r>
    </w:p>
    <w:p>
      <w:pPr>
        <w:pStyle w:val="ListBullet"/>
        <w:spacing w:before="0" w:after="60" w:line="276" w:lineRule="auto"/>
        <w:ind w:left="360"/>
      </w:pPr>
      <w:r>
        <w:rPr>
          <w:rFonts w:ascii="Arial" w:hAnsi="Arial"/>
          <w:color w:val="222222"/>
          <w:sz w:val="20"/>
        </w:rPr>
        <w:t>Sales: $706,146.37</w:t>
      </w:r>
    </w:p>
    <w:p>
      <w:pPr>
        <w:pStyle w:val="ListBullet"/>
        <w:spacing w:before="0" w:after="60" w:line="276" w:lineRule="auto"/>
        <w:ind w:left="360"/>
      </w:pPr>
      <w:r>
        <w:rPr>
          <w:rFonts w:ascii="Arial" w:hAnsi="Arial"/>
          <w:color w:val="222222"/>
          <w:sz w:val="20"/>
        </w:rPr>
        <w:t>Profit: $91,979.13</w:t>
      </w:r>
    </w:p>
    <w:p>
      <w:pPr>
        <w:pStyle w:val="ListBullet"/>
        <w:spacing w:before="0" w:after="60" w:line="276" w:lineRule="auto"/>
        <w:ind w:left="360"/>
      </w:pPr>
      <w:r>
        <w:rPr>
          <w:rFonts w:ascii="Arial" w:hAnsi="Arial"/>
          <w:color w:val="222222"/>
          <w:sz w:val="20"/>
        </w:rPr>
        <w:t>Margin: 13.03%</w:t>
      </w:r>
    </w:p>
    <w:p>
      <w:pPr>
        <w:spacing w:before="0" w:after="100" w:line="276" w:lineRule="auto"/>
      </w:pPr>
      <w:r>
        <w:rPr>
          <w:rFonts w:ascii="Arial" w:hAnsi="Arial"/>
          <w:color w:val="222222"/>
          <w:sz w:val="20"/>
        </w:rPr>
        <w:t>Corporate customers demonstrate a stronger margin than the Consumer segment.</w:t>
      </w:r>
    </w:p>
    <w:p>
      <w:pPr>
        <w:keepNext/>
        <w:spacing w:before="240" w:after="80"/>
      </w:pPr>
      <w:r>
        <w:rPr>
          <w:rFonts w:ascii="Arial" w:hAnsi="Arial"/>
          <w:b/>
          <w:color w:val="4A777A"/>
          <w:sz w:val="23"/>
        </w:rPr>
        <w:t>Home Office</w:t>
      </w:r>
    </w:p>
    <w:p>
      <w:pPr>
        <w:spacing w:before="0" w:after="100" w:line="276" w:lineRule="auto"/>
      </w:pPr>
      <w:r>
        <w:rPr>
          <w:rFonts w:ascii="Arial" w:hAnsi="Arial"/>
          <w:color w:val="222222"/>
          <w:sz w:val="20"/>
        </w:rPr>
        <w:t>Home Office customers represented approximately 18.7% of sales.</w:t>
      </w:r>
    </w:p>
    <w:p>
      <w:pPr>
        <w:pStyle w:val="ListBullet"/>
        <w:spacing w:before="0" w:after="60" w:line="276" w:lineRule="auto"/>
        <w:ind w:left="360"/>
      </w:pPr>
      <w:r>
        <w:rPr>
          <w:rFonts w:ascii="Arial" w:hAnsi="Arial"/>
          <w:color w:val="222222"/>
          <w:sz w:val="20"/>
        </w:rPr>
        <w:t>Sales: $429,653.15</w:t>
      </w:r>
    </w:p>
    <w:p>
      <w:pPr>
        <w:pStyle w:val="ListBullet"/>
        <w:spacing w:before="0" w:after="60" w:line="276" w:lineRule="auto"/>
        <w:ind w:left="360"/>
      </w:pPr>
      <w:r>
        <w:rPr>
          <w:rFonts w:ascii="Arial" w:hAnsi="Arial"/>
          <w:color w:val="222222"/>
          <w:sz w:val="20"/>
        </w:rPr>
        <w:t>Profit: $60,298.68</w:t>
      </w:r>
    </w:p>
    <w:p>
      <w:pPr>
        <w:pStyle w:val="ListBullet"/>
        <w:spacing w:before="0" w:after="60" w:line="276" w:lineRule="auto"/>
        <w:ind w:left="360"/>
      </w:pPr>
      <w:r>
        <w:rPr>
          <w:rFonts w:ascii="Arial" w:hAnsi="Arial"/>
          <w:color w:val="222222"/>
          <w:sz w:val="20"/>
        </w:rPr>
        <w:t>Margin: 14.03%</w:t>
      </w:r>
    </w:p>
    <w:p>
      <w:pPr>
        <w:spacing w:before="0" w:after="100" w:line="276" w:lineRule="auto"/>
      </w:pPr>
      <w:r>
        <w:rPr>
          <w:rFonts w:ascii="Arial" w:hAnsi="Arial"/>
          <w:color w:val="222222"/>
          <w:sz w:val="20"/>
        </w:rPr>
        <w:t>Although Home Office represents the smallest share of total sales, it produces the highest profit margin among the three segments.</w:t>
      </w:r>
    </w:p>
    <w:p>
      <w:pPr>
        <w:spacing w:before="0" w:after="100" w:line="276" w:lineRule="auto"/>
      </w:pPr>
      <w:r>
        <w:rPr>
          <w:rFonts w:ascii="Arial" w:hAnsi="Arial"/>
          <w:color w:val="222222"/>
          <w:sz w:val="20"/>
        </w:rPr>
        <w:t>This suggests that revenue contribution and profitability contribution should be evaluated separately. A segment generating less revenue may still provide stronger profitability on a percentage basis.</w:t>
      </w:r>
    </w:p>
    <w:p>
      <w:pPr>
        <w:keepNext/>
        <w:spacing w:before="360" w:after="120"/>
      </w:pPr>
      <w:r>
        <w:rPr>
          <w:rFonts w:ascii="Arial" w:hAnsi="Arial"/>
          <w:b/>
          <w:color w:val="1B365D"/>
          <w:sz w:val="28"/>
        </w:rPr>
        <w:t>11. Discount and Profitability Analysis</w:t>
      </w:r>
    </w:p>
    <w:p>
      <w:pPr>
        <w:spacing w:before="0" w:after="100" w:line="276" w:lineRule="auto"/>
      </w:pPr>
      <w:r>
        <w:rPr>
          <w:rFonts w:ascii="Arial" w:hAnsi="Arial"/>
          <w:color w:val="222222"/>
          <w:sz w:val="20"/>
        </w:rPr>
        <w:t>One of the most important findings from the project is the apparent relationship between discounting and profitability.</w:t>
      </w:r>
    </w:p>
    <w:p>
      <w:pPr>
        <w:spacing w:before="0" w:after="100" w:line="276" w:lineRule="auto"/>
      </w:pPr>
      <w:r>
        <w:rPr>
          <w:rFonts w:ascii="Arial" w:hAnsi="Arial"/>
          <w:color w:val="222222"/>
          <w:sz w:val="20"/>
        </w:rPr>
        <w:t>The overall average discount was approximately 15.62%. However, certain product categories experienced significantly higher discount rates.</w:t>
      </w:r>
    </w:p>
    <w:p>
      <w:pPr>
        <w:spacing w:before="0" w:after="100" w:line="276" w:lineRule="auto"/>
      </w:pPr>
      <w:r>
        <w:rPr>
          <w:rFonts w:ascii="Arial" w:hAnsi="Arial"/>
          <w:color w:val="222222"/>
          <w:sz w:val="20"/>
        </w:rPr>
        <w:t>Examples include:</w:t>
      </w:r>
    </w:p>
    <w:p>
      <w:pPr>
        <w:pStyle w:val="ListBullet"/>
        <w:spacing w:before="0" w:after="60" w:line="276" w:lineRule="auto"/>
        <w:ind w:left="360"/>
      </w:pPr>
      <w:r>
        <w:rPr>
          <w:rFonts w:ascii="Arial" w:hAnsi="Arial"/>
          <w:color w:val="222222"/>
          <w:sz w:val="20"/>
        </w:rPr>
        <w:t>Binders: approximately 37.2% average discount</w:t>
      </w:r>
    </w:p>
    <w:p>
      <w:pPr>
        <w:pStyle w:val="ListBullet"/>
        <w:spacing w:before="0" w:after="60" w:line="276" w:lineRule="auto"/>
        <w:ind w:left="360"/>
      </w:pPr>
      <w:r>
        <w:rPr>
          <w:rFonts w:ascii="Arial" w:hAnsi="Arial"/>
          <w:color w:val="222222"/>
          <w:sz w:val="20"/>
        </w:rPr>
        <w:t>Tables: approximately 26.1% average discount</w:t>
      </w:r>
    </w:p>
    <w:p>
      <w:pPr>
        <w:spacing w:before="0" w:after="100" w:line="276" w:lineRule="auto"/>
      </w:pPr>
      <w:r>
        <w:rPr>
          <w:rFonts w:ascii="Arial" w:hAnsi="Arial"/>
          <w:color w:val="222222"/>
          <w:sz w:val="20"/>
        </w:rPr>
        <w:t>These high discount levels may contribute to reduced or negative profitability.</w:t>
      </w:r>
    </w:p>
    <w:p>
      <w:pPr>
        <w:spacing w:before="0" w:after="100" w:line="276" w:lineRule="auto"/>
      </w:pPr>
      <w:r>
        <w:rPr>
          <w:rFonts w:ascii="Arial" w:hAnsi="Arial"/>
          <w:color w:val="222222"/>
          <w:sz w:val="20"/>
        </w:rPr>
        <w:t>The Furniture category provides the clearest example of this problem. Despite generating approximately $742,000 in sales, Furniture produced only a 2.49% profit margin. Tables were particularly problematic, generating a negative profit contribution.</w:t>
      </w:r>
    </w:p>
    <w:p>
      <w:pPr>
        <w:spacing w:before="0" w:after="100" w:line="276" w:lineRule="auto"/>
      </w:pPr>
      <w:r>
        <w:rPr>
          <w:rFonts w:ascii="Arial" w:hAnsi="Arial"/>
          <w:color w:val="222222"/>
          <w:sz w:val="20"/>
        </w:rPr>
        <w:t>The analysis therefore suggests that revenue growth achieved through aggressive discounting may not always create sustainable profitability.</w:t>
      </w:r>
    </w:p>
    <w:tbl>
      <w:tblPr>
        <w:tblW w:type="auto" w:w="0"/>
        <w:jc w:val="center"/>
        <w:tblLook w:firstColumn="1" w:firstRow="1" w:lastColumn="0" w:lastRow="0" w:noHBand="0" w:noVBand="1" w:val="04A0"/>
        <w:tblBorders>
          <w:top w:val="none"/>
          <w:bottom w:val="none"/>
          <w:left w:val="single" w:sz="24" w:space="0" w:color="1B365D"/>
          <w:right w:val="none"/>
        </w:tblBorders>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Arial" w:hAnsi="Arial"/>
                <w:b/>
                <w:color w:val="1B365D"/>
                <w:sz w:val="21"/>
              </w:rPr>
              <w:t>Key Strategic Insight:</w:t>
              <w:br/>
            </w:r>
            <w:r>
              <w:rPr>
                <w:rFonts w:ascii="Arial" w:hAnsi="Arial"/>
                <w:i/>
                <w:color w:val="222222"/>
                <w:sz w:val="20"/>
              </w:rPr>
              <w:t>Increasing sales volume does not automatically increase business value if the additional revenue is generated at the expense of profit margin.</w:t>
            </w:r>
          </w:p>
        </w:tc>
      </w:tr>
    </w:tbl>
    <w:p>
      <w:pPr>
        <w:spacing w:after="160"/>
      </w:pPr>
    </w:p>
    <w:p>
      <w:pPr>
        <w:keepNext/>
        <w:spacing w:before="360" w:after="120"/>
      </w:pPr>
      <w:r>
        <w:rPr>
          <w:rFonts w:ascii="Arial" w:hAnsi="Arial"/>
          <w:b/>
          <w:color w:val="1B365D"/>
          <w:sz w:val="28"/>
        </w:rPr>
        <w:t>12. Key Strategic Findings</w:t>
      </w:r>
    </w:p>
    <w:p>
      <w:pPr>
        <w:pStyle w:val="ListBullet"/>
        <w:spacing w:before="0" w:after="60" w:line="276" w:lineRule="auto"/>
        <w:ind w:left="360"/>
      </w:pPr>
      <w:r>
        <w:rPr>
          <w:rFonts w:ascii="Arial" w:hAnsi="Arial"/>
          <w:b/>
          <w:color w:val="222222"/>
          <w:sz w:val="20"/>
        </w:rPr>
        <w:t xml:space="preserve">Finding 1 — Sales and Profitability Are Not Distributed Equally: </w:t>
      </w:r>
      <w:r>
        <w:rPr>
          <w:rFonts w:ascii="Arial" w:hAnsi="Arial"/>
          <w:color w:val="222222"/>
          <w:sz w:val="20"/>
        </w:rPr>
        <w:t>The business generates substantial sales, but profitability varies significantly across categories and regions. Technology and Office Supplies demonstrate strong profitability, while Furniture generates comparatively weak margins.</w:t>
      </w:r>
    </w:p>
    <w:p>
      <w:pPr>
        <w:pStyle w:val="ListBullet"/>
        <w:spacing w:before="0" w:after="60" w:line="276" w:lineRule="auto"/>
        <w:ind w:left="360"/>
      </w:pPr>
      <w:r>
        <w:rPr>
          <w:rFonts w:ascii="Arial" w:hAnsi="Arial"/>
          <w:b/>
          <w:color w:val="222222"/>
          <w:sz w:val="20"/>
        </w:rPr>
        <w:t xml:space="preserve">Finding 2 — Technology Is a Major Profitability Driver: </w:t>
      </w:r>
      <w:r>
        <w:rPr>
          <w:rFonts w:ascii="Arial" w:hAnsi="Arial"/>
          <w:color w:val="222222"/>
          <w:sz w:val="20"/>
        </w:rPr>
        <w:t>Technology is the strongest category in terms of both sales and profit. The category should therefore be monitored as a strategic growth area.</w:t>
      </w:r>
    </w:p>
    <w:p>
      <w:pPr>
        <w:pStyle w:val="ListBullet"/>
        <w:spacing w:before="0" w:after="60" w:line="276" w:lineRule="auto"/>
        <w:ind w:left="360"/>
      </w:pPr>
      <w:r>
        <w:rPr>
          <w:rFonts w:ascii="Arial" w:hAnsi="Arial"/>
          <w:b/>
          <w:color w:val="222222"/>
          <w:sz w:val="20"/>
        </w:rPr>
        <w:t xml:space="preserve">Finding 3 — Furniture Requires Profitability Optimization: </w:t>
      </w:r>
      <w:r>
        <w:rPr>
          <w:rFonts w:ascii="Arial" w:hAnsi="Arial"/>
          <w:color w:val="222222"/>
          <w:sz w:val="20"/>
        </w:rPr>
        <w:t>Furniture generates substantial revenue but produces only a 2.49% margin. Tables and Bookcases are particularly important areas for investigation.</w:t>
      </w:r>
    </w:p>
    <w:p>
      <w:pPr>
        <w:pStyle w:val="ListBullet"/>
        <w:spacing w:before="0" w:after="60" w:line="276" w:lineRule="auto"/>
        <w:ind w:left="360"/>
      </w:pPr>
      <w:r>
        <w:rPr>
          <w:rFonts w:ascii="Arial" w:hAnsi="Arial"/>
          <w:b/>
          <w:color w:val="222222"/>
          <w:sz w:val="20"/>
        </w:rPr>
        <w:t xml:space="preserve">Finding 4 — Discounting May Be Eroding Profitability: </w:t>
      </w:r>
      <w:r>
        <w:rPr>
          <w:rFonts w:ascii="Arial" w:hAnsi="Arial"/>
          <w:color w:val="222222"/>
          <w:sz w:val="20"/>
        </w:rPr>
        <w:t>High discount rates are associated with weaker profitability in several areas. The Central region provides an important example, combining the highest average discount rate with the lowest regional profit margin.</w:t>
      </w:r>
    </w:p>
    <w:p>
      <w:pPr>
        <w:pStyle w:val="ListBullet"/>
        <w:spacing w:before="0" w:after="60" w:line="276" w:lineRule="auto"/>
        <w:ind w:left="360"/>
      </w:pPr>
      <w:r>
        <w:rPr>
          <w:rFonts w:ascii="Arial" w:hAnsi="Arial"/>
          <w:b/>
          <w:color w:val="222222"/>
          <w:sz w:val="20"/>
        </w:rPr>
        <w:t xml:space="preserve">Finding 5 — The Central Region Is a Potential Optimization Opportunity: </w:t>
      </w:r>
      <w:r>
        <w:rPr>
          <w:rFonts w:ascii="Arial" w:hAnsi="Arial"/>
          <w:color w:val="222222"/>
          <w:sz w:val="20"/>
        </w:rPr>
        <w:t>The Central region generates significant sales but has a relatively low margin. Management should investigate whether reducing unnecessary discounting could improve profitability without causing unacceptable sales declines.</w:t>
      </w:r>
    </w:p>
    <w:p>
      <w:pPr>
        <w:pStyle w:val="ListBullet"/>
        <w:spacing w:before="0" w:after="60" w:line="276" w:lineRule="auto"/>
        <w:ind w:left="360"/>
      </w:pPr>
      <w:r>
        <w:rPr>
          <w:rFonts w:ascii="Arial" w:hAnsi="Arial"/>
          <w:b/>
          <w:color w:val="222222"/>
          <w:sz w:val="20"/>
        </w:rPr>
        <w:t xml:space="preserve">Finding 6 — Smaller Customer Segments Can Have Higher Margins: </w:t>
      </w:r>
      <w:r>
        <w:rPr>
          <w:rFonts w:ascii="Arial" w:hAnsi="Arial"/>
          <w:color w:val="222222"/>
          <w:sz w:val="20"/>
        </w:rPr>
        <w:t>Home Office customers generate the smallest share of revenue but produce the highest profit margin. This demonstrates the importance of evaluating customer segments using both revenue contribution and profitability contribution.</w:t>
      </w:r>
    </w:p>
    <w:p>
      <w:pPr>
        <w:keepNext/>
        <w:spacing w:before="360" w:after="120"/>
      </w:pPr>
      <w:r>
        <w:rPr>
          <w:rFonts w:ascii="Arial" w:hAnsi="Arial"/>
          <w:b/>
          <w:color w:val="1B365D"/>
          <w:sz w:val="28"/>
        </w:rPr>
        <w:t>13. Business Recommendations</w:t>
      </w:r>
    </w:p>
    <w:p>
      <w:pPr>
        <w:pStyle w:val="ListBullet"/>
        <w:spacing w:before="0" w:after="60" w:line="276" w:lineRule="auto"/>
        <w:ind w:left="360"/>
      </w:pPr>
      <w:r>
        <w:rPr>
          <w:rFonts w:ascii="Arial" w:hAnsi="Arial"/>
          <w:b/>
          <w:color w:val="222222"/>
          <w:sz w:val="20"/>
        </w:rPr>
        <w:t xml:space="preserve">Recommendation 1 — Review Furniture Pricing and Discount Policies: </w:t>
      </w:r>
      <w:r>
        <w:rPr>
          <w:rFonts w:ascii="Arial" w:hAnsi="Arial"/>
          <w:color w:val="222222"/>
          <w:sz w:val="20"/>
        </w:rPr>
        <w:t>Management should conduct a detailed review of Furniture products, particularly Tables and Bookcases. The analysis should examine discount thresholds, product pricing, shipping costs, customer segment differences, and regional differences. Products that consistently generate losses should be evaluated for repricing, reduced discounting, supplier renegotiation, or potential catalog rationalization.</w:t>
      </w:r>
    </w:p>
    <w:p>
      <w:pPr>
        <w:pStyle w:val="ListBullet"/>
        <w:spacing w:before="0" w:after="60" w:line="276" w:lineRule="auto"/>
        <w:ind w:left="360"/>
      </w:pPr>
      <w:r>
        <w:rPr>
          <w:rFonts w:ascii="Arial" w:hAnsi="Arial"/>
          <w:b/>
          <w:color w:val="222222"/>
          <w:sz w:val="20"/>
        </w:rPr>
        <w:t xml:space="preserve">Recommendation 2 — Reassess Central Region Discounting: </w:t>
      </w:r>
      <w:r>
        <w:rPr>
          <w:rFonts w:ascii="Arial" w:hAnsi="Arial"/>
          <w:color w:val="222222"/>
          <w:sz w:val="20"/>
        </w:rPr>
        <w:t>The Central region should be examined as a priority optimization area. The organization should evaluate whether current promotional strategies are generating sufficient incremental sales to justify the associated margin reduction. A controlled reduction in discounting could potentially improve profitability. However, this should be tested carefully to determine whether lower discounts lead to reduced sales volumes.</w:t>
      </w:r>
    </w:p>
    <w:p>
      <w:pPr>
        <w:pStyle w:val="ListBullet"/>
        <w:spacing w:before="0" w:after="60" w:line="276" w:lineRule="auto"/>
        <w:ind w:left="360"/>
      </w:pPr>
      <w:r>
        <w:rPr>
          <w:rFonts w:ascii="Arial" w:hAnsi="Arial"/>
          <w:b/>
          <w:color w:val="222222"/>
          <w:sz w:val="20"/>
        </w:rPr>
        <w:t xml:space="preserve">Recommendation 3 — Protect High-Margin Product Categories: </w:t>
      </w:r>
      <w:r>
        <w:rPr>
          <w:rFonts w:ascii="Arial" w:hAnsi="Arial"/>
          <w:color w:val="222222"/>
          <w:sz w:val="20"/>
        </w:rPr>
        <w:t>Products and sub-categories such as Copiers, Phones, Paper, Labels, and Accessories should be monitored as important profitability drivers. Management should avoid unnecessary discounting on products that already demonstrate strong demand and margins.</w:t>
      </w:r>
    </w:p>
    <w:p>
      <w:pPr>
        <w:pStyle w:val="ListBullet"/>
        <w:spacing w:before="0" w:after="60" w:line="276" w:lineRule="auto"/>
        <w:ind w:left="360"/>
      </w:pPr>
      <w:r>
        <w:rPr>
          <w:rFonts w:ascii="Arial" w:hAnsi="Arial"/>
          <w:b/>
          <w:color w:val="222222"/>
          <w:sz w:val="20"/>
        </w:rPr>
        <w:t xml:space="preserve">Recommendation 4 — Develop Profitability-Focused KPIs: </w:t>
      </w:r>
      <w:r>
        <w:rPr>
          <w:rFonts w:ascii="Arial" w:hAnsi="Arial"/>
          <w:color w:val="222222"/>
          <w:sz w:val="20"/>
        </w:rPr>
        <w:t>Business reporting should move beyond sales-focused KPIs. Recommended KPIs include Total Sales, Total Profit, Profit Margin, Average Discount, Profit per Order, Profit by Category, Profit by Region, and Profit by Customer Segment. This would provide a more balanced view of business performance.</w:t>
      </w:r>
    </w:p>
    <w:p>
      <w:pPr>
        <w:pStyle w:val="ListBullet"/>
        <w:spacing w:before="0" w:after="60" w:line="276" w:lineRule="auto"/>
        <w:ind w:left="360"/>
      </w:pPr>
      <w:r>
        <w:rPr>
          <w:rFonts w:ascii="Arial" w:hAnsi="Arial"/>
          <w:b/>
          <w:color w:val="222222"/>
          <w:sz w:val="20"/>
        </w:rPr>
        <w:t xml:space="preserve">Recommendation 5 — Monitor Discount-to-Profit Relationships: </w:t>
      </w:r>
      <w:r>
        <w:rPr>
          <w:rFonts w:ascii="Arial" w:hAnsi="Arial"/>
          <w:color w:val="222222"/>
          <w:sz w:val="20"/>
        </w:rPr>
        <w:t>Future dashboard development could include a dedicated analysis of Discount → Sales → Profit Margin. This would help identify the discount levels at which profitability begins to deteriorate.</w:t>
      </w:r>
    </w:p>
    <w:p>
      <w:pPr>
        <w:pStyle w:val="ListBullet"/>
        <w:spacing w:before="0" w:after="60" w:line="276" w:lineRule="auto"/>
        <w:ind w:left="360"/>
      </w:pPr>
      <w:r>
        <w:rPr>
          <w:rFonts w:ascii="Arial" w:hAnsi="Arial"/>
          <w:b/>
          <w:color w:val="222222"/>
          <w:sz w:val="20"/>
        </w:rPr>
        <w:t xml:space="preserve">Recommendation 6 — Investigate High-Margin Customer Segments: </w:t>
      </w:r>
      <w:r>
        <w:rPr>
          <w:rFonts w:ascii="Arial" w:hAnsi="Arial"/>
          <w:color w:val="222222"/>
          <w:sz w:val="20"/>
        </w:rPr>
        <w:t>The Home Office segment demonstrates the highest profit margin despite contributing the smallest share of sales. Further analysis could investigate which products Home Office customers purchase, which regions contain the strongest Home Office customers, whether similar customers can be acquired, and whether targeted marketing can increase this segment's contribution.</w:t>
      </w:r>
    </w:p>
    <w:p>
      <w:pPr>
        <w:keepNext/>
        <w:spacing w:before="360" w:after="120"/>
      </w:pPr>
      <w:r>
        <w:rPr>
          <w:rFonts w:ascii="Arial" w:hAnsi="Arial"/>
          <w:b/>
          <w:color w:val="1B365D"/>
          <w:sz w:val="28"/>
        </w:rPr>
        <w:t>14. Looker Studio Dashboard</w:t>
      </w:r>
    </w:p>
    <w:p>
      <w:pPr>
        <w:spacing w:before="0" w:after="100" w:line="276" w:lineRule="auto"/>
      </w:pPr>
      <w:r>
        <w:rPr>
          <w:rFonts w:ascii="Arial" w:hAnsi="Arial"/>
          <w:color w:val="222222"/>
          <w:sz w:val="20"/>
        </w:rPr>
        <w:t>The project includes an interactive dashboard developed using Google Looker Studio.</w:t>
      </w:r>
    </w:p>
    <w:p>
      <w:pPr>
        <w:spacing w:before="0" w:after="100" w:line="276" w:lineRule="auto"/>
      </w:pPr>
      <w:r>
        <w:rPr>
          <w:rFonts w:ascii="Arial" w:hAnsi="Arial"/>
          <w:color w:val="222222"/>
          <w:sz w:val="20"/>
        </w:rPr>
        <w:t>The dashboard provides a visual interface for exploring the Global Superstore dataset and its business performance.</w:t>
      </w:r>
    </w:p>
    <w:p>
      <w:pPr>
        <w:spacing w:before="0" w:after="100" w:line="276" w:lineRule="auto"/>
      </w:pPr>
      <w:r>
        <w:rPr>
          <w:rFonts w:ascii="Arial" w:hAnsi="Arial"/>
          <w:color w:val="222222"/>
          <w:sz w:val="20"/>
        </w:rPr>
        <w:t>The dashboard enables users to analyze:</w:t>
      </w:r>
    </w:p>
    <w:p>
      <w:pPr>
        <w:pStyle w:val="ListBullet"/>
        <w:spacing w:before="0" w:after="60" w:line="276" w:lineRule="auto"/>
        <w:ind w:left="360"/>
      </w:pPr>
      <w:r>
        <w:rPr>
          <w:rFonts w:ascii="Arial" w:hAnsi="Arial"/>
          <w:color w:val="222222"/>
          <w:sz w:val="20"/>
        </w:rPr>
        <w:t>Overall sales</w:t>
      </w:r>
    </w:p>
    <w:p>
      <w:pPr>
        <w:pStyle w:val="ListBullet"/>
        <w:spacing w:before="0" w:after="60" w:line="276" w:lineRule="auto"/>
        <w:ind w:left="360"/>
      </w:pPr>
      <w:r>
        <w:rPr>
          <w:rFonts w:ascii="Arial" w:hAnsi="Arial"/>
          <w:color w:val="222222"/>
          <w:sz w:val="20"/>
        </w:rPr>
        <w:t>Overall profit</w:t>
      </w:r>
    </w:p>
    <w:p>
      <w:pPr>
        <w:pStyle w:val="ListBullet"/>
        <w:spacing w:before="0" w:after="60" w:line="276" w:lineRule="auto"/>
        <w:ind w:left="360"/>
      </w:pPr>
      <w:r>
        <w:rPr>
          <w:rFonts w:ascii="Arial" w:hAnsi="Arial"/>
          <w:color w:val="222222"/>
          <w:sz w:val="20"/>
        </w:rPr>
        <w:t>Profit margins</w:t>
      </w:r>
    </w:p>
    <w:p>
      <w:pPr>
        <w:pStyle w:val="ListBullet"/>
        <w:spacing w:before="0" w:after="60" w:line="276" w:lineRule="auto"/>
        <w:ind w:left="360"/>
      </w:pPr>
      <w:r>
        <w:rPr>
          <w:rFonts w:ascii="Arial" w:hAnsi="Arial"/>
          <w:color w:val="222222"/>
          <w:sz w:val="20"/>
        </w:rPr>
        <w:t>Product performance</w:t>
      </w:r>
    </w:p>
    <w:p>
      <w:pPr>
        <w:pStyle w:val="ListBullet"/>
        <w:spacing w:before="0" w:after="60" w:line="276" w:lineRule="auto"/>
        <w:ind w:left="360"/>
      </w:pPr>
      <w:r>
        <w:rPr>
          <w:rFonts w:ascii="Arial" w:hAnsi="Arial"/>
          <w:color w:val="222222"/>
          <w:sz w:val="20"/>
        </w:rPr>
        <w:t>Regional performance</w:t>
      </w:r>
    </w:p>
    <w:p>
      <w:pPr>
        <w:pStyle w:val="ListBullet"/>
        <w:spacing w:before="0" w:after="60" w:line="276" w:lineRule="auto"/>
        <w:ind w:left="360"/>
      </w:pPr>
      <w:r>
        <w:rPr>
          <w:rFonts w:ascii="Arial" w:hAnsi="Arial"/>
          <w:color w:val="222222"/>
          <w:sz w:val="20"/>
        </w:rPr>
        <w:t>Customer segments</w:t>
      </w:r>
    </w:p>
    <w:p>
      <w:pPr>
        <w:pStyle w:val="ListBullet"/>
        <w:spacing w:before="0" w:after="60" w:line="276" w:lineRule="auto"/>
        <w:ind w:left="360"/>
      </w:pPr>
      <w:r>
        <w:rPr>
          <w:rFonts w:ascii="Arial" w:hAnsi="Arial"/>
          <w:color w:val="222222"/>
          <w:sz w:val="20"/>
        </w:rPr>
        <w:t>Sales patterns</w:t>
      </w:r>
    </w:p>
    <w:p>
      <w:pPr>
        <w:pStyle w:val="ListBullet"/>
        <w:spacing w:before="0" w:after="60" w:line="276" w:lineRule="auto"/>
        <w:ind w:left="360"/>
      </w:pPr>
      <w:r>
        <w:rPr>
          <w:rFonts w:ascii="Arial" w:hAnsi="Arial"/>
          <w:color w:val="222222"/>
          <w:sz w:val="20"/>
        </w:rPr>
        <w:t>Profitability patterns</w:t>
      </w:r>
    </w:p>
    <w:p>
      <w:pPr>
        <w:spacing w:before="0" w:after="100" w:line="276" w:lineRule="auto"/>
      </w:pPr>
      <w:r>
        <w:rPr>
          <w:rFonts w:ascii="Arial" w:hAnsi="Arial"/>
          <w:color w:val="222222"/>
          <w:sz w:val="20"/>
        </w:rPr>
        <w:t>The dashboard is designed to provide an executive-level view of business performance while allowing users to explore underlying patterns.</w:t>
      </w:r>
    </w:p>
    <w:p>
      <w:pPr>
        <w:keepNext/>
        <w:spacing w:before="240" w:after="80"/>
      </w:pPr>
      <w:r>
        <w:rPr>
          <w:rFonts w:ascii="Arial" w:hAnsi="Arial"/>
          <w:b/>
          <w:color w:val="4A777A"/>
          <w:sz w:val="23"/>
        </w:rPr>
        <w:t>Interactive Dashboard</w:t>
      </w:r>
    </w:p>
    <w:p>
      <w:pPr>
        <w:spacing w:before="0" w:after="100" w:line="276" w:lineRule="auto"/>
      </w:pPr>
      <w:r>
        <w:rPr>
          <w:rFonts w:ascii="Arial" w:hAnsi="Arial"/>
          <w:color w:val="222222"/>
          <w:sz w:val="20"/>
        </w:rPr>
        <w:t>The live dashboard can be accessed through the project documentation:</w:t>
      </w:r>
    </w:p>
    <w:p>
      <w:pPr>
        <w:pStyle w:val="ListBullet"/>
        <w:spacing w:before="0" w:after="60" w:line="276" w:lineRule="auto"/>
        <w:ind w:left="360"/>
      </w:pPr>
      <w:r>
        <w:rPr>
          <w:rFonts w:ascii="Arial" w:hAnsi="Arial"/>
          <w:color w:val="222222"/>
          <w:sz w:val="20"/>
        </w:rPr>
        <w:t>Open the Interactive Looker Studio Dashboard</w:t>
      </w:r>
    </w:p>
    <w:p>
      <w:pPr>
        <w:spacing w:before="0" w:after="100" w:line="276" w:lineRule="auto"/>
      </w:pPr>
      <w:r>
        <w:rPr>
          <w:rFonts w:ascii="Arial" w:hAnsi="Arial"/>
          <w:color w:val="222222"/>
          <w:sz w:val="20"/>
        </w:rPr>
        <w:t>The dashboard is also documented in:</w:t>
      </w:r>
    </w:p>
    <w:p>
      <w:pPr>
        <w:pStyle w:val="ListBullet"/>
        <w:spacing w:before="0" w:after="60" w:line="276" w:lineRule="auto"/>
        <w:ind w:left="360"/>
      </w:pPr>
      <w:r>
        <w:rPr>
          <w:rFonts w:ascii="Arial" w:hAnsi="Arial"/>
          <w:color w:val="222222"/>
          <w:sz w:val="20"/>
        </w:rPr>
        <w:t>Dashboard/LOOKER_STUDIO_DASHBOARD.md</w:t>
      </w:r>
    </w:p>
    <w:p>
      <w:pPr>
        <w:spacing w:before="0" w:after="100" w:line="276" w:lineRule="auto"/>
      </w:pPr>
      <w:r>
        <w:rPr>
          <w:rFonts w:ascii="Arial" w:hAnsi="Arial"/>
          <w:color w:val="222222"/>
          <w:sz w:val="20"/>
        </w:rPr>
        <w:t>A PDF export of the dashboard is available in:</w:t>
      </w:r>
    </w:p>
    <w:p>
      <w:pPr>
        <w:pStyle w:val="ListBullet"/>
        <w:spacing w:before="0" w:after="60" w:line="276" w:lineRule="auto"/>
        <w:ind w:left="360"/>
      </w:pPr>
      <w:r>
        <w:rPr>
          <w:rFonts w:ascii="Arial" w:hAnsi="Arial"/>
          <w:color w:val="222222"/>
          <w:sz w:val="20"/>
        </w:rPr>
        <w:t>Dashboard/Executive_Profitability_Analysis__Global_Superstore.pdf</w:t>
      </w:r>
    </w:p>
    <w:p>
      <w:pPr>
        <w:keepNext/>
        <w:spacing w:before="360" w:after="120"/>
      </w:pPr>
      <w:r>
        <w:rPr>
          <w:rFonts w:ascii="Arial" w:hAnsi="Arial"/>
          <w:b/>
          <w:color w:val="1B365D"/>
          <w:sz w:val="28"/>
        </w:rPr>
        <w:t>15. Business Intelligence Value</w:t>
      </w:r>
    </w:p>
    <w:p>
      <w:pPr>
        <w:spacing w:before="0" w:after="100" w:line="276" w:lineRule="auto"/>
      </w:pPr>
      <w:r>
        <w:rPr>
          <w:rFonts w:ascii="Arial" w:hAnsi="Arial"/>
          <w:color w:val="222222"/>
          <w:sz w:val="20"/>
        </w:rPr>
        <w:t>The dashboard demonstrates how Business Intelligence tools can transform transactional datasets into decision-support resources.</w:t>
      </w:r>
    </w:p>
    <w:p>
      <w:pPr>
        <w:spacing w:before="0" w:after="100" w:line="276" w:lineRule="auto"/>
      </w:pPr>
      <w:r>
        <w:rPr>
          <w:rFonts w:ascii="Arial" w:hAnsi="Arial"/>
          <w:color w:val="222222"/>
          <w:sz w:val="20"/>
        </w:rPr>
        <w:t>Instead of manually reviewing thousands of transaction records, management can use interactive visualizations to identify:</w:t>
      </w:r>
    </w:p>
    <w:p>
      <w:pPr>
        <w:pStyle w:val="ListBullet"/>
        <w:spacing w:before="0" w:after="60" w:line="276" w:lineRule="auto"/>
        <w:ind w:left="360"/>
      </w:pPr>
      <w:r>
        <w:rPr>
          <w:rFonts w:ascii="Arial" w:hAnsi="Arial"/>
          <w:color w:val="222222"/>
          <w:sz w:val="20"/>
        </w:rPr>
        <w:t>Which products generate the most profit</w:t>
      </w:r>
    </w:p>
    <w:p>
      <w:pPr>
        <w:pStyle w:val="ListBullet"/>
        <w:spacing w:before="0" w:after="60" w:line="276" w:lineRule="auto"/>
        <w:ind w:left="360"/>
      </w:pPr>
      <w:r>
        <w:rPr>
          <w:rFonts w:ascii="Arial" w:hAnsi="Arial"/>
          <w:color w:val="222222"/>
          <w:sz w:val="20"/>
        </w:rPr>
        <w:t>Which categories require attention</w:t>
      </w:r>
    </w:p>
    <w:p>
      <w:pPr>
        <w:pStyle w:val="ListBullet"/>
        <w:spacing w:before="0" w:after="60" w:line="276" w:lineRule="auto"/>
        <w:ind w:left="360"/>
      </w:pPr>
      <w:r>
        <w:rPr>
          <w:rFonts w:ascii="Arial" w:hAnsi="Arial"/>
          <w:color w:val="222222"/>
          <w:sz w:val="20"/>
        </w:rPr>
        <w:t>Which regions are performing well</w:t>
      </w:r>
    </w:p>
    <w:p>
      <w:pPr>
        <w:pStyle w:val="ListBullet"/>
        <w:spacing w:before="0" w:after="60" w:line="276" w:lineRule="auto"/>
        <w:ind w:left="360"/>
      </w:pPr>
      <w:r>
        <w:rPr>
          <w:rFonts w:ascii="Arial" w:hAnsi="Arial"/>
          <w:color w:val="222222"/>
          <w:sz w:val="20"/>
        </w:rPr>
        <w:t>Where discounting may be damaging margins</w:t>
      </w:r>
    </w:p>
    <w:p>
      <w:pPr>
        <w:pStyle w:val="ListBullet"/>
        <w:spacing w:before="0" w:after="60" w:line="276" w:lineRule="auto"/>
        <w:ind w:left="360"/>
      </w:pPr>
      <w:r>
        <w:rPr>
          <w:rFonts w:ascii="Arial" w:hAnsi="Arial"/>
          <w:color w:val="222222"/>
          <w:sz w:val="20"/>
        </w:rPr>
        <w:t>Which customer segments provide stronger profitability</w:t>
      </w:r>
    </w:p>
    <w:p>
      <w:pPr>
        <w:spacing w:before="0" w:after="100" w:line="276" w:lineRule="auto"/>
      </w:pPr>
      <w:r>
        <w:rPr>
          <w:rFonts w:ascii="Arial" w:hAnsi="Arial"/>
          <w:color w:val="222222"/>
          <w:sz w:val="20"/>
        </w:rPr>
        <w:t>The dashboard therefore acts as an analytical bridge between raw transactional data and business decision-making.</w:t>
      </w:r>
    </w:p>
    <w:p>
      <w:pPr>
        <w:keepNext/>
        <w:spacing w:before="360" w:after="120"/>
      </w:pPr>
      <w:r>
        <w:rPr>
          <w:rFonts w:ascii="Arial" w:hAnsi="Arial"/>
          <w:b/>
          <w:color w:val="1B365D"/>
          <w:sz w:val="28"/>
        </w:rPr>
        <w:t>16. Project Repository Structure</w:t>
      </w:r>
    </w:p>
    <w:p>
      <w:pPr>
        <w:spacing w:before="0" w:after="100" w:line="276" w:lineRule="auto"/>
      </w:pPr>
      <w:r>
        <w:rPr>
          <w:rFonts w:ascii="Arial" w:hAnsi="Arial"/>
          <w:color w:val="222222"/>
          <w:sz w:val="20"/>
        </w:rPr>
        <w:t>The project is organized within the Data Analytics Portfolio GitHub repository.</w:t>
      </w:r>
    </w:p>
    <w:tbl>
      <w:tblPr>
        <w:tblW w:type="auto" w:w="0"/>
        <w:jc w:val="center"/>
        <w:tblLook w:firstColumn="1" w:firstRow="1" w:lastColumn="0" w:lastRow="0" w:noHBand="0" w:noVBand="1" w:val="04A0"/>
        <w:tblBorders>
          <w:top w:val="none"/>
          <w:bottom w:val="none"/>
          <w:left w:val="single" w:sz="24" w:space="0" w:color="1B365D"/>
          <w:right w:val="none"/>
        </w:tblBorders>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Arial" w:hAnsi="Arial"/>
                <w:b/>
                <w:color w:val="1B365D"/>
                <w:sz w:val="21"/>
              </w:rPr>
              <w:t>Repository File Tree:</w:t>
              <w:br/>
            </w:r>
            <w:r>
              <w:rPr>
                <w:rFonts w:ascii="Arial" w:hAnsi="Arial"/>
                <w:i/>
                <w:color w:val="222222"/>
                <w:sz w:val="20"/>
              </w:rPr>
              <w:t>04-Looker-Studio-Ecommerce-Analytics/</w:t>
              <w:br/>
              <w:t>│</w:t>
              <w:br/>
              <w:t>├── Dashboard/</w:t>
              <w:br/>
              <w:t>│   ├── LOOKER_STUDIO_DASHBOARD.md</w:t>
              <w:br/>
              <w:t>│   ├── Executive_Profitability_Analysis__Global_Superstore.pdf</w:t>
              <w:br/>
              <w:t>│   └── .gitkeep</w:t>
              <w:br/>
              <w:t>│</w:t>
              <w:br/>
              <w:t>├── Data/</w:t>
              <w:br/>
              <w:t>│   ├── Sample-Superstore-csv.csv</w:t>
              <w:br/>
              <w:t>│   ├── Superstore_Cleaned.csv</w:t>
              <w:br/>
              <w:t>│   └── .gitkeep</w:t>
              <w:br/>
              <w:t>│</w:t>
              <w:br/>
              <w:t>├── Documentation/</w:t>
              <w:br/>
              <w:t>│   └── .gitkeep</w:t>
              <w:br/>
              <w:t>│</w:t>
              <w:br/>
              <w:t>└── README.md</w:t>
            </w:r>
          </w:p>
        </w:tc>
      </w:tr>
    </w:tbl>
    <w:p>
      <w:pPr>
        <w:spacing w:after="160"/>
      </w:pPr>
    </w:p>
    <w:p>
      <w:pPr>
        <w:spacing w:before="0" w:after="100" w:line="276" w:lineRule="auto"/>
      </w:pPr>
      <w:r>
        <w:rPr>
          <w:rFonts w:ascii="Arial" w:hAnsi="Arial"/>
          <w:color w:val="222222"/>
          <w:sz w:val="20"/>
        </w:rPr>
        <w:t>The project structure separates:</w:t>
      </w:r>
    </w:p>
    <w:p>
      <w:pPr>
        <w:pStyle w:val="ListBullet"/>
        <w:spacing w:before="0" w:after="60" w:line="276" w:lineRule="auto"/>
        <w:ind w:left="360"/>
      </w:pPr>
      <w:r>
        <w:rPr>
          <w:rFonts w:ascii="Arial" w:hAnsi="Arial"/>
          <w:color w:val="222222"/>
          <w:sz w:val="20"/>
        </w:rPr>
        <w:t>Source and cleaned data</w:t>
      </w:r>
    </w:p>
    <w:p>
      <w:pPr>
        <w:pStyle w:val="ListBullet"/>
        <w:spacing w:before="0" w:after="60" w:line="276" w:lineRule="auto"/>
        <w:ind w:left="360"/>
      </w:pPr>
      <w:r>
        <w:rPr>
          <w:rFonts w:ascii="Arial" w:hAnsi="Arial"/>
          <w:color w:val="222222"/>
          <w:sz w:val="20"/>
        </w:rPr>
        <w:t>Dashboard resources</w:t>
      </w:r>
    </w:p>
    <w:p>
      <w:pPr>
        <w:pStyle w:val="ListBullet"/>
        <w:spacing w:before="0" w:after="60" w:line="276" w:lineRule="auto"/>
        <w:ind w:left="360"/>
      </w:pPr>
      <w:r>
        <w:rPr>
          <w:rFonts w:ascii="Arial" w:hAnsi="Arial"/>
          <w:color w:val="222222"/>
          <w:sz w:val="20"/>
        </w:rPr>
        <w:t>Documentation</w:t>
      </w:r>
    </w:p>
    <w:p>
      <w:pPr>
        <w:pStyle w:val="ListBullet"/>
        <w:spacing w:before="0" w:after="60" w:line="276" w:lineRule="auto"/>
        <w:ind w:left="360"/>
      </w:pPr>
      <w:r>
        <w:rPr>
          <w:rFonts w:ascii="Arial" w:hAnsi="Arial"/>
          <w:color w:val="222222"/>
          <w:sz w:val="20"/>
        </w:rPr>
        <w:t>Project-level information</w:t>
      </w:r>
    </w:p>
    <w:p>
      <w:pPr>
        <w:spacing w:before="0" w:after="100" w:line="276" w:lineRule="auto"/>
      </w:pPr>
      <w:r>
        <w:rPr>
          <w:rFonts w:ascii="Arial" w:hAnsi="Arial"/>
          <w:color w:val="222222"/>
          <w:sz w:val="20"/>
        </w:rPr>
        <w:t>This structure supports reproducibility and makes the project easier for other users, recruiters, or hiring managers to navigate.</w:t>
      </w:r>
    </w:p>
    <w:p>
      <w:pPr>
        <w:keepNext/>
        <w:spacing w:before="360" w:after="120"/>
      </w:pPr>
      <w:r>
        <w:rPr>
          <w:rFonts w:ascii="Arial" w:hAnsi="Arial"/>
          <w:b/>
          <w:color w:val="1B365D"/>
          <w:sz w:val="28"/>
        </w:rPr>
        <w:t>17. Project Limitations</w:t>
      </w:r>
    </w:p>
    <w:p>
      <w:pPr>
        <w:spacing w:before="0" w:after="100" w:line="276" w:lineRule="auto"/>
      </w:pPr>
      <w:r>
        <w:rPr>
          <w:rFonts w:ascii="Arial" w:hAnsi="Arial"/>
          <w:color w:val="222222"/>
          <w:sz w:val="20"/>
        </w:rPr>
        <w:t>Several limitations should be considered when interpreting the findings.</w:t>
      </w:r>
    </w:p>
    <w:p>
      <w:pPr>
        <w:keepNext/>
        <w:spacing w:before="240" w:after="80"/>
      </w:pPr>
      <w:r>
        <w:rPr>
          <w:rFonts w:ascii="Arial" w:hAnsi="Arial"/>
          <w:b/>
          <w:color w:val="4A777A"/>
          <w:sz w:val="23"/>
        </w:rPr>
        <w:t>Historical Dataset</w:t>
      </w:r>
    </w:p>
    <w:p>
      <w:pPr>
        <w:spacing w:before="0" w:after="100" w:line="276" w:lineRule="auto"/>
      </w:pPr>
      <w:r>
        <w:rPr>
          <w:rFonts w:ascii="Arial" w:hAnsi="Arial"/>
          <w:color w:val="222222"/>
          <w:sz w:val="20"/>
        </w:rPr>
        <w:t>The dataset represents historical transactional activity and may not reflect current market conditions.</w:t>
      </w:r>
    </w:p>
    <w:p>
      <w:pPr>
        <w:keepNext/>
        <w:spacing w:before="240" w:after="80"/>
      </w:pPr>
      <w:r>
        <w:rPr>
          <w:rFonts w:ascii="Arial" w:hAnsi="Arial"/>
          <w:b/>
          <w:color w:val="4A777A"/>
          <w:sz w:val="23"/>
        </w:rPr>
        <w:t>Correlation Does Not Establish Causation</w:t>
      </w:r>
    </w:p>
    <w:p>
      <w:pPr>
        <w:spacing w:before="0" w:after="100" w:line="276" w:lineRule="auto"/>
      </w:pPr>
      <w:r>
        <w:rPr>
          <w:rFonts w:ascii="Arial" w:hAnsi="Arial"/>
          <w:color w:val="222222"/>
          <w:sz w:val="20"/>
        </w:rPr>
        <w:t>The analysis identifies relationships and patterns but does not establish that discounting directly causes lower profitability. Other factors may influence profitability, including:</w:t>
      </w:r>
    </w:p>
    <w:p>
      <w:pPr>
        <w:pStyle w:val="ListBullet"/>
        <w:spacing w:before="0" w:after="60" w:line="276" w:lineRule="auto"/>
        <w:ind w:left="360"/>
      </w:pPr>
      <w:r>
        <w:rPr>
          <w:rFonts w:ascii="Arial" w:hAnsi="Arial"/>
          <w:color w:val="222222"/>
          <w:sz w:val="20"/>
        </w:rPr>
        <w:t>Shipping costs</w:t>
      </w:r>
    </w:p>
    <w:p>
      <w:pPr>
        <w:pStyle w:val="ListBullet"/>
        <w:spacing w:before="0" w:after="60" w:line="276" w:lineRule="auto"/>
        <w:ind w:left="360"/>
      </w:pPr>
      <w:r>
        <w:rPr>
          <w:rFonts w:ascii="Arial" w:hAnsi="Arial"/>
          <w:color w:val="222222"/>
          <w:sz w:val="20"/>
        </w:rPr>
        <w:t>Product costs</w:t>
      </w:r>
    </w:p>
    <w:p>
      <w:pPr>
        <w:pStyle w:val="ListBullet"/>
        <w:spacing w:before="0" w:after="60" w:line="276" w:lineRule="auto"/>
        <w:ind w:left="360"/>
      </w:pPr>
      <w:r>
        <w:rPr>
          <w:rFonts w:ascii="Arial" w:hAnsi="Arial"/>
          <w:color w:val="222222"/>
          <w:sz w:val="20"/>
        </w:rPr>
        <w:t>Customer mix</w:t>
      </w:r>
    </w:p>
    <w:p>
      <w:pPr>
        <w:pStyle w:val="ListBullet"/>
        <w:spacing w:before="0" w:after="60" w:line="276" w:lineRule="auto"/>
        <w:ind w:left="360"/>
      </w:pPr>
      <w:r>
        <w:rPr>
          <w:rFonts w:ascii="Arial" w:hAnsi="Arial"/>
          <w:color w:val="222222"/>
          <w:sz w:val="20"/>
        </w:rPr>
        <w:t>Regional conditions</w:t>
      </w:r>
    </w:p>
    <w:p>
      <w:pPr>
        <w:pStyle w:val="ListBullet"/>
        <w:spacing w:before="0" w:after="60" w:line="276" w:lineRule="auto"/>
        <w:ind w:left="360"/>
      </w:pPr>
      <w:r>
        <w:rPr>
          <w:rFonts w:ascii="Arial" w:hAnsi="Arial"/>
          <w:color w:val="222222"/>
          <w:sz w:val="20"/>
        </w:rPr>
        <w:t>Product demand</w:t>
      </w:r>
    </w:p>
    <w:p>
      <w:pPr>
        <w:pStyle w:val="ListBullet"/>
        <w:spacing w:before="0" w:after="60" w:line="276" w:lineRule="auto"/>
        <w:ind w:left="360"/>
      </w:pPr>
      <w:r>
        <w:rPr>
          <w:rFonts w:ascii="Arial" w:hAnsi="Arial"/>
          <w:color w:val="222222"/>
          <w:sz w:val="20"/>
        </w:rPr>
        <w:t>Pricing strategies</w:t>
      </w:r>
    </w:p>
    <w:p>
      <w:pPr>
        <w:keepNext/>
        <w:spacing w:before="240" w:after="80"/>
      </w:pPr>
      <w:r>
        <w:rPr>
          <w:rFonts w:ascii="Arial" w:hAnsi="Arial"/>
          <w:b/>
          <w:color w:val="4A777A"/>
          <w:sz w:val="23"/>
        </w:rPr>
        <w:t>Limited Business Context</w:t>
      </w:r>
    </w:p>
    <w:p>
      <w:pPr>
        <w:spacing w:before="0" w:after="100" w:line="276" w:lineRule="auto"/>
      </w:pPr>
      <w:r>
        <w:rPr>
          <w:rFonts w:ascii="Arial" w:hAnsi="Arial"/>
          <w:color w:val="222222"/>
          <w:sz w:val="20"/>
        </w:rPr>
        <w:t>The dataset does not provide complete information about operational costs, marketing expenditure, inventory costs, or supplier pricing.</w:t>
      </w:r>
    </w:p>
    <w:p>
      <w:pPr>
        <w:spacing w:before="0" w:after="100" w:line="276" w:lineRule="auto"/>
      </w:pPr>
      <w:r>
        <w:rPr>
          <w:rFonts w:ascii="Arial" w:hAnsi="Arial"/>
          <w:color w:val="222222"/>
          <w:sz w:val="20"/>
        </w:rPr>
        <w:t>Therefore, profitability conclusions should be considered analytical indicators rather than complete financial accounting conclusions.</w:t>
      </w:r>
    </w:p>
    <w:p>
      <w:pPr>
        <w:keepNext/>
        <w:spacing w:before="240" w:after="80"/>
      </w:pPr>
      <w:r>
        <w:rPr>
          <w:rFonts w:ascii="Arial" w:hAnsi="Arial"/>
          <w:b/>
          <w:color w:val="4A777A"/>
          <w:sz w:val="23"/>
        </w:rPr>
        <w:t>Dashboard-Level Analysis</w:t>
      </w:r>
    </w:p>
    <w:p>
      <w:pPr>
        <w:spacing w:before="0" w:after="100" w:line="276" w:lineRule="auto"/>
      </w:pPr>
      <w:r>
        <w:rPr>
          <w:rFonts w:ascii="Arial" w:hAnsi="Arial"/>
          <w:color w:val="222222"/>
          <w:sz w:val="20"/>
        </w:rPr>
        <w:t>The project is primarily exploratory and descriptive. Further statistical or predictive analysis could be conducted to investigate:</w:t>
      </w:r>
    </w:p>
    <w:p>
      <w:pPr>
        <w:pStyle w:val="ListBullet"/>
        <w:spacing w:before="0" w:after="60" w:line="276" w:lineRule="auto"/>
        <w:ind w:left="360"/>
      </w:pPr>
      <w:r>
        <w:rPr>
          <w:rFonts w:ascii="Arial" w:hAnsi="Arial"/>
          <w:color w:val="222222"/>
          <w:sz w:val="20"/>
        </w:rPr>
        <w:t>Sales forecasting</w:t>
      </w:r>
    </w:p>
    <w:p>
      <w:pPr>
        <w:pStyle w:val="ListBullet"/>
        <w:spacing w:before="0" w:after="60" w:line="276" w:lineRule="auto"/>
        <w:ind w:left="360"/>
      </w:pPr>
      <w:r>
        <w:rPr>
          <w:rFonts w:ascii="Arial" w:hAnsi="Arial"/>
          <w:color w:val="222222"/>
          <w:sz w:val="20"/>
        </w:rPr>
        <w:t>Profit forecasting</w:t>
      </w:r>
    </w:p>
    <w:p>
      <w:pPr>
        <w:pStyle w:val="ListBullet"/>
        <w:spacing w:before="0" w:after="60" w:line="276" w:lineRule="auto"/>
        <w:ind w:left="360"/>
      </w:pPr>
      <w:r>
        <w:rPr>
          <w:rFonts w:ascii="Arial" w:hAnsi="Arial"/>
          <w:color w:val="222222"/>
          <w:sz w:val="20"/>
        </w:rPr>
        <w:t>Customer lifetime value</w:t>
      </w:r>
    </w:p>
    <w:p>
      <w:pPr>
        <w:pStyle w:val="ListBullet"/>
        <w:spacing w:before="0" w:after="60" w:line="276" w:lineRule="auto"/>
        <w:ind w:left="360"/>
      </w:pPr>
      <w:r>
        <w:rPr>
          <w:rFonts w:ascii="Arial" w:hAnsi="Arial"/>
          <w:color w:val="222222"/>
          <w:sz w:val="20"/>
        </w:rPr>
        <w:t>Price elasticity</w:t>
      </w:r>
    </w:p>
    <w:p>
      <w:pPr>
        <w:pStyle w:val="ListBullet"/>
        <w:spacing w:before="0" w:after="60" w:line="276" w:lineRule="auto"/>
        <w:ind w:left="360"/>
      </w:pPr>
      <w:r>
        <w:rPr>
          <w:rFonts w:ascii="Arial" w:hAnsi="Arial"/>
          <w:color w:val="222222"/>
          <w:sz w:val="20"/>
        </w:rPr>
        <w:t>Discount optimization</w:t>
      </w:r>
    </w:p>
    <w:p>
      <w:pPr>
        <w:pStyle w:val="ListBullet"/>
        <w:spacing w:before="0" w:after="60" w:line="276" w:lineRule="auto"/>
        <w:ind w:left="360"/>
      </w:pPr>
      <w:r>
        <w:rPr>
          <w:rFonts w:ascii="Arial" w:hAnsi="Arial"/>
          <w:color w:val="222222"/>
          <w:sz w:val="20"/>
        </w:rPr>
        <w:t>Customer segmentation</w:t>
      </w:r>
    </w:p>
    <w:p>
      <w:pPr>
        <w:pStyle w:val="ListBullet"/>
        <w:spacing w:before="0" w:after="60" w:line="276" w:lineRule="auto"/>
        <w:ind w:left="360"/>
      </w:pPr>
      <w:r>
        <w:rPr>
          <w:rFonts w:ascii="Arial" w:hAnsi="Arial"/>
          <w:color w:val="222222"/>
          <w:sz w:val="20"/>
        </w:rPr>
        <w:t>Product demand prediction</w:t>
      </w:r>
    </w:p>
    <w:p>
      <w:pPr>
        <w:keepNext/>
        <w:spacing w:before="360" w:after="120"/>
      </w:pPr>
      <w:r>
        <w:rPr>
          <w:rFonts w:ascii="Arial" w:hAnsi="Arial"/>
          <w:b/>
          <w:color w:val="1B365D"/>
          <w:sz w:val="28"/>
        </w:rPr>
        <w:t>18. Future Analysis Opportunities</w:t>
      </w:r>
    </w:p>
    <w:p>
      <w:pPr>
        <w:spacing w:before="0" w:after="100" w:line="276" w:lineRule="auto"/>
      </w:pPr>
      <w:r>
        <w:rPr>
          <w:rFonts w:ascii="Arial" w:hAnsi="Arial"/>
          <w:color w:val="222222"/>
          <w:sz w:val="20"/>
        </w:rPr>
        <w:t>The project can be extended through several advanced analytical approaches.</w:t>
      </w:r>
    </w:p>
    <w:p>
      <w:pPr>
        <w:keepNext/>
        <w:spacing w:before="240" w:after="80"/>
      </w:pPr>
      <w:r>
        <w:rPr>
          <w:rFonts w:ascii="Arial" w:hAnsi="Arial"/>
          <w:b/>
          <w:color w:val="4A777A"/>
          <w:sz w:val="23"/>
        </w:rPr>
        <w:t>Predictive Analytics</w:t>
      </w:r>
    </w:p>
    <w:p>
      <w:pPr>
        <w:spacing w:before="0" w:after="100" w:line="276" w:lineRule="auto"/>
      </w:pPr>
      <w:r>
        <w:rPr>
          <w:rFonts w:ascii="Arial" w:hAnsi="Arial"/>
          <w:color w:val="222222"/>
          <w:sz w:val="20"/>
        </w:rPr>
        <w:t>Future work could include forecasting:</w:t>
      </w:r>
    </w:p>
    <w:p>
      <w:pPr>
        <w:pStyle w:val="ListBullet"/>
        <w:spacing w:before="0" w:after="60" w:line="276" w:lineRule="auto"/>
        <w:ind w:left="360"/>
      </w:pPr>
      <w:r>
        <w:rPr>
          <w:rFonts w:ascii="Arial" w:hAnsi="Arial"/>
          <w:color w:val="222222"/>
          <w:sz w:val="20"/>
        </w:rPr>
        <w:t>Sales</w:t>
      </w:r>
    </w:p>
    <w:p>
      <w:pPr>
        <w:pStyle w:val="ListBullet"/>
        <w:spacing w:before="0" w:after="60" w:line="276" w:lineRule="auto"/>
        <w:ind w:left="360"/>
      </w:pPr>
      <w:r>
        <w:rPr>
          <w:rFonts w:ascii="Arial" w:hAnsi="Arial"/>
          <w:color w:val="222222"/>
          <w:sz w:val="20"/>
        </w:rPr>
        <w:t>Profit</w:t>
      </w:r>
    </w:p>
    <w:p>
      <w:pPr>
        <w:pStyle w:val="ListBullet"/>
        <w:spacing w:before="0" w:after="60" w:line="276" w:lineRule="auto"/>
        <w:ind w:left="360"/>
      </w:pPr>
      <w:r>
        <w:rPr>
          <w:rFonts w:ascii="Arial" w:hAnsi="Arial"/>
          <w:color w:val="222222"/>
          <w:sz w:val="20"/>
        </w:rPr>
        <w:t>Demand</w:t>
      </w:r>
    </w:p>
    <w:p>
      <w:pPr>
        <w:pStyle w:val="ListBullet"/>
        <w:spacing w:before="0" w:after="60" w:line="276" w:lineRule="auto"/>
        <w:ind w:left="360"/>
      </w:pPr>
      <w:r>
        <w:rPr>
          <w:rFonts w:ascii="Arial" w:hAnsi="Arial"/>
          <w:color w:val="222222"/>
          <w:sz w:val="20"/>
        </w:rPr>
        <w:t>Regional performance</w:t>
      </w:r>
    </w:p>
    <w:p>
      <w:pPr>
        <w:keepNext/>
        <w:spacing w:before="240" w:after="80"/>
      </w:pPr>
      <w:r>
        <w:rPr>
          <w:rFonts w:ascii="Arial" w:hAnsi="Arial"/>
          <w:b/>
          <w:color w:val="4A777A"/>
          <w:sz w:val="23"/>
        </w:rPr>
        <w:t>Customer Analytics</w:t>
      </w:r>
    </w:p>
    <w:p>
      <w:pPr>
        <w:spacing w:before="0" w:after="100" w:line="276" w:lineRule="auto"/>
      </w:pPr>
      <w:r>
        <w:rPr>
          <w:rFonts w:ascii="Arial" w:hAnsi="Arial"/>
          <w:color w:val="222222"/>
          <w:sz w:val="20"/>
        </w:rPr>
        <w:t>Customer segmentation techniques could identify groups based on:</w:t>
      </w:r>
    </w:p>
    <w:p>
      <w:pPr>
        <w:pStyle w:val="ListBullet"/>
        <w:spacing w:before="0" w:after="60" w:line="276" w:lineRule="auto"/>
        <w:ind w:left="360"/>
      </w:pPr>
      <w:r>
        <w:rPr>
          <w:rFonts w:ascii="Arial" w:hAnsi="Arial"/>
          <w:color w:val="222222"/>
          <w:sz w:val="20"/>
        </w:rPr>
        <w:t>Purchase frequency</w:t>
      </w:r>
    </w:p>
    <w:p>
      <w:pPr>
        <w:pStyle w:val="ListBullet"/>
        <w:spacing w:before="0" w:after="60" w:line="276" w:lineRule="auto"/>
        <w:ind w:left="360"/>
      </w:pPr>
      <w:r>
        <w:rPr>
          <w:rFonts w:ascii="Arial" w:hAnsi="Arial"/>
          <w:color w:val="222222"/>
          <w:sz w:val="20"/>
        </w:rPr>
        <w:t>Revenue</w:t>
      </w:r>
    </w:p>
    <w:p>
      <w:pPr>
        <w:pStyle w:val="ListBullet"/>
        <w:spacing w:before="0" w:after="60" w:line="276" w:lineRule="auto"/>
        <w:ind w:left="360"/>
      </w:pPr>
      <w:r>
        <w:rPr>
          <w:rFonts w:ascii="Arial" w:hAnsi="Arial"/>
          <w:color w:val="222222"/>
          <w:sz w:val="20"/>
        </w:rPr>
        <w:t>Profitability</w:t>
      </w:r>
    </w:p>
    <w:p>
      <w:pPr>
        <w:pStyle w:val="ListBullet"/>
        <w:spacing w:before="0" w:after="60" w:line="276" w:lineRule="auto"/>
        <w:ind w:left="360"/>
      </w:pPr>
      <w:r>
        <w:rPr>
          <w:rFonts w:ascii="Arial" w:hAnsi="Arial"/>
          <w:color w:val="222222"/>
          <w:sz w:val="20"/>
        </w:rPr>
        <w:t>Product preferences</w:t>
      </w:r>
    </w:p>
    <w:p>
      <w:pPr>
        <w:keepNext/>
        <w:spacing w:before="240" w:after="80"/>
      </w:pPr>
      <w:r>
        <w:rPr>
          <w:rFonts w:ascii="Arial" w:hAnsi="Arial"/>
          <w:b/>
          <w:color w:val="4A777A"/>
          <w:sz w:val="23"/>
        </w:rPr>
        <w:t>Discount Optimization</w:t>
      </w:r>
    </w:p>
    <w:p>
      <w:pPr>
        <w:spacing w:before="0" w:after="100" w:line="276" w:lineRule="auto"/>
      </w:pPr>
      <w:r>
        <w:rPr>
          <w:rFonts w:ascii="Arial" w:hAnsi="Arial"/>
          <w:color w:val="222222"/>
          <w:sz w:val="20"/>
        </w:rPr>
        <w:t>A more detailed analysis could estimate the relationship between discount levels and profit margins.</w:t>
      </w:r>
    </w:p>
    <w:p>
      <w:pPr>
        <w:keepNext/>
        <w:spacing w:before="240" w:after="80"/>
      </w:pPr>
      <w:r>
        <w:rPr>
          <w:rFonts w:ascii="Arial" w:hAnsi="Arial"/>
          <w:b/>
          <w:color w:val="4A777A"/>
          <w:sz w:val="23"/>
        </w:rPr>
        <w:t>Product Portfolio Optimization</w:t>
      </w:r>
    </w:p>
    <w:p>
      <w:pPr>
        <w:spacing w:before="0" w:after="100" w:line="276" w:lineRule="auto"/>
      </w:pPr>
      <w:r>
        <w:rPr>
          <w:rFonts w:ascii="Arial" w:hAnsi="Arial"/>
          <w:color w:val="222222"/>
          <w:sz w:val="20"/>
        </w:rPr>
        <w:t>Products could be classified into categories such as:</w:t>
      </w:r>
    </w:p>
    <w:p>
      <w:pPr>
        <w:pStyle w:val="ListBullet"/>
        <w:spacing w:before="0" w:after="60" w:line="276" w:lineRule="auto"/>
        <w:ind w:left="360"/>
      </w:pPr>
      <w:r>
        <w:rPr>
          <w:rFonts w:ascii="Arial" w:hAnsi="Arial"/>
          <w:color w:val="222222"/>
          <w:sz w:val="20"/>
        </w:rPr>
        <w:t>High sales / high profit</w:t>
      </w:r>
    </w:p>
    <w:p>
      <w:pPr>
        <w:pStyle w:val="ListBullet"/>
        <w:spacing w:before="0" w:after="60" w:line="276" w:lineRule="auto"/>
        <w:ind w:left="360"/>
      </w:pPr>
      <w:r>
        <w:rPr>
          <w:rFonts w:ascii="Arial" w:hAnsi="Arial"/>
          <w:color w:val="222222"/>
          <w:sz w:val="20"/>
        </w:rPr>
        <w:t>High sales / low profit</w:t>
      </w:r>
    </w:p>
    <w:p>
      <w:pPr>
        <w:pStyle w:val="ListBullet"/>
        <w:spacing w:before="0" w:after="60" w:line="276" w:lineRule="auto"/>
        <w:ind w:left="360"/>
      </w:pPr>
      <w:r>
        <w:rPr>
          <w:rFonts w:ascii="Arial" w:hAnsi="Arial"/>
          <w:color w:val="222222"/>
          <w:sz w:val="20"/>
        </w:rPr>
        <w:t>Low sales / high profit</w:t>
      </w:r>
    </w:p>
    <w:p>
      <w:pPr>
        <w:pStyle w:val="ListBullet"/>
        <w:spacing w:before="0" w:after="60" w:line="276" w:lineRule="auto"/>
        <w:ind w:left="360"/>
      </w:pPr>
      <w:r>
        <w:rPr>
          <w:rFonts w:ascii="Arial" w:hAnsi="Arial"/>
          <w:color w:val="222222"/>
          <w:sz w:val="20"/>
        </w:rPr>
        <w:t>Low sales / low profit</w:t>
      </w:r>
    </w:p>
    <w:p>
      <w:pPr>
        <w:spacing w:before="0" w:after="100" w:line="276" w:lineRule="auto"/>
      </w:pPr>
      <w:r>
        <w:rPr>
          <w:rFonts w:ascii="Arial" w:hAnsi="Arial"/>
          <w:color w:val="222222"/>
          <w:sz w:val="20"/>
        </w:rPr>
        <w:t>This would support strategic product portfolio decisions.</w:t>
      </w:r>
    </w:p>
    <w:p>
      <w:pPr>
        <w:keepNext/>
        <w:spacing w:before="240" w:after="80"/>
      </w:pPr>
      <w:r>
        <w:rPr>
          <w:rFonts w:ascii="Arial" w:hAnsi="Arial"/>
          <w:b/>
          <w:color w:val="4A777A"/>
          <w:sz w:val="23"/>
        </w:rPr>
        <w:t>Advanced Business Intelligence</w:t>
      </w:r>
    </w:p>
    <w:p>
      <w:pPr>
        <w:spacing w:before="0" w:after="100" w:line="276" w:lineRule="auto"/>
      </w:pPr>
      <w:r>
        <w:rPr>
          <w:rFonts w:ascii="Arial" w:hAnsi="Arial"/>
          <w:color w:val="222222"/>
          <w:sz w:val="20"/>
        </w:rPr>
        <w:t>The Looker Studio dashboard could be expanded with:</w:t>
      </w:r>
    </w:p>
    <w:p>
      <w:pPr>
        <w:pStyle w:val="ListBullet"/>
        <w:spacing w:before="0" w:after="60" w:line="276" w:lineRule="auto"/>
        <w:ind w:left="360"/>
      </w:pPr>
      <w:r>
        <w:rPr>
          <w:rFonts w:ascii="Arial" w:hAnsi="Arial"/>
          <w:color w:val="222222"/>
          <w:sz w:val="20"/>
        </w:rPr>
        <w:t>Time-series analysis</w:t>
      </w:r>
    </w:p>
    <w:p>
      <w:pPr>
        <w:pStyle w:val="ListBullet"/>
        <w:spacing w:before="0" w:after="60" w:line="276" w:lineRule="auto"/>
        <w:ind w:left="360"/>
      </w:pPr>
      <w:r>
        <w:rPr>
          <w:rFonts w:ascii="Arial" w:hAnsi="Arial"/>
          <w:color w:val="222222"/>
          <w:sz w:val="20"/>
        </w:rPr>
        <w:t>Year-over-year comparisons</w:t>
      </w:r>
    </w:p>
    <w:p>
      <w:pPr>
        <w:pStyle w:val="ListBullet"/>
        <w:spacing w:before="0" w:after="60" w:line="276" w:lineRule="auto"/>
        <w:ind w:left="360"/>
      </w:pPr>
      <w:r>
        <w:rPr>
          <w:rFonts w:ascii="Arial" w:hAnsi="Arial"/>
          <w:color w:val="222222"/>
          <w:sz w:val="20"/>
        </w:rPr>
        <w:t>Regional filters</w:t>
      </w:r>
    </w:p>
    <w:p>
      <w:pPr>
        <w:pStyle w:val="ListBullet"/>
        <w:spacing w:before="0" w:after="60" w:line="276" w:lineRule="auto"/>
        <w:ind w:left="360"/>
      </w:pPr>
      <w:r>
        <w:rPr>
          <w:rFonts w:ascii="Arial" w:hAnsi="Arial"/>
          <w:color w:val="222222"/>
          <w:sz w:val="20"/>
        </w:rPr>
        <w:t>Product drill-downs</w:t>
      </w:r>
    </w:p>
    <w:p>
      <w:pPr>
        <w:pStyle w:val="ListBullet"/>
        <w:spacing w:before="0" w:after="60" w:line="276" w:lineRule="auto"/>
        <w:ind w:left="360"/>
      </w:pPr>
      <w:r>
        <w:rPr>
          <w:rFonts w:ascii="Arial" w:hAnsi="Arial"/>
          <w:color w:val="222222"/>
          <w:sz w:val="20"/>
        </w:rPr>
        <w:t>Customer segment filters</w:t>
      </w:r>
    </w:p>
    <w:p>
      <w:pPr>
        <w:pStyle w:val="ListBullet"/>
        <w:spacing w:before="0" w:after="60" w:line="276" w:lineRule="auto"/>
        <w:ind w:left="360"/>
      </w:pPr>
      <w:r>
        <w:rPr>
          <w:rFonts w:ascii="Arial" w:hAnsi="Arial"/>
          <w:color w:val="222222"/>
          <w:sz w:val="20"/>
        </w:rPr>
        <w:t>Profitability heatmaps</w:t>
      </w:r>
    </w:p>
    <w:p>
      <w:pPr>
        <w:pStyle w:val="ListBullet"/>
        <w:spacing w:before="0" w:after="60" w:line="276" w:lineRule="auto"/>
        <w:ind w:left="360"/>
      </w:pPr>
      <w:r>
        <w:rPr>
          <w:rFonts w:ascii="Arial" w:hAnsi="Arial"/>
          <w:color w:val="222222"/>
          <w:sz w:val="20"/>
        </w:rPr>
        <w:t>Discount impact analysis</w:t>
      </w:r>
    </w:p>
    <w:p>
      <w:pPr>
        <w:keepNext/>
        <w:spacing w:before="360" w:after="120"/>
      </w:pPr>
      <w:r>
        <w:rPr>
          <w:rFonts w:ascii="Arial" w:hAnsi="Arial"/>
          <w:b/>
          <w:color w:val="1B365D"/>
          <w:sz w:val="28"/>
        </w:rPr>
        <w:t>19. Conclusion</w:t>
      </w:r>
    </w:p>
    <w:p>
      <w:pPr>
        <w:spacing w:before="0" w:after="100" w:line="276" w:lineRule="auto"/>
      </w:pPr>
      <w:r>
        <w:rPr>
          <w:rFonts w:ascii="Arial" w:hAnsi="Arial"/>
          <w:color w:val="222222"/>
          <w:sz w:val="20"/>
        </w:rPr>
        <w:t>The Global Superstore analysis demonstrates how transactional retail data can be transformed into meaningful business intelligence through data preparation, exploratory analysis, and interactive dashboard development.</w:t>
      </w:r>
    </w:p>
    <w:p>
      <w:pPr>
        <w:spacing w:before="0" w:after="100" w:line="276" w:lineRule="auto"/>
      </w:pPr>
      <w:r>
        <w:rPr>
          <w:rFonts w:ascii="Arial" w:hAnsi="Arial"/>
          <w:color w:val="222222"/>
          <w:sz w:val="20"/>
        </w:rPr>
        <w:t>The analysis identified several important patterns.</w:t>
      </w:r>
    </w:p>
    <w:p>
      <w:pPr>
        <w:spacing w:before="0" w:after="100" w:line="276" w:lineRule="auto"/>
      </w:pPr>
      <w:r>
        <w:rPr>
          <w:rFonts w:ascii="Arial" w:hAnsi="Arial"/>
          <w:color w:val="222222"/>
          <w:sz w:val="20"/>
        </w:rPr>
        <w:t>The business generated approximately $2.30 million in sales and $286,397 in profit, but profitability varied considerably across product categories and regions.</w:t>
      </w:r>
    </w:p>
    <w:p>
      <w:pPr>
        <w:spacing w:before="0" w:after="100" w:line="276" w:lineRule="auto"/>
      </w:pPr>
      <w:r>
        <w:rPr>
          <w:rFonts w:ascii="Arial" w:hAnsi="Arial"/>
          <w:color w:val="222222"/>
          <w:sz w:val="20"/>
        </w:rPr>
        <w:t>Technology emerged as the strongest overall category, while Furniture demonstrated a significant profitability challenge despite generating substantial revenue.</w:t>
      </w:r>
    </w:p>
    <w:p>
      <w:pPr>
        <w:spacing w:before="0" w:after="100" w:line="276" w:lineRule="auto"/>
      </w:pPr>
      <w:r>
        <w:rPr>
          <w:rFonts w:ascii="Arial" w:hAnsi="Arial"/>
          <w:color w:val="222222"/>
          <w:sz w:val="20"/>
        </w:rPr>
        <w:t>The Central region also requires attention due to its relatively low profit margin and comparatively high discount rate.</w:t>
      </w:r>
    </w:p>
    <w:p>
      <w:pPr>
        <w:spacing w:before="0" w:after="100" w:line="276" w:lineRule="auto"/>
      </w:pPr>
      <w:r>
        <w:rPr>
          <w:rFonts w:ascii="Arial" w:hAnsi="Arial"/>
          <w:color w:val="222222"/>
          <w:sz w:val="20"/>
        </w:rPr>
        <w:t>The analysis further demonstrates that customer segments should not be evaluated solely on revenue contribution. The Home Office segment, while representing the smallest share of sales, generated the highest profit margin among the three customer segments.</w:t>
      </w:r>
    </w:p>
    <w:p>
      <w:pPr>
        <w:spacing w:before="0" w:after="100" w:line="276" w:lineRule="auto"/>
      </w:pPr>
      <w:r>
        <w:rPr>
          <w:rFonts w:ascii="Arial" w:hAnsi="Arial"/>
          <w:color w:val="222222"/>
          <w:sz w:val="20"/>
        </w:rPr>
        <w:t>The project highlights the importance of moving beyond revenue-focused reporting toward a broader understanding of profitability.</w:t>
      </w:r>
    </w:p>
    <w:p>
      <w:pPr>
        <w:spacing w:before="0" w:after="100" w:line="276" w:lineRule="auto"/>
      </w:pPr>
      <w:r>
        <w:rPr>
          <w:rFonts w:ascii="Arial" w:hAnsi="Arial"/>
          <w:color w:val="222222"/>
          <w:sz w:val="20"/>
        </w:rPr>
        <w:t>The interactive Looker Studio dashboard provides a practical Business Intelligence layer through which these insights can be explored visually.</w:t>
      </w:r>
    </w:p>
    <w:tbl>
      <w:tblPr>
        <w:tblW w:type="auto" w:w="0"/>
        <w:jc w:val="center"/>
        <w:tblLook w:firstColumn="1" w:firstRow="1" w:lastColumn="0" w:lastRow="0" w:noHBand="0" w:noVBand="1" w:val="04A0"/>
        <w:tblBorders>
          <w:top w:val="none"/>
          <w:bottom w:val="none"/>
          <w:left w:val="single" w:sz="24" w:space="0" w:color="1B365D"/>
          <w:right w:val="none"/>
        </w:tblBorders>
      </w:tblPr>
      <w:tblGrid>
        <w:gridCol w:w="9360"/>
      </w:tblGrid>
      <w:tr>
        <w:tc>
          <w:tcPr>
            <w:tcW w:type="dxa" w:w="9360"/>
            <w:shd w:fill="F4F6F8"/>
            <w:tcMar>
              <w:top w:w="120" w:type="dxa"/>
              <w:bottom w:w="120" w:type="dxa"/>
              <w:left w:w="180" w:type="dxa"/>
              <w:right w:w="180" w:type="dxa"/>
            </w:tcMar>
          </w:tcPr>
          <w:p>
            <w:pPr>
              <w:spacing w:before="0" w:after="0" w:line="276" w:lineRule="auto"/>
            </w:pPr>
            <w:r>
              <w:rPr>
                <w:rFonts w:ascii="Arial" w:hAnsi="Arial"/>
                <w:b/>
                <w:color w:val="1B365D"/>
                <w:sz w:val="21"/>
              </w:rPr>
              <w:t>End-to-End Analytical Workflow:</w:t>
              <w:br/>
            </w:r>
            <w:r>
              <w:rPr>
                <w:rFonts w:ascii="Arial" w:hAnsi="Arial"/>
                <w:i/>
                <w:color w:val="222222"/>
                <w:sz w:val="20"/>
              </w:rPr>
              <w:t>Raw Transactional Data</w:t>
              <w:br/>
              <w:t xml:space="preserve">  ↓</w:t>
              <w:br/>
              <w:t>Data Preparation &amp; Cleaning</w:t>
              <w:br/>
              <w:t xml:space="preserve">  ↓</w:t>
              <w:br/>
              <w:t>Exploratory Data Analysis</w:t>
              <w:br/>
              <w:t xml:space="preserve">  ↓</w:t>
              <w:br/>
              <w:t>KPI Development</w:t>
              <w:br/>
              <w:t xml:space="preserve">  ↓</w:t>
              <w:br/>
              <w:t>Business Intelligence Dashboard</w:t>
              <w:br/>
              <w:t xml:space="preserve">  ↓</w:t>
              <w:br/>
              <w:t>Insight Identification</w:t>
              <w:br/>
              <w:t xml:space="preserve">  ↓</w:t>
              <w:br/>
              <w:t>Strategic Recommendations</w:t>
            </w:r>
          </w:p>
        </w:tc>
      </w:tr>
    </w:tbl>
    <w:p>
      <w:pPr>
        <w:spacing w:after="160"/>
      </w:pPr>
    </w:p>
    <w:p>
      <w:pPr>
        <w:spacing w:before="0" w:after="100" w:line="276" w:lineRule="auto"/>
      </w:pPr>
      <w:r>
        <w:rPr>
          <w:rFonts w:ascii="Arial" w:hAnsi="Arial"/>
          <w:color w:val="222222"/>
          <w:sz w:val="20"/>
        </w:rPr>
        <w:t>This project forms part of a broader Data Analytics Portfolio and demonstrates practical skills in data preparation, exploratory analysis, Business Intelligence, dashboard development, KPI analysis, profitability analysis, and business communication.</w:t>
      </w:r>
    </w:p>
    <w:p>
      <w:pPr>
        <w:keepNext/>
        <w:spacing w:before="360" w:after="120"/>
      </w:pPr>
      <w:r>
        <w:rPr>
          <w:rFonts w:ascii="Arial" w:hAnsi="Arial"/>
          <w:b/>
          <w:color w:val="1B365D"/>
          <w:sz w:val="28"/>
        </w:rPr>
        <w:t>Appendix A — Key KPI Summary</w:t>
      </w:r>
    </w:p>
    <w:tbl>
      <w:tblPr>
        <w:tblW w:type="auto" w:w="0"/>
        <w:jc w:val="center"/>
        <w:tblLook w:firstColumn="1" w:firstRow="1" w:lastColumn="0" w:lastRow="0" w:noHBand="0" w:noVBand="1" w:val="04A0"/>
        <w:tblBorders>
          <w:top w:val="single" w:sz="4" w:space="0" w:color="CCCCCC"/>
          <w:bottom w:val="single" w:sz="6" w:space="0" w:color="1B365D"/>
          <w:left w:val="none"/>
          <w:right w:val="none"/>
          <w:insideH w:val="single" w:sz="4" w:space="0" w:color="CCCCCC"/>
          <w:insideV w:val="none"/>
        </w:tblBorders>
      </w:tblPr>
      <w:tblGrid>
        <w:gridCol w:w="4680"/>
        <w:gridCol w:w="4680"/>
      </w:tblGrid>
      <w:tr>
        <w:trPr>
          <w:cantSplit/>
          <w:tblHeader/>
        </w:trPr>
        <w:tc>
          <w:tcPr>
            <w:tcW w:type="dxa" w:w="4608"/>
            <w:shd w:fill="1B365D"/>
            <w:tcMar>
              <w:top w:w="140" w:type="dxa"/>
              <w:bottom w:w="140" w:type="dxa"/>
              <w:left w:w="150" w:type="dxa"/>
              <w:right w:w="150" w:type="dxa"/>
            </w:tcMar>
          </w:tcPr>
          <w:p>
            <w:pPr>
              <w:spacing w:before="0" w:after="0"/>
            </w:pPr>
            <w:r>
              <w:rPr>
                <w:rFonts w:ascii="Arial" w:hAnsi="Arial"/>
                <w:b/>
                <w:color w:val="FFFFFF"/>
                <w:sz w:val="19"/>
              </w:rPr>
              <w:t>KPI</w:t>
            </w:r>
          </w:p>
        </w:tc>
        <w:tc>
          <w:tcPr>
            <w:tcW w:type="dxa" w:w="4752"/>
            <w:shd w:fill="1B365D"/>
            <w:tcMar>
              <w:top w:w="140" w:type="dxa"/>
              <w:bottom w:w="140" w:type="dxa"/>
              <w:left w:w="150" w:type="dxa"/>
              <w:right w:w="150" w:type="dxa"/>
            </w:tcMar>
          </w:tcPr>
          <w:p>
            <w:pPr>
              <w:spacing w:before="0" w:after="0"/>
            </w:pPr>
            <w:r>
              <w:rPr>
                <w:rFonts w:ascii="Arial" w:hAnsi="Arial"/>
                <w:b/>
                <w:color w:val="FFFFFF"/>
                <w:sz w:val="19"/>
              </w:rPr>
              <w:t>Result</w:t>
            </w:r>
          </w:p>
        </w:tc>
      </w:tr>
      <w:tr>
        <w:trPr>
          <w:cantSplit/>
        </w:trPr>
        <w:tc>
          <w:tcPr>
            <w:tcW w:type="dxa" w:w="4608"/>
            <w:shd w:fill="F4F6F8"/>
            <w:tcMar>
              <w:top w:w="100" w:type="dxa"/>
              <w:bottom w:w="100" w:type="dxa"/>
              <w:left w:w="150" w:type="dxa"/>
              <w:right w:w="150" w:type="dxa"/>
            </w:tcMar>
          </w:tcPr>
          <w:p>
            <w:pPr>
              <w:spacing w:before="0" w:after="0"/>
            </w:pPr>
            <w:r>
              <w:rPr>
                <w:rFonts w:ascii="Arial" w:hAnsi="Arial"/>
                <w:color w:val="222222"/>
                <w:sz w:val="19"/>
              </w:rPr>
              <w:t>Total Records</w:t>
            </w:r>
          </w:p>
        </w:tc>
        <w:tc>
          <w:tcPr>
            <w:tcW w:type="dxa" w:w="4752"/>
            <w:shd w:fill="F4F6F8"/>
            <w:tcMar>
              <w:top w:w="100" w:type="dxa"/>
              <w:bottom w:w="100" w:type="dxa"/>
              <w:left w:w="150" w:type="dxa"/>
              <w:right w:w="150" w:type="dxa"/>
            </w:tcMar>
          </w:tcPr>
          <w:p>
            <w:pPr>
              <w:spacing w:before="0" w:after="0"/>
            </w:pPr>
            <w:r>
              <w:rPr>
                <w:rFonts w:ascii="Arial" w:hAnsi="Arial"/>
                <w:color w:val="222222"/>
                <w:sz w:val="19"/>
              </w:rPr>
              <w:t>9,994</w:t>
            </w:r>
          </w:p>
        </w:tc>
      </w:tr>
      <w:tr>
        <w:trPr>
          <w:cantSplit/>
        </w:trPr>
        <w:tc>
          <w:tcPr>
            <w:tcW w:type="dxa" w:w="4608"/>
            <w:shd w:fill="FFFFFF"/>
            <w:tcMar>
              <w:top w:w="100" w:type="dxa"/>
              <w:bottom w:w="100" w:type="dxa"/>
              <w:left w:w="150" w:type="dxa"/>
              <w:right w:w="150" w:type="dxa"/>
            </w:tcMar>
          </w:tcPr>
          <w:p>
            <w:pPr>
              <w:spacing w:before="0" w:after="0"/>
            </w:pPr>
            <w:r>
              <w:rPr>
                <w:rFonts w:ascii="Arial" w:hAnsi="Arial"/>
                <w:color w:val="222222"/>
                <w:sz w:val="19"/>
              </w:rPr>
              <w:t>Total Variables</w:t>
            </w:r>
          </w:p>
        </w:tc>
        <w:tc>
          <w:tcPr>
            <w:tcW w:type="dxa" w:w="4752"/>
            <w:shd w:fill="FFFFFF"/>
            <w:tcMar>
              <w:top w:w="100" w:type="dxa"/>
              <w:bottom w:w="100" w:type="dxa"/>
              <w:left w:w="150" w:type="dxa"/>
              <w:right w:w="150" w:type="dxa"/>
            </w:tcMar>
          </w:tcPr>
          <w:p>
            <w:pPr>
              <w:spacing w:before="0" w:after="0"/>
            </w:pPr>
            <w:r>
              <w:rPr>
                <w:rFonts w:ascii="Arial" w:hAnsi="Arial"/>
                <w:color w:val="222222"/>
                <w:sz w:val="19"/>
              </w:rPr>
              <w:t>21</w:t>
            </w:r>
          </w:p>
        </w:tc>
      </w:tr>
      <w:tr>
        <w:trPr>
          <w:cantSplit/>
        </w:trPr>
        <w:tc>
          <w:tcPr>
            <w:tcW w:type="dxa" w:w="4608"/>
            <w:shd w:fill="F4F6F8"/>
            <w:tcMar>
              <w:top w:w="100" w:type="dxa"/>
              <w:bottom w:w="100" w:type="dxa"/>
              <w:left w:w="150" w:type="dxa"/>
              <w:right w:w="150" w:type="dxa"/>
            </w:tcMar>
          </w:tcPr>
          <w:p>
            <w:pPr>
              <w:spacing w:before="0" w:after="0"/>
            </w:pPr>
            <w:r>
              <w:rPr>
                <w:rFonts w:ascii="Arial" w:hAnsi="Arial"/>
                <w:color w:val="222222"/>
                <w:sz w:val="19"/>
              </w:rPr>
              <w:t>Unique Orders</w:t>
            </w:r>
          </w:p>
        </w:tc>
        <w:tc>
          <w:tcPr>
            <w:tcW w:type="dxa" w:w="4752"/>
            <w:shd w:fill="F4F6F8"/>
            <w:tcMar>
              <w:top w:w="100" w:type="dxa"/>
              <w:bottom w:w="100" w:type="dxa"/>
              <w:left w:w="150" w:type="dxa"/>
              <w:right w:w="150" w:type="dxa"/>
            </w:tcMar>
          </w:tcPr>
          <w:p>
            <w:pPr>
              <w:spacing w:before="0" w:after="0"/>
            </w:pPr>
            <w:r>
              <w:rPr>
                <w:rFonts w:ascii="Arial" w:hAnsi="Arial"/>
                <w:color w:val="222222"/>
                <w:sz w:val="19"/>
              </w:rPr>
              <w:t>5,009</w:t>
            </w:r>
          </w:p>
        </w:tc>
      </w:tr>
      <w:tr>
        <w:trPr>
          <w:cantSplit/>
        </w:trPr>
        <w:tc>
          <w:tcPr>
            <w:tcW w:type="dxa" w:w="4608"/>
            <w:shd w:fill="FFFFFF"/>
            <w:tcMar>
              <w:top w:w="100" w:type="dxa"/>
              <w:bottom w:w="100" w:type="dxa"/>
              <w:left w:w="150" w:type="dxa"/>
              <w:right w:w="150" w:type="dxa"/>
            </w:tcMar>
          </w:tcPr>
          <w:p>
            <w:pPr>
              <w:spacing w:before="0" w:after="0"/>
            </w:pPr>
            <w:r>
              <w:rPr>
                <w:rFonts w:ascii="Arial" w:hAnsi="Arial"/>
                <w:color w:val="222222"/>
                <w:sz w:val="19"/>
              </w:rPr>
              <w:t>Unique Customers</w:t>
            </w:r>
          </w:p>
        </w:tc>
        <w:tc>
          <w:tcPr>
            <w:tcW w:type="dxa" w:w="4752"/>
            <w:shd w:fill="FFFFFF"/>
            <w:tcMar>
              <w:top w:w="100" w:type="dxa"/>
              <w:bottom w:w="100" w:type="dxa"/>
              <w:left w:w="150" w:type="dxa"/>
              <w:right w:w="150" w:type="dxa"/>
            </w:tcMar>
          </w:tcPr>
          <w:p>
            <w:pPr>
              <w:spacing w:before="0" w:after="0"/>
            </w:pPr>
            <w:r>
              <w:rPr>
                <w:rFonts w:ascii="Arial" w:hAnsi="Arial"/>
                <w:color w:val="222222"/>
                <w:sz w:val="19"/>
              </w:rPr>
              <w:t>793</w:t>
            </w:r>
          </w:p>
        </w:tc>
      </w:tr>
      <w:tr>
        <w:trPr>
          <w:cantSplit/>
        </w:trPr>
        <w:tc>
          <w:tcPr>
            <w:tcW w:type="dxa" w:w="4608"/>
            <w:shd w:fill="F4F6F8"/>
            <w:tcMar>
              <w:top w:w="100" w:type="dxa"/>
              <w:bottom w:w="100" w:type="dxa"/>
              <w:left w:w="150" w:type="dxa"/>
              <w:right w:w="150" w:type="dxa"/>
            </w:tcMar>
          </w:tcPr>
          <w:p>
            <w:pPr>
              <w:spacing w:before="0" w:after="0"/>
            </w:pPr>
            <w:r>
              <w:rPr>
                <w:rFonts w:ascii="Arial" w:hAnsi="Arial"/>
                <w:color w:val="222222"/>
                <w:sz w:val="19"/>
              </w:rPr>
              <w:t>Total Sales</w:t>
            </w:r>
          </w:p>
        </w:tc>
        <w:tc>
          <w:tcPr>
            <w:tcW w:type="dxa" w:w="4752"/>
            <w:shd w:fill="F4F6F8"/>
            <w:tcMar>
              <w:top w:w="100" w:type="dxa"/>
              <w:bottom w:w="100" w:type="dxa"/>
              <w:left w:w="150" w:type="dxa"/>
              <w:right w:w="150" w:type="dxa"/>
            </w:tcMar>
          </w:tcPr>
          <w:p>
            <w:pPr>
              <w:spacing w:before="0" w:after="0"/>
            </w:pPr>
            <w:r>
              <w:rPr>
                <w:rFonts w:ascii="Arial" w:hAnsi="Arial"/>
                <w:color w:val="222222"/>
                <w:sz w:val="19"/>
              </w:rPr>
              <w:t>$2,297,200.86</w:t>
            </w:r>
          </w:p>
        </w:tc>
      </w:tr>
      <w:tr>
        <w:trPr>
          <w:cantSplit/>
        </w:trPr>
        <w:tc>
          <w:tcPr>
            <w:tcW w:type="dxa" w:w="4608"/>
            <w:shd w:fill="FFFFFF"/>
            <w:tcMar>
              <w:top w:w="100" w:type="dxa"/>
              <w:bottom w:w="100" w:type="dxa"/>
              <w:left w:w="150" w:type="dxa"/>
              <w:right w:w="150" w:type="dxa"/>
            </w:tcMar>
          </w:tcPr>
          <w:p>
            <w:pPr>
              <w:spacing w:before="0" w:after="0"/>
            </w:pPr>
            <w:r>
              <w:rPr>
                <w:rFonts w:ascii="Arial" w:hAnsi="Arial"/>
                <w:color w:val="222222"/>
                <w:sz w:val="19"/>
              </w:rPr>
              <w:t>Total Profit</w:t>
            </w:r>
          </w:p>
        </w:tc>
        <w:tc>
          <w:tcPr>
            <w:tcW w:type="dxa" w:w="4752"/>
            <w:shd w:fill="FFFFFF"/>
            <w:tcMar>
              <w:top w:w="100" w:type="dxa"/>
              <w:bottom w:w="100" w:type="dxa"/>
              <w:left w:w="150" w:type="dxa"/>
              <w:right w:w="150" w:type="dxa"/>
            </w:tcMar>
          </w:tcPr>
          <w:p>
            <w:pPr>
              <w:spacing w:before="0" w:after="0"/>
            </w:pPr>
            <w:r>
              <w:rPr>
                <w:rFonts w:ascii="Arial" w:hAnsi="Arial"/>
                <w:color w:val="222222"/>
                <w:sz w:val="19"/>
              </w:rPr>
              <w:t>$286,397.02</w:t>
            </w:r>
          </w:p>
        </w:tc>
      </w:tr>
      <w:tr>
        <w:trPr>
          <w:cantSplit/>
        </w:trPr>
        <w:tc>
          <w:tcPr>
            <w:tcW w:type="dxa" w:w="4608"/>
            <w:shd w:fill="F4F6F8"/>
            <w:tcMar>
              <w:top w:w="100" w:type="dxa"/>
              <w:bottom w:w="100" w:type="dxa"/>
              <w:left w:w="150" w:type="dxa"/>
              <w:right w:w="150" w:type="dxa"/>
            </w:tcMar>
          </w:tcPr>
          <w:p>
            <w:pPr>
              <w:spacing w:before="0" w:after="0"/>
            </w:pPr>
            <w:r>
              <w:rPr>
                <w:rFonts w:ascii="Arial" w:hAnsi="Arial"/>
                <w:color w:val="222222"/>
                <w:sz w:val="19"/>
              </w:rPr>
              <w:t>Overall Profit Margin</w:t>
            </w:r>
          </w:p>
        </w:tc>
        <w:tc>
          <w:tcPr>
            <w:tcW w:type="dxa" w:w="4752"/>
            <w:shd w:fill="F4F6F8"/>
            <w:tcMar>
              <w:top w:w="100" w:type="dxa"/>
              <w:bottom w:w="100" w:type="dxa"/>
              <w:left w:w="150" w:type="dxa"/>
              <w:right w:w="150" w:type="dxa"/>
            </w:tcMar>
          </w:tcPr>
          <w:p>
            <w:pPr>
              <w:spacing w:before="0" w:after="0"/>
            </w:pPr>
            <w:r>
              <w:rPr>
                <w:rFonts w:ascii="Arial" w:hAnsi="Arial"/>
                <w:color w:val="222222"/>
                <w:sz w:val="19"/>
              </w:rPr>
              <w:t>12.47%</w:t>
            </w:r>
          </w:p>
        </w:tc>
      </w:tr>
      <w:tr>
        <w:trPr>
          <w:cantSplit/>
        </w:trPr>
        <w:tc>
          <w:tcPr>
            <w:tcW w:type="dxa" w:w="4608"/>
            <w:shd w:fill="FFFFFF"/>
            <w:tcMar>
              <w:top w:w="100" w:type="dxa"/>
              <w:bottom w:w="100" w:type="dxa"/>
              <w:left w:w="150" w:type="dxa"/>
              <w:right w:w="150" w:type="dxa"/>
            </w:tcMar>
          </w:tcPr>
          <w:p>
            <w:pPr>
              <w:spacing w:before="0" w:after="0"/>
            </w:pPr>
            <w:r>
              <w:rPr>
                <w:rFonts w:ascii="Arial" w:hAnsi="Arial"/>
                <w:color w:val="222222"/>
                <w:sz w:val="19"/>
              </w:rPr>
              <w:t>Total Units Sold</w:t>
            </w:r>
          </w:p>
        </w:tc>
        <w:tc>
          <w:tcPr>
            <w:tcW w:type="dxa" w:w="4752"/>
            <w:shd w:fill="FFFFFF"/>
            <w:tcMar>
              <w:top w:w="100" w:type="dxa"/>
              <w:bottom w:w="100" w:type="dxa"/>
              <w:left w:w="150" w:type="dxa"/>
              <w:right w:w="150" w:type="dxa"/>
            </w:tcMar>
          </w:tcPr>
          <w:p>
            <w:pPr>
              <w:spacing w:before="0" w:after="0"/>
            </w:pPr>
            <w:r>
              <w:rPr>
                <w:rFonts w:ascii="Arial" w:hAnsi="Arial"/>
                <w:color w:val="222222"/>
                <w:sz w:val="19"/>
              </w:rPr>
              <w:t>37,873</w:t>
            </w:r>
          </w:p>
        </w:tc>
      </w:tr>
      <w:tr>
        <w:trPr>
          <w:cantSplit/>
        </w:trPr>
        <w:tc>
          <w:tcPr>
            <w:tcW w:type="dxa" w:w="4608"/>
            <w:shd w:fill="F4F6F8"/>
            <w:tcMar>
              <w:top w:w="100" w:type="dxa"/>
              <w:bottom w:w="100" w:type="dxa"/>
              <w:left w:w="150" w:type="dxa"/>
              <w:right w:w="150" w:type="dxa"/>
            </w:tcMar>
          </w:tcPr>
          <w:p>
            <w:pPr>
              <w:spacing w:before="0" w:after="0"/>
            </w:pPr>
            <w:r>
              <w:rPr>
                <w:rFonts w:ascii="Arial" w:hAnsi="Arial"/>
                <w:color w:val="222222"/>
                <w:sz w:val="19"/>
              </w:rPr>
              <w:t>Average Discount</w:t>
            </w:r>
          </w:p>
        </w:tc>
        <w:tc>
          <w:tcPr>
            <w:tcW w:type="dxa" w:w="4752"/>
            <w:shd w:fill="F4F6F8"/>
            <w:tcMar>
              <w:top w:w="100" w:type="dxa"/>
              <w:bottom w:w="100" w:type="dxa"/>
              <w:left w:w="150" w:type="dxa"/>
              <w:right w:w="150" w:type="dxa"/>
            </w:tcMar>
          </w:tcPr>
          <w:p>
            <w:pPr>
              <w:spacing w:before="0" w:after="0"/>
            </w:pPr>
            <w:r>
              <w:rPr>
                <w:rFonts w:ascii="Arial" w:hAnsi="Arial"/>
                <w:color w:val="222222"/>
                <w:sz w:val="19"/>
              </w:rPr>
              <w:t>15.62%</w:t>
            </w:r>
          </w:p>
        </w:tc>
      </w:tr>
      <w:tr>
        <w:trPr>
          <w:cantSplit/>
        </w:trPr>
        <w:tc>
          <w:tcPr>
            <w:tcW w:type="dxa" w:w="4608"/>
            <w:shd w:fill="FFFFFF"/>
            <w:tcMar>
              <w:top w:w="100" w:type="dxa"/>
              <w:bottom w:w="100" w:type="dxa"/>
              <w:left w:w="150" w:type="dxa"/>
              <w:right w:w="150" w:type="dxa"/>
            </w:tcMar>
          </w:tcPr>
          <w:p>
            <w:pPr>
              <w:spacing w:before="0" w:after="0"/>
            </w:pPr>
            <w:r>
              <w:rPr>
                <w:rFonts w:ascii="Arial" w:hAnsi="Arial"/>
                <w:color w:val="222222"/>
                <w:sz w:val="19"/>
              </w:rPr>
              <w:t>Best Category by Profit</w:t>
            </w:r>
          </w:p>
        </w:tc>
        <w:tc>
          <w:tcPr>
            <w:tcW w:type="dxa" w:w="4752"/>
            <w:shd w:fill="FFFFFF"/>
            <w:tcMar>
              <w:top w:w="100" w:type="dxa"/>
              <w:bottom w:w="100" w:type="dxa"/>
              <w:left w:w="150" w:type="dxa"/>
              <w:right w:w="150" w:type="dxa"/>
            </w:tcMar>
          </w:tcPr>
          <w:p>
            <w:pPr>
              <w:spacing w:before="0" w:after="0"/>
            </w:pPr>
            <w:r>
              <w:rPr>
                <w:rFonts w:ascii="Arial" w:hAnsi="Arial"/>
                <w:color w:val="222222"/>
                <w:sz w:val="19"/>
              </w:rPr>
              <w:t>Technology</w:t>
            </w:r>
          </w:p>
        </w:tc>
      </w:tr>
      <w:tr>
        <w:trPr>
          <w:cantSplit/>
        </w:trPr>
        <w:tc>
          <w:tcPr>
            <w:tcW w:type="dxa" w:w="4608"/>
            <w:shd w:fill="F4F6F8"/>
            <w:tcMar>
              <w:top w:w="100" w:type="dxa"/>
              <w:bottom w:w="100" w:type="dxa"/>
              <w:left w:w="150" w:type="dxa"/>
              <w:right w:w="150" w:type="dxa"/>
            </w:tcMar>
          </w:tcPr>
          <w:p>
            <w:pPr>
              <w:spacing w:before="0" w:after="0"/>
            </w:pPr>
            <w:r>
              <w:rPr>
                <w:rFonts w:ascii="Arial" w:hAnsi="Arial"/>
                <w:color w:val="222222"/>
                <w:sz w:val="19"/>
              </w:rPr>
              <w:t>Lowest Category Margin</w:t>
            </w:r>
          </w:p>
        </w:tc>
        <w:tc>
          <w:tcPr>
            <w:tcW w:type="dxa" w:w="4752"/>
            <w:shd w:fill="F4F6F8"/>
            <w:tcMar>
              <w:top w:w="100" w:type="dxa"/>
              <w:bottom w:w="100" w:type="dxa"/>
              <w:left w:w="150" w:type="dxa"/>
              <w:right w:w="150" w:type="dxa"/>
            </w:tcMar>
          </w:tcPr>
          <w:p>
            <w:pPr>
              <w:spacing w:before="0" w:after="0"/>
            </w:pPr>
            <w:r>
              <w:rPr>
                <w:rFonts w:ascii="Arial" w:hAnsi="Arial"/>
                <w:color w:val="222222"/>
                <w:sz w:val="19"/>
              </w:rPr>
              <w:t>Furniture</w:t>
            </w:r>
          </w:p>
        </w:tc>
      </w:tr>
      <w:tr>
        <w:trPr>
          <w:cantSplit/>
        </w:trPr>
        <w:tc>
          <w:tcPr>
            <w:tcW w:type="dxa" w:w="4608"/>
            <w:shd w:fill="FFFFFF"/>
            <w:tcMar>
              <w:top w:w="100" w:type="dxa"/>
              <w:bottom w:w="100" w:type="dxa"/>
              <w:left w:w="150" w:type="dxa"/>
              <w:right w:w="150" w:type="dxa"/>
            </w:tcMar>
          </w:tcPr>
          <w:p>
            <w:pPr>
              <w:spacing w:before="0" w:after="0"/>
            </w:pPr>
            <w:r>
              <w:rPr>
                <w:rFonts w:ascii="Arial" w:hAnsi="Arial"/>
                <w:color w:val="222222"/>
                <w:sz w:val="19"/>
              </w:rPr>
              <w:t>Best Regional Margin</w:t>
            </w:r>
          </w:p>
        </w:tc>
        <w:tc>
          <w:tcPr>
            <w:tcW w:type="dxa" w:w="4752"/>
            <w:shd w:fill="FFFFFF"/>
            <w:tcMar>
              <w:top w:w="100" w:type="dxa"/>
              <w:bottom w:w="100" w:type="dxa"/>
              <w:left w:w="150" w:type="dxa"/>
              <w:right w:w="150" w:type="dxa"/>
            </w:tcMar>
          </w:tcPr>
          <w:p>
            <w:pPr>
              <w:spacing w:before="0" w:after="0"/>
            </w:pPr>
            <w:r>
              <w:rPr>
                <w:rFonts w:ascii="Arial" w:hAnsi="Arial"/>
                <w:color w:val="222222"/>
                <w:sz w:val="19"/>
              </w:rPr>
              <w:t>West</w:t>
            </w:r>
          </w:p>
        </w:tc>
      </w:tr>
      <w:tr>
        <w:trPr>
          <w:cantSplit/>
        </w:trPr>
        <w:tc>
          <w:tcPr>
            <w:tcW w:type="dxa" w:w="4608"/>
            <w:shd w:fill="F4F6F8"/>
            <w:tcMar>
              <w:top w:w="100" w:type="dxa"/>
              <w:bottom w:w="100" w:type="dxa"/>
              <w:left w:w="150" w:type="dxa"/>
              <w:right w:w="150" w:type="dxa"/>
            </w:tcMar>
          </w:tcPr>
          <w:p>
            <w:pPr>
              <w:spacing w:before="0" w:after="0"/>
            </w:pPr>
            <w:r>
              <w:rPr>
                <w:rFonts w:ascii="Arial" w:hAnsi="Arial"/>
                <w:color w:val="222222"/>
                <w:sz w:val="19"/>
              </w:rPr>
              <w:t>Lowest Regional Margin</w:t>
            </w:r>
          </w:p>
        </w:tc>
        <w:tc>
          <w:tcPr>
            <w:tcW w:type="dxa" w:w="4752"/>
            <w:shd w:fill="F4F6F8"/>
            <w:tcMar>
              <w:top w:w="100" w:type="dxa"/>
              <w:bottom w:w="100" w:type="dxa"/>
              <w:left w:w="150" w:type="dxa"/>
              <w:right w:w="150" w:type="dxa"/>
            </w:tcMar>
          </w:tcPr>
          <w:p>
            <w:pPr>
              <w:spacing w:before="0" w:after="0"/>
            </w:pPr>
            <w:r>
              <w:rPr>
                <w:rFonts w:ascii="Arial" w:hAnsi="Arial"/>
                <w:color w:val="222222"/>
                <w:sz w:val="19"/>
              </w:rPr>
              <w:t>Central</w:t>
            </w:r>
          </w:p>
        </w:tc>
      </w:tr>
      <w:tr>
        <w:trPr>
          <w:cantSplit/>
        </w:trPr>
        <w:tc>
          <w:tcPr>
            <w:tcW w:type="dxa" w:w="4608"/>
            <w:shd w:fill="FFFFFF"/>
            <w:tcMar>
              <w:top w:w="100" w:type="dxa"/>
              <w:bottom w:w="100" w:type="dxa"/>
              <w:left w:w="150" w:type="dxa"/>
              <w:right w:w="150" w:type="dxa"/>
            </w:tcMar>
          </w:tcPr>
          <w:p>
            <w:pPr>
              <w:spacing w:before="0" w:after="0"/>
            </w:pPr>
            <w:r>
              <w:rPr>
                <w:rFonts w:ascii="Arial" w:hAnsi="Arial"/>
                <w:color w:val="222222"/>
                <w:sz w:val="19"/>
              </w:rPr>
              <w:t>Highest Customer Segment Margin</w:t>
            </w:r>
          </w:p>
        </w:tc>
        <w:tc>
          <w:tcPr>
            <w:tcW w:type="dxa" w:w="4752"/>
            <w:shd w:fill="FFFFFF"/>
            <w:tcMar>
              <w:top w:w="100" w:type="dxa"/>
              <w:bottom w:w="100" w:type="dxa"/>
              <w:left w:w="150" w:type="dxa"/>
              <w:right w:w="150" w:type="dxa"/>
            </w:tcMar>
          </w:tcPr>
          <w:p>
            <w:pPr>
              <w:spacing w:before="0" w:after="0"/>
            </w:pPr>
            <w:r>
              <w:rPr>
                <w:rFonts w:ascii="Arial" w:hAnsi="Arial"/>
                <w:color w:val="222222"/>
                <w:sz w:val="19"/>
              </w:rPr>
              <w:t>Home Office</w:t>
            </w:r>
          </w:p>
        </w:tc>
      </w:tr>
    </w:tbl>
    <w:p>
      <w:pPr>
        <w:keepNext/>
        <w:spacing w:before="360" w:after="120"/>
      </w:pPr>
      <w:r>
        <w:rPr>
          <w:rFonts w:ascii="Arial" w:hAnsi="Arial"/>
          <w:b/>
          <w:color w:val="1B365D"/>
          <w:sz w:val="28"/>
        </w:rPr>
        <w:t>Appendix B — Project Resources</w:t>
      </w:r>
    </w:p>
    <w:p>
      <w:pPr>
        <w:keepNext/>
        <w:spacing w:before="240" w:after="80"/>
      </w:pPr>
      <w:r>
        <w:rPr>
          <w:rFonts w:ascii="Arial" w:hAnsi="Arial"/>
          <w:b/>
          <w:color w:val="4A777A"/>
          <w:sz w:val="23"/>
        </w:rPr>
        <w:t>Interactive Dashboard</w:t>
      </w:r>
    </w:p>
    <w:p>
      <w:pPr>
        <w:spacing w:before="0" w:after="100" w:line="276" w:lineRule="auto"/>
      </w:pPr>
      <w:r>
        <w:rPr>
          <w:rFonts w:ascii="Arial" w:hAnsi="Arial"/>
          <w:color w:val="222222"/>
          <w:sz w:val="20"/>
        </w:rPr>
        <w:t>Available through:</w:t>
      </w:r>
    </w:p>
    <w:p>
      <w:pPr>
        <w:pStyle w:val="ListBullet"/>
        <w:spacing w:before="0" w:after="60" w:line="276" w:lineRule="auto"/>
        <w:ind w:left="360"/>
      </w:pPr>
      <w:r>
        <w:rPr>
          <w:rFonts w:ascii="Arial" w:hAnsi="Arial"/>
          <w:color w:val="222222"/>
          <w:sz w:val="20"/>
        </w:rPr>
        <w:t>Dashboard/LOOKER_STUDIO_DASHBOARD.md</w:t>
      </w:r>
    </w:p>
    <w:p>
      <w:pPr>
        <w:keepNext/>
        <w:spacing w:before="240" w:after="80"/>
      </w:pPr>
      <w:r>
        <w:rPr>
          <w:rFonts w:ascii="Arial" w:hAnsi="Arial"/>
          <w:b/>
          <w:color w:val="4A777A"/>
          <w:sz w:val="23"/>
        </w:rPr>
        <w:t>Dashboard PDF Export</w:t>
      </w:r>
    </w:p>
    <w:p>
      <w:pPr>
        <w:spacing w:before="0" w:after="100" w:line="276" w:lineRule="auto"/>
      </w:pPr>
      <w:r>
        <w:rPr>
          <w:rFonts w:ascii="Arial" w:hAnsi="Arial"/>
          <w:color w:val="222222"/>
          <w:sz w:val="20"/>
        </w:rPr>
        <w:t>Dashboard/Executive_Profitability_Analysis__Global_Superstore.pdf</w:t>
      </w:r>
    </w:p>
    <w:p>
      <w:pPr>
        <w:keepNext/>
        <w:spacing w:before="240" w:after="80"/>
      </w:pPr>
      <w:r>
        <w:rPr>
          <w:rFonts w:ascii="Arial" w:hAnsi="Arial"/>
          <w:b/>
          <w:color w:val="4A777A"/>
          <w:sz w:val="23"/>
        </w:rPr>
        <w:t>Source Dataset</w:t>
      </w:r>
    </w:p>
    <w:p>
      <w:pPr>
        <w:spacing w:before="0" w:after="100" w:line="276" w:lineRule="auto"/>
      </w:pPr>
      <w:r>
        <w:rPr>
          <w:rFonts w:ascii="Arial" w:hAnsi="Arial"/>
          <w:color w:val="222222"/>
          <w:sz w:val="20"/>
        </w:rPr>
        <w:t>Data/Sample-Superstore-csv.csv</w:t>
      </w:r>
    </w:p>
    <w:p>
      <w:pPr>
        <w:keepNext/>
        <w:spacing w:before="240" w:after="80"/>
      </w:pPr>
      <w:r>
        <w:rPr>
          <w:rFonts w:ascii="Arial" w:hAnsi="Arial"/>
          <w:b/>
          <w:color w:val="4A777A"/>
          <w:sz w:val="23"/>
        </w:rPr>
        <w:t>Cleaned Dataset</w:t>
      </w:r>
    </w:p>
    <w:p>
      <w:pPr>
        <w:spacing w:before="0" w:after="100" w:line="276" w:lineRule="auto"/>
      </w:pPr>
      <w:r>
        <w:rPr>
          <w:rFonts w:ascii="Arial" w:hAnsi="Arial"/>
          <w:color w:val="222222"/>
          <w:sz w:val="20"/>
        </w:rPr>
        <w:t>Data/Superstore_Cleaned.csv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