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208BC6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1. The </w:t>
      </w:r>
      <w:r>
        <w:rPr>
          <w:rStyle w:val="5"/>
          <w:rFonts w:hint="default" w:ascii="sans-serif" w:hAnsi="sans-serif" w:eastAsia="sans-serif" w:cs="sans-serif"/>
        </w:rPr>
        <w:t>behavioral_anomalies</w:t>
      </w:r>
      <w:r>
        <w:rPr>
          <w:rFonts w:hint="default" w:ascii="sans-serif" w:hAnsi="sans-serif" w:eastAsia="sans-serif" w:cs="sans-serif"/>
        </w:rPr>
        <w:t xml:space="preserve"> Collection</w:t>
      </w:r>
    </w:p>
    <w:p w14:paraId="1D003B4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28CB249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OWASP Automated Threats to Web Applications (OAT Handbook)</w:t>
      </w:r>
    </w:p>
    <w:p w14:paraId="19242F9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68418DE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1" w:line="14" w:lineRule="atLeast"/>
        <w:ind w:left="2882" w:hanging="360"/>
        <w:rPr>
          <w:rFonts w:hint="default" w:ascii="sans-serif" w:hAnsi="sans-serif" w:eastAsia="sans-serif" w:cs="sans-serif"/>
        </w:rPr>
      </w:pPr>
    </w:p>
    <w:p w14:paraId="093030D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Focus:</w:t>
      </w:r>
      <w:r>
        <w:rPr>
          <w:rFonts w:hint="default" w:ascii="sans-serif" w:hAnsi="sans-serif" w:eastAsia="sans-serif" w:cs="sans-serif"/>
        </w:rPr>
        <w:t xml:space="preserve"> Account Takeover (OAT-019) &amp; Credential Stuffing (OAT-008).</w:t>
      </w:r>
    </w:p>
    <w:p w14:paraId="577EE1C9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1" w:line="14" w:lineRule="atLeast"/>
        <w:ind w:left="2882" w:hanging="360"/>
        <w:rPr>
          <w:rFonts w:hint="default" w:ascii="sans-serif" w:hAnsi="sans-serif" w:eastAsia="sans-serif" w:cs="sans-serif"/>
        </w:rPr>
      </w:pPr>
    </w:p>
    <w:p w14:paraId="6FD270F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1" w:line="14" w:lineRule="atLeast"/>
        <w:ind w:left="2882" w:hanging="360"/>
        <w:rPr>
          <w:rFonts w:hint="default" w:ascii="sans-serif" w:hAnsi="sans-serif" w:eastAsia="sans-serif" w:cs="sans-serif"/>
        </w:rPr>
      </w:pPr>
    </w:p>
    <w:p w14:paraId="4C8CA4E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Portal Link: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</w:rPr>
        <w:fldChar w:fldCharType="begin"/>
      </w:r>
      <w:r>
        <w:rPr>
          <w:rFonts w:hint="default" w:ascii="sans-serif" w:hAnsi="sans-serif" w:eastAsia="sans-serif" w:cs="sans-serif"/>
        </w:rPr>
        <w:instrText xml:space="preserve"> HYPERLINK "https://owasp.org/www-project-automated-threats-to-web-applications/" \t "https://gemini.google.com/app/_blank" </w:instrText>
      </w:r>
      <w:r>
        <w:rPr>
          <w:rFonts w:hint="default" w:ascii="sans-serif" w:hAnsi="sans-serif" w:eastAsia="sans-serif" w:cs="sans-serif"/>
        </w:rPr>
        <w:fldChar w:fldCharType="separate"/>
      </w:r>
      <w:r>
        <w:rPr>
          <w:rStyle w:val="6"/>
          <w:rFonts w:hint="default" w:ascii="sans-serif" w:hAnsi="sans-serif" w:eastAsia="sans-serif" w:cs="sans-serif"/>
        </w:rPr>
        <w:t>OWASP Project Main Page</w:t>
      </w:r>
      <w:r>
        <w:rPr>
          <w:rFonts w:hint="default" w:ascii="sans-serif" w:hAnsi="sans-serif" w:eastAsia="sans-serif" w:cs="sans-serif"/>
        </w:rPr>
        <w:fldChar w:fldCharType="end"/>
      </w:r>
    </w:p>
    <w:p w14:paraId="4807CF5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1" w:line="14" w:lineRule="atLeast"/>
        <w:ind w:left="2882" w:hanging="360"/>
        <w:rPr>
          <w:rFonts w:hint="default" w:ascii="sans-serif" w:hAnsi="sans-serif" w:eastAsia="sans-serif" w:cs="sans-serif"/>
        </w:rPr>
      </w:pPr>
    </w:p>
    <w:p w14:paraId="7355FAA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1" w:line="14" w:lineRule="atLeast"/>
        <w:ind w:left="2882" w:hanging="360"/>
        <w:rPr>
          <w:rFonts w:hint="default" w:ascii="sans-serif" w:hAnsi="sans-serif" w:eastAsia="sans-serif" w:cs="sans-serif"/>
        </w:rPr>
      </w:pPr>
    </w:p>
    <w:p w14:paraId="33CF727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Direct Reference PDF: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</w:rPr>
        <w:fldChar w:fldCharType="begin"/>
      </w:r>
      <w:r>
        <w:rPr>
          <w:rFonts w:hint="default" w:ascii="sans-serif" w:hAnsi="sans-serif" w:eastAsia="sans-serif" w:cs="sans-serif"/>
        </w:rPr>
        <w:instrText xml:space="preserve"> HYPERLINK "https://owasp.org/www-project-automated-threats-to-web-applications/assets/files/oat-poster-1v3-3.pdf" \t "https://gemini.google.com/app/_blank" </w:instrText>
      </w:r>
      <w:r>
        <w:rPr>
          <w:rFonts w:hint="default" w:ascii="sans-serif" w:hAnsi="sans-serif" w:eastAsia="sans-serif" w:cs="sans-serif"/>
        </w:rPr>
        <w:fldChar w:fldCharType="separate"/>
      </w:r>
      <w:r>
        <w:rPr>
          <w:rStyle w:val="6"/>
          <w:rFonts w:hint="default" w:ascii="sans-serif" w:hAnsi="sans-serif" w:eastAsia="sans-serif" w:cs="sans-serif"/>
        </w:rPr>
        <w:t>OWASP OAT Threats Handbook Poster &amp; Reference Chart</w:t>
      </w:r>
      <w:r>
        <w:rPr>
          <w:rFonts w:hint="default" w:ascii="sans-serif" w:hAnsi="sans-serif" w:eastAsia="sans-serif" w:cs="sans-serif"/>
        </w:rPr>
        <w:fldChar w:fldCharType="end"/>
      </w:r>
    </w:p>
    <w:p w14:paraId="40C777EC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1" w:line="14" w:lineRule="atLeast"/>
        <w:ind w:left="2882" w:hanging="360"/>
        <w:rPr>
          <w:rFonts w:hint="default" w:ascii="sans-serif" w:hAnsi="sans-serif" w:eastAsia="sans-serif" w:cs="sans-serif"/>
        </w:rPr>
      </w:pPr>
    </w:p>
    <w:p w14:paraId="131451F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22D198C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Nacha Risk Management Portal &amp; ACH Compliance Guides</w:t>
      </w:r>
    </w:p>
    <w:p w14:paraId="0BDAA9C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05313DED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sans-serif" w:hAnsi="sans-serif" w:eastAsia="sans-serif" w:cs="sans-serif"/>
        </w:rPr>
      </w:pPr>
    </w:p>
    <w:p w14:paraId="3F2F3D9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Focus:</w:t>
      </w:r>
      <w:r>
        <w:rPr>
          <w:rFonts w:hint="default" w:ascii="sans-serif" w:hAnsi="sans-serif" w:eastAsia="sans-serif" w:cs="sans-serif"/>
        </w:rPr>
        <w:t xml:space="preserve"> Real-time risk-based fraud monitoring and electronic fund velocity spikes.</w:t>
      </w:r>
    </w:p>
    <w:p w14:paraId="35E15103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sans-serif" w:hAnsi="sans-serif" w:eastAsia="sans-serif" w:cs="sans-serif"/>
        </w:rPr>
      </w:pPr>
    </w:p>
    <w:p w14:paraId="5C6E7D92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sans-serif" w:hAnsi="sans-serif" w:eastAsia="sans-serif" w:cs="sans-serif"/>
        </w:rPr>
      </w:pPr>
    </w:p>
    <w:p w14:paraId="2CA4096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Portal Link: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</w:rPr>
        <w:fldChar w:fldCharType="begin"/>
      </w:r>
      <w:r>
        <w:rPr>
          <w:rFonts w:hint="default" w:ascii="sans-serif" w:hAnsi="sans-serif" w:eastAsia="sans-serif" w:cs="sans-serif"/>
        </w:rPr>
        <w:instrText xml:space="preserve"> HYPERLINK "https://www.nacha.org/risk-resource" \t "https://gemini.google.com/app/_blank" </w:instrText>
      </w:r>
      <w:r>
        <w:rPr>
          <w:rFonts w:hint="default" w:ascii="sans-serif" w:hAnsi="sans-serif" w:eastAsia="sans-serif" w:cs="sans-serif"/>
        </w:rPr>
        <w:fldChar w:fldCharType="separate"/>
      </w:r>
      <w:r>
        <w:rPr>
          <w:rStyle w:val="6"/>
          <w:rFonts w:hint="default" w:ascii="sans-serif" w:hAnsi="sans-serif" w:eastAsia="sans-serif" w:cs="sans-serif"/>
        </w:rPr>
        <w:t>Nacha Risk Management Resources Library</w:t>
      </w:r>
      <w:r>
        <w:rPr>
          <w:rFonts w:hint="default" w:ascii="sans-serif" w:hAnsi="sans-serif" w:eastAsia="sans-serif" w:cs="sans-serif"/>
        </w:rPr>
        <w:fldChar w:fldCharType="end"/>
      </w:r>
    </w:p>
    <w:p w14:paraId="2061238F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sans-serif" w:hAnsi="sans-serif" w:eastAsia="sans-serif" w:cs="sans-serif"/>
        </w:rPr>
      </w:pPr>
    </w:p>
    <w:p w14:paraId="3D418D9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16CE093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FinCEN Advisory on Cybercrime and Cyber-Enabled Fraud</w:t>
      </w:r>
    </w:p>
    <w:p w14:paraId="6553D88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0B7C3AB6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sans-serif" w:hAnsi="sans-serif" w:eastAsia="sans-serif" w:cs="sans-serif"/>
        </w:rPr>
      </w:pPr>
    </w:p>
    <w:p w14:paraId="4C0915D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Focus:</w:t>
      </w:r>
      <w:r>
        <w:rPr>
          <w:rFonts w:hint="default" w:ascii="sans-serif" w:hAnsi="sans-serif" w:eastAsia="sans-serif" w:cs="sans-serif"/>
        </w:rPr>
        <w:t xml:space="preserve"> Technical context on Business Email Compromise (BEC), compromised sessions, and IP infrastructure anomalies.</w:t>
      </w:r>
    </w:p>
    <w:p w14:paraId="49523AE8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sans-serif" w:hAnsi="sans-serif" w:eastAsia="sans-serif" w:cs="sans-serif"/>
        </w:rPr>
      </w:pPr>
    </w:p>
    <w:p w14:paraId="3E37C101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sans-serif" w:hAnsi="sans-serif" w:eastAsia="sans-serif" w:cs="sans-serif"/>
        </w:rPr>
      </w:pPr>
    </w:p>
    <w:p w14:paraId="2207F84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Direct PDF Download (FIN-2016-A005):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</w:rPr>
        <w:fldChar w:fldCharType="begin"/>
      </w:r>
      <w:r>
        <w:rPr>
          <w:rFonts w:hint="default" w:ascii="sans-serif" w:hAnsi="sans-serif" w:eastAsia="sans-serif" w:cs="sans-serif"/>
        </w:rPr>
        <w:instrText xml:space="preserve"> HYPERLINK "https://www.fincen.gov/sites/default/files/advisory/2016-10-25/Cyber Threats Advisory - FINAL 508_2.pdf" \t "https://gemini.google.com/app/_blank" </w:instrText>
      </w:r>
      <w:r>
        <w:rPr>
          <w:rFonts w:hint="default" w:ascii="sans-serif" w:hAnsi="sans-serif" w:eastAsia="sans-serif" w:cs="sans-serif"/>
        </w:rPr>
        <w:fldChar w:fldCharType="separate"/>
      </w:r>
      <w:r>
        <w:rPr>
          <w:rStyle w:val="6"/>
          <w:rFonts w:hint="default" w:ascii="sans-serif" w:hAnsi="sans-serif" w:eastAsia="sans-serif" w:cs="sans-serif"/>
        </w:rPr>
        <w:t>FinCEN Cyber Threats Advisory</w:t>
      </w:r>
      <w:r>
        <w:rPr>
          <w:rFonts w:hint="default" w:ascii="sans-serif" w:hAnsi="sans-serif" w:eastAsia="sans-serif" w:cs="sans-serif"/>
        </w:rPr>
        <w:fldChar w:fldCharType="end"/>
      </w:r>
    </w:p>
    <w:p w14:paraId="7BE8797F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sans-serif" w:hAnsi="sans-serif" w:eastAsia="sans-serif" w:cs="sans-serif"/>
        </w:rPr>
      </w:pPr>
    </w:p>
    <w:p w14:paraId="21BB8434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sans-serif" w:hAnsi="sans-serif" w:eastAsia="sans-serif" w:cs="sans-serif"/>
        </w:rPr>
      </w:pPr>
    </w:p>
    <w:p w14:paraId="09256FB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Portal Link (FIN-2020-A005):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</w:rPr>
        <w:fldChar w:fldCharType="begin"/>
      </w:r>
      <w:r>
        <w:rPr>
          <w:rFonts w:hint="default" w:ascii="sans-serif" w:hAnsi="sans-serif" w:eastAsia="sans-serif" w:cs="sans-serif"/>
        </w:rPr>
        <w:instrText xml:space="preserve"> HYPERLINK "https://www.fincen.gov/resources/advisories/fincen-advisory-fin-2020-a005" \t "https://gemini.google.com/app/_blank" </w:instrText>
      </w:r>
      <w:r>
        <w:rPr>
          <w:rFonts w:hint="default" w:ascii="sans-serif" w:hAnsi="sans-serif" w:eastAsia="sans-serif" w:cs="sans-serif"/>
        </w:rPr>
        <w:fldChar w:fldCharType="separate"/>
      </w:r>
      <w:r>
        <w:rPr>
          <w:rStyle w:val="6"/>
          <w:rFonts w:hint="default" w:ascii="sans-serif" w:hAnsi="sans-serif" w:eastAsia="sans-serif" w:cs="sans-serif"/>
        </w:rPr>
        <w:t>FinCEN Cybercrime and Coronavirus Exploitations Advisory</w:t>
      </w:r>
      <w:r>
        <w:rPr>
          <w:rFonts w:hint="default" w:ascii="sans-serif" w:hAnsi="sans-serif" w:eastAsia="sans-serif" w:cs="sans-serif"/>
        </w:rPr>
        <w:fldChar w:fldCharType="end"/>
      </w:r>
    </w:p>
    <w:p w14:paraId="0C2058CF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sans-serif" w:hAnsi="sans-serif" w:eastAsia="sans-serif" w:cs="sans-serif"/>
        </w:rPr>
      </w:pPr>
    </w:p>
    <w:p w14:paraId="7082B81E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2. The </w:t>
      </w:r>
      <w:r>
        <w:rPr>
          <w:rStyle w:val="5"/>
          <w:rFonts w:hint="default" w:ascii="sans-serif" w:hAnsi="sans-serif" w:eastAsia="sans-serif" w:cs="sans-serif"/>
        </w:rPr>
        <w:t>network_typologies</w:t>
      </w:r>
      <w:r>
        <w:rPr>
          <w:rFonts w:hint="default" w:ascii="sans-serif" w:hAnsi="sans-serif" w:eastAsia="sans-serif" w:cs="sans-serif"/>
        </w:rPr>
        <w:t xml:space="preserve"> Collection</w:t>
      </w:r>
    </w:p>
    <w:p w14:paraId="726401A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1937296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FATF Typologies Report: Professional Money Laundering</w:t>
      </w:r>
    </w:p>
    <w:p w14:paraId="6D9AE39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1F6C43AB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sans-serif" w:hAnsi="sans-serif" w:eastAsia="sans-serif" w:cs="sans-serif"/>
        </w:rPr>
      </w:pPr>
    </w:p>
    <w:p w14:paraId="4F0B86F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Focus:</w:t>
      </w:r>
      <w:r>
        <w:rPr>
          <w:rFonts w:hint="default" w:ascii="sans-serif" w:hAnsi="sans-serif" w:eastAsia="sans-serif" w:cs="sans-serif"/>
        </w:rPr>
        <w:t xml:space="preserve"> Mapping money-mule network topologies, structures, layering methods, and commission payout schemes.</w:t>
      </w:r>
    </w:p>
    <w:p w14:paraId="2DFD86CF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sans-serif" w:hAnsi="sans-serif" w:eastAsia="sans-serif" w:cs="sans-serif"/>
        </w:rPr>
      </w:pPr>
    </w:p>
    <w:p w14:paraId="210F2261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sans-serif" w:hAnsi="sans-serif" w:eastAsia="sans-serif" w:cs="sans-serif"/>
        </w:rPr>
      </w:pPr>
    </w:p>
    <w:p w14:paraId="17BDFC5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Direct PDF Download: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</w:rPr>
        <w:fldChar w:fldCharType="begin"/>
      </w:r>
      <w:r>
        <w:rPr>
          <w:rFonts w:hint="default" w:ascii="sans-serif" w:hAnsi="sans-serif" w:eastAsia="sans-serif" w:cs="sans-serif"/>
        </w:rPr>
        <w:instrText xml:space="preserve"> HYPERLINK "https://www.fatf-gafi.org/content/dam/fatf/documents/Professional-Money-Laundering.pdf" \t "https://gemini.google.com/app/_blank" </w:instrText>
      </w:r>
      <w:r>
        <w:rPr>
          <w:rFonts w:hint="default" w:ascii="sans-serif" w:hAnsi="sans-serif" w:eastAsia="sans-serif" w:cs="sans-serif"/>
        </w:rPr>
        <w:fldChar w:fldCharType="separate"/>
      </w:r>
      <w:r>
        <w:rPr>
          <w:rStyle w:val="6"/>
          <w:rFonts w:hint="default" w:ascii="sans-serif" w:hAnsi="sans-serif" w:eastAsia="sans-serif" w:cs="sans-serif"/>
        </w:rPr>
        <w:t>FATF Professional Money Laundering Report</w:t>
      </w:r>
      <w:r>
        <w:rPr>
          <w:rFonts w:hint="default" w:ascii="sans-serif" w:hAnsi="sans-serif" w:eastAsia="sans-serif" w:cs="sans-serif"/>
        </w:rPr>
        <w:fldChar w:fldCharType="end"/>
      </w:r>
    </w:p>
    <w:p w14:paraId="29723FBB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sans-serif" w:hAnsi="sans-serif" w:eastAsia="sans-serif" w:cs="sans-serif"/>
        </w:rPr>
      </w:pPr>
    </w:p>
    <w:p w14:paraId="79CA6E5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371F7B7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Europol Financial Intelligence Reports on Money Muling</w:t>
      </w:r>
    </w:p>
    <w:p w14:paraId="06AB2B5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7087EA06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sans-serif" w:hAnsi="sans-serif" w:eastAsia="sans-serif" w:cs="sans-serif"/>
        </w:rPr>
      </w:pPr>
    </w:p>
    <w:p w14:paraId="5AE2355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Focus:</w:t>
      </w:r>
      <w:r>
        <w:rPr>
          <w:rFonts w:hint="default" w:ascii="sans-serif" w:hAnsi="sans-serif" w:eastAsia="sans-serif" w:cs="sans-serif"/>
        </w:rPr>
        <w:t xml:space="preserve"> Analyzing modern cash-out architectures, complicit/unwitting mule proxies, and cross-border placement behaviors.</w:t>
      </w:r>
    </w:p>
    <w:p w14:paraId="3643056B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sans-serif" w:hAnsi="sans-serif" w:eastAsia="sans-serif" w:cs="sans-serif"/>
        </w:rPr>
      </w:pPr>
    </w:p>
    <w:p w14:paraId="6915557A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sans-serif" w:hAnsi="sans-serif" w:eastAsia="sans-serif" w:cs="sans-serif"/>
        </w:rPr>
      </w:pPr>
    </w:p>
    <w:p w14:paraId="7731E46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Portal Link (Flyers):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</w:rPr>
        <w:fldChar w:fldCharType="begin"/>
      </w:r>
      <w:r>
        <w:rPr>
          <w:rFonts w:hint="default" w:ascii="sans-serif" w:hAnsi="sans-serif" w:eastAsia="sans-serif" w:cs="sans-serif"/>
        </w:rPr>
        <w:instrText xml:space="preserve"> HYPERLINK "https://www.europol.europa.eu/publications-events/publications/money-mule-flyers" \t "https://gemini.google.com/app/_blank" </w:instrText>
      </w:r>
      <w:r>
        <w:rPr>
          <w:rFonts w:hint="default" w:ascii="sans-serif" w:hAnsi="sans-serif" w:eastAsia="sans-serif" w:cs="sans-serif"/>
        </w:rPr>
        <w:fldChar w:fldCharType="separate"/>
      </w:r>
      <w:r>
        <w:rPr>
          <w:rStyle w:val="6"/>
          <w:rFonts w:hint="default" w:ascii="sans-serif" w:hAnsi="sans-serif" w:eastAsia="sans-serif" w:cs="sans-serif"/>
        </w:rPr>
        <w:t>Europol Money Mule Flyers Portal</w:t>
      </w:r>
      <w:r>
        <w:rPr>
          <w:rFonts w:hint="default" w:ascii="sans-serif" w:hAnsi="sans-serif" w:eastAsia="sans-serif" w:cs="sans-serif"/>
        </w:rPr>
        <w:fldChar w:fldCharType="end"/>
      </w:r>
    </w:p>
    <w:p w14:paraId="57E3FF1D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sans-serif" w:hAnsi="sans-serif" w:eastAsia="sans-serif" w:cs="sans-serif"/>
        </w:rPr>
      </w:pPr>
    </w:p>
    <w:p w14:paraId="57D845D1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sans-serif" w:hAnsi="sans-serif" w:eastAsia="sans-serif" w:cs="sans-serif"/>
        </w:rPr>
      </w:pPr>
    </w:p>
    <w:p w14:paraId="41F389F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Portal Link (Posters):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</w:rPr>
        <w:fldChar w:fldCharType="begin"/>
      </w:r>
      <w:r>
        <w:rPr>
          <w:rFonts w:hint="default" w:ascii="sans-serif" w:hAnsi="sans-serif" w:eastAsia="sans-serif" w:cs="sans-serif"/>
        </w:rPr>
        <w:instrText xml:space="preserve"> HYPERLINK "https://www.europol.europa.eu/publications-events/publications/money-mule-posters" \t "https://gemini.google.com/app/_blank" </w:instrText>
      </w:r>
      <w:r>
        <w:rPr>
          <w:rFonts w:hint="default" w:ascii="sans-serif" w:hAnsi="sans-serif" w:eastAsia="sans-serif" w:cs="sans-serif"/>
        </w:rPr>
        <w:fldChar w:fldCharType="separate"/>
      </w:r>
      <w:r>
        <w:rPr>
          <w:rStyle w:val="6"/>
          <w:rFonts w:hint="default" w:ascii="sans-serif" w:hAnsi="sans-serif" w:eastAsia="sans-serif" w:cs="sans-serif"/>
        </w:rPr>
        <w:t>Europol Money Mule Posters Portal</w:t>
      </w:r>
      <w:r>
        <w:rPr>
          <w:rFonts w:hint="default" w:ascii="sans-serif" w:hAnsi="sans-serif" w:eastAsia="sans-serif" w:cs="sans-serif"/>
        </w:rPr>
        <w:fldChar w:fldCharType="end"/>
      </w:r>
    </w:p>
    <w:p w14:paraId="5D8E337B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sans-serif" w:hAnsi="sans-serif" w:eastAsia="sans-serif" w:cs="sans-serif"/>
        </w:rPr>
      </w:pPr>
    </w:p>
    <w:p w14:paraId="288DCDC6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sans-serif" w:hAnsi="sans-serif" w:eastAsia="sans-serif" w:cs="sans-serif"/>
        </w:rPr>
      </w:pPr>
    </w:p>
    <w:p w14:paraId="0C539E17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Direct PDF Download (EFIPPP):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</w:rPr>
        <w:fldChar w:fldCharType="begin"/>
      </w:r>
      <w:r>
        <w:rPr>
          <w:rFonts w:hint="default" w:ascii="sans-serif" w:hAnsi="sans-serif" w:eastAsia="sans-serif" w:cs="sans-serif"/>
        </w:rPr>
        <w:instrText xml:space="preserve"> HYPERLINK "https://efippp.eu/wp-content/uploads/2025/10/EFIPPP_Annual_Report_2024.pdf" \t "https://gemini.google.com/app/_blank" </w:instrText>
      </w:r>
      <w:r>
        <w:rPr>
          <w:rFonts w:hint="default" w:ascii="sans-serif" w:hAnsi="sans-serif" w:eastAsia="sans-serif" w:cs="sans-serif"/>
        </w:rPr>
        <w:fldChar w:fldCharType="separate"/>
      </w:r>
      <w:r>
        <w:rPr>
          <w:rStyle w:val="6"/>
          <w:rFonts w:hint="default" w:ascii="sans-serif" w:hAnsi="sans-serif" w:eastAsia="sans-serif" w:cs="sans-serif"/>
        </w:rPr>
        <w:t>Europol Financial Intelligence Public Private Partnership Annual Report</w:t>
      </w:r>
      <w:r>
        <w:rPr>
          <w:rFonts w:hint="default" w:ascii="sans-serif" w:hAnsi="sans-serif" w:eastAsia="sans-serif" w:cs="sans-serif"/>
        </w:rPr>
        <w:fldChar w:fldCharType="end"/>
      </w:r>
    </w:p>
    <w:p w14:paraId="45B70DC9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sans-serif" w:hAnsi="sans-serif" w:eastAsia="sans-serif" w:cs="sans-serif"/>
        </w:rPr>
      </w:pPr>
    </w:p>
    <w:p w14:paraId="3C558AC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03D67C55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EBA Guidelines on Remote Customer Onboarding (Directive EU 2015/849)</w:t>
      </w:r>
    </w:p>
    <w:p w14:paraId="72B01C3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2E5C72B2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sans-serif" w:hAnsi="sans-serif" w:eastAsia="sans-serif" w:cs="sans-serif"/>
        </w:rPr>
      </w:pPr>
    </w:p>
    <w:p w14:paraId="27045DB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Focus:</w:t>
      </w:r>
      <w:r>
        <w:rPr>
          <w:rFonts w:hint="default" w:ascii="sans-serif" w:hAnsi="sans-serif" w:eastAsia="sans-serif" w:cs="sans-serif"/>
        </w:rPr>
        <w:t xml:space="preserve"> High relational risk scores, impersonation fraud risk detection, and handling multi-identity device sharing.</w:t>
      </w:r>
    </w:p>
    <w:p w14:paraId="11453313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sans-serif" w:hAnsi="sans-serif" w:eastAsia="sans-serif" w:cs="sans-serif"/>
        </w:rPr>
      </w:pPr>
    </w:p>
    <w:p w14:paraId="3BB8F10F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sans-serif" w:hAnsi="sans-serif" w:eastAsia="sans-serif" w:cs="sans-serif"/>
        </w:rPr>
      </w:pPr>
    </w:p>
    <w:p w14:paraId="32B33E47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Direct PDF Download (EBA-GL-2022-15):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</w:rPr>
        <w:fldChar w:fldCharType="begin"/>
      </w:r>
      <w:r>
        <w:rPr>
          <w:rFonts w:hint="default" w:ascii="sans-serif" w:hAnsi="sans-serif" w:eastAsia="sans-serif" w:cs="sans-serif"/>
        </w:rPr>
        <w:instrText xml:space="preserve"> HYPERLINK "https://www.eba.europa.eu/sites/default/files/document_library/Publications/Guidelines/2022/EBA-GL-2022-15 GL on remote customer onboarding/1043884/Guidelines on the use of Remote Customer Onboarding Solutions.pdf" \t "https://gemini.google.com/app/_blank" </w:instrText>
      </w:r>
      <w:r>
        <w:rPr>
          <w:rFonts w:hint="default" w:ascii="sans-serif" w:hAnsi="sans-serif" w:eastAsia="sans-serif" w:cs="sans-serif"/>
        </w:rPr>
        <w:fldChar w:fldCharType="separate"/>
      </w:r>
      <w:r>
        <w:rPr>
          <w:rStyle w:val="6"/>
          <w:rFonts w:hint="default" w:ascii="sans-serif" w:hAnsi="sans-serif" w:eastAsia="sans-serif" w:cs="sans-serif"/>
        </w:rPr>
        <w:t>EBA Guidelines on Remote Customer Onboarding Solutions</w:t>
      </w:r>
      <w:r>
        <w:rPr>
          <w:rFonts w:hint="default" w:ascii="sans-serif" w:hAnsi="sans-serif" w:eastAsia="sans-serif" w:cs="sans-serif"/>
        </w:rPr>
        <w:fldChar w:fldCharType="end"/>
      </w:r>
    </w:p>
    <w:p w14:paraId="5A2DFEBC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sans-serif" w:hAnsi="sans-serif" w:eastAsia="sans-serif" w:cs="sans-serif"/>
        </w:rPr>
      </w:pPr>
    </w:p>
    <w:p w14:paraId="4AC61F59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3. The </w:t>
      </w:r>
      <w:r>
        <w:rPr>
          <w:rStyle w:val="5"/>
          <w:rFonts w:hint="default" w:ascii="sans-serif" w:hAnsi="sans-serif" w:eastAsia="sans-serif" w:cs="sans-serif"/>
        </w:rPr>
        <w:t>legal_compliance</w:t>
      </w:r>
      <w:r>
        <w:rPr>
          <w:rFonts w:hint="default" w:ascii="sans-serif" w:hAnsi="sans-serif" w:eastAsia="sans-serif" w:cs="sans-serif"/>
        </w:rPr>
        <w:t xml:space="preserve"> Collection</w:t>
      </w:r>
    </w:p>
    <w:p w14:paraId="130AD4B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7265271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FFIEC BSA/AML Examination Manual</w:t>
      </w:r>
    </w:p>
    <w:p w14:paraId="4D4A523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0DFB2879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sans-serif" w:hAnsi="sans-serif" w:eastAsia="sans-serif" w:cs="sans-serif"/>
        </w:rPr>
      </w:pPr>
    </w:p>
    <w:p w14:paraId="4EAD0E1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Focus:</w:t>
      </w:r>
      <w:r>
        <w:rPr>
          <w:rFonts w:hint="default" w:ascii="sans-serif" w:hAnsi="sans-serif" w:eastAsia="sans-serif" w:cs="sans-serif"/>
        </w:rPr>
        <w:t xml:space="preserve"> Baseline regulatory requirements for handling high-risk transactions, wire transfers, and automated clearing houses.</w:t>
      </w:r>
    </w:p>
    <w:p w14:paraId="53BC0B03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sans-serif" w:hAnsi="sans-serif" w:eastAsia="sans-serif" w:cs="sans-serif"/>
        </w:rPr>
      </w:pPr>
    </w:p>
    <w:p w14:paraId="2C135413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sans-serif" w:hAnsi="sans-serif" w:eastAsia="sans-serif" w:cs="sans-serif"/>
        </w:rPr>
      </w:pPr>
    </w:p>
    <w:p w14:paraId="3C67580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Portal Link: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</w:rPr>
        <w:fldChar w:fldCharType="begin"/>
      </w:r>
      <w:r>
        <w:rPr>
          <w:rFonts w:hint="default" w:ascii="sans-serif" w:hAnsi="sans-serif" w:eastAsia="sans-serif" w:cs="sans-serif"/>
        </w:rPr>
        <w:instrText xml:space="preserve"> HYPERLINK "https://bsaaml.ffiec.gov/manual" \t "https://gemini.google.com/app/_blank" </w:instrText>
      </w:r>
      <w:r>
        <w:rPr>
          <w:rFonts w:hint="default" w:ascii="sans-serif" w:hAnsi="sans-serif" w:eastAsia="sans-serif" w:cs="sans-serif"/>
        </w:rPr>
        <w:fldChar w:fldCharType="separate"/>
      </w:r>
      <w:r>
        <w:rPr>
          <w:rStyle w:val="6"/>
          <w:rFonts w:hint="default" w:ascii="sans-serif" w:hAnsi="sans-serif" w:eastAsia="sans-serif" w:cs="sans-serif"/>
        </w:rPr>
        <w:t>FFIEC BSA/AML InfoBase Manual Portal</w:t>
      </w:r>
      <w:r>
        <w:rPr>
          <w:rFonts w:hint="default" w:ascii="sans-serif" w:hAnsi="sans-serif" w:eastAsia="sans-serif" w:cs="sans-serif"/>
        </w:rPr>
        <w:fldChar w:fldCharType="end"/>
      </w:r>
    </w:p>
    <w:p w14:paraId="2C05F641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sans-serif" w:hAnsi="sans-serif" w:eastAsia="sans-serif" w:cs="sans-serif"/>
        </w:rPr>
      </w:pPr>
    </w:p>
    <w:p w14:paraId="0C670526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sans-serif" w:hAnsi="sans-serif" w:eastAsia="sans-serif" w:cs="sans-serif"/>
        </w:rPr>
      </w:pPr>
    </w:p>
    <w:p w14:paraId="65CC25F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Direct PDF Download (Full Manual):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</w:rPr>
        <w:fldChar w:fldCharType="begin"/>
      </w:r>
      <w:r>
        <w:rPr>
          <w:rFonts w:hint="default" w:ascii="sans-serif" w:hAnsi="sans-serif" w:eastAsia="sans-serif" w:cs="sans-serif"/>
        </w:rPr>
        <w:instrText xml:space="preserve"> HYPERLINK "https://bsaaml.ffiec.gov/docs/manual/BSA_AML_Man_2014_v2_CDDBO.pdf" \t "https://gemini.google.com/app/_blank" </w:instrText>
      </w:r>
      <w:r>
        <w:rPr>
          <w:rFonts w:hint="default" w:ascii="sans-serif" w:hAnsi="sans-serif" w:eastAsia="sans-serif" w:cs="sans-serif"/>
        </w:rPr>
        <w:fldChar w:fldCharType="separate"/>
      </w:r>
      <w:r>
        <w:rPr>
          <w:rStyle w:val="6"/>
          <w:rFonts w:hint="default" w:ascii="sans-serif" w:hAnsi="sans-serif" w:eastAsia="sans-serif" w:cs="sans-serif"/>
        </w:rPr>
        <w:t>FFIEC Bank Secrecy Act/Anti-Money Laundering Examination Manual</w:t>
      </w:r>
      <w:r>
        <w:rPr>
          <w:rFonts w:hint="default" w:ascii="sans-serif" w:hAnsi="sans-serif" w:eastAsia="sans-serif" w:cs="sans-serif"/>
        </w:rPr>
        <w:fldChar w:fldCharType="end"/>
      </w:r>
    </w:p>
    <w:p w14:paraId="75F98702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sans-serif" w:hAnsi="sans-serif" w:eastAsia="sans-serif" w:cs="sans-serif"/>
        </w:rPr>
      </w:pPr>
    </w:p>
    <w:p w14:paraId="36023E0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23C0229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FinCEN Guidance Statutes &amp; Quick Reference Red Flags Guide</w:t>
      </w:r>
    </w:p>
    <w:p w14:paraId="3904164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53905DE3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sans-serif" w:hAnsi="sans-serif" w:eastAsia="sans-serif" w:cs="sans-serif"/>
        </w:rPr>
      </w:pPr>
    </w:p>
    <w:p w14:paraId="5666F47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Focus:</w:t>
      </w:r>
      <w:r>
        <w:rPr>
          <w:rFonts w:hint="default" w:ascii="sans-serif" w:hAnsi="sans-serif" w:eastAsia="sans-serif" w:cs="sans-serif"/>
        </w:rPr>
        <w:t xml:space="preserve"> Evaluating structuring (smurfing) patterns trying to bypass standard transaction reporting thresholds.</w:t>
      </w:r>
    </w:p>
    <w:p w14:paraId="1375D2E6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sans-serif" w:hAnsi="sans-serif" w:eastAsia="sans-serif" w:cs="sans-serif"/>
        </w:rPr>
      </w:pPr>
    </w:p>
    <w:p w14:paraId="625C99FB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sans-serif" w:hAnsi="sans-serif" w:eastAsia="sans-serif" w:cs="sans-serif"/>
        </w:rPr>
      </w:pPr>
    </w:p>
    <w:p w14:paraId="0E963BB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Direct PDF Download: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</w:rPr>
        <w:fldChar w:fldCharType="begin"/>
      </w:r>
      <w:r>
        <w:rPr>
          <w:rFonts w:hint="default" w:ascii="sans-serif" w:hAnsi="sans-serif" w:eastAsia="sans-serif" w:cs="sans-serif"/>
        </w:rPr>
        <w:instrText xml:space="preserve"> HYPERLINK "https://www.fincen.gov/sites/default/files/shared/report_reference.pdf" \t "https://gemini.google.com/app/_blank" </w:instrText>
      </w:r>
      <w:r>
        <w:rPr>
          <w:rFonts w:hint="default" w:ascii="sans-serif" w:hAnsi="sans-serif" w:eastAsia="sans-serif" w:cs="sans-serif"/>
        </w:rPr>
        <w:fldChar w:fldCharType="separate"/>
      </w:r>
      <w:r>
        <w:rPr>
          <w:rStyle w:val="6"/>
          <w:rFonts w:hint="default" w:ascii="sans-serif" w:hAnsi="sans-serif" w:eastAsia="sans-serif" w:cs="sans-serif"/>
        </w:rPr>
        <w:t>FinCEN Suspicious Activity Quick Reference Guide</w:t>
      </w:r>
      <w:r>
        <w:rPr>
          <w:rFonts w:hint="default" w:ascii="sans-serif" w:hAnsi="sans-serif" w:eastAsia="sans-serif" w:cs="sans-serif"/>
        </w:rPr>
        <w:fldChar w:fldCharType="end"/>
      </w:r>
    </w:p>
    <w:p w14:paraId="0621D5C2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sans-serif" w:hAnsi="sans-serif" w:eastAsia="sans-serif" w:cs="sans-serif"/>
        </w:rPr>
      </w:pPr>
    </w:p>
    <w:p w14:paraId="6E8003B6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sans-serif" w:hAnsi="sans-serif" w:eastAsia="sans-serif" w:cs="sans-serif"/>
        </w:rPr>
      </w:pPr>
    </w:p>
    <w:p w14:paraId="39B4597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Portal Link: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</w:rPr>
        <w:fldChar w:fldCharType="begin"/>
      </w:r>
      <w:r>
        <w:rPr>
          <w:rFonts w:hint="default" w:ascii="sans-serif" w:hAnsi="sans-serif" w:eastAsia="sans-serif" w:cs="sans-serif"/>
        </w:rPr>
        <w:instrText xml:space="preserve"> HYPERLINK "https://www.fincen.gov/resources/statutes-regulations/guidance" \t "https://gemini.google.com/app/_blank" </w:instrText>
      </w:r>
      <w:r>
        <w:rPr>
          <w:rFonts w:hint="default" w:ascii="sans-serif" w:hAnsi="sans-serif" w:eastAsia="sans-serif" w:cs="sans-serif"/>
        </w:rPr>
        <w:fldChar w:fldCharType="separate"/>
      </w:r>
      <w:r>
        <w:rPr>
          <w:rStyle w:val="6"/>
          <w:rFonts w:hint="default" w:ascii="sans-serif" w:hAnsi="sans-serif" w:eastAsia="sans-serif" w:cs="sans-serif"/>
        </w:rPr>
        <w:t>FinCEN Guidance Statutes &amp; Regulations Hub</w:t>
      </w:r>
      <w:r>
        <w:rPr>
          <w:rFonts w:hint="default" w:ascii="sans-serif" w:hAnsi="sans-serif" w:eastAsia="sans-serif" w:cs="sans-serif"/>
        </w:rPr>
        <w:fldChar w:fldCharType="end"/>
      </w:r>
    </w:p>
    <w:p w14:paraId="738A8226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sans-serif" w:hAnsi="sans-serif" w:eastAsia="sans-serif" w:cs="sans-serif"/>
        </w:rPr>
      </w:pPr>
      <w:bookmarkStart w:id="0" w:name="_GoBack"/>
    </w:p>
    <w:bookmarkEnd w:id="0"/>
    <w:p w14:paraId="4E9D9E6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12178D1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FATF (Financial Action Task Force) 40 Recommendations</w:t>
      </w:r>
    </w:p>
    <w:p w14:paraId="69232A5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5EC07FA2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sans-serif" w:hAnsi="sans-serif" w:eastAsia="sans-serif" w:cs="sans-serif"/>
        </w:rPr>
      </w:pPr>
    </w:p>
    <w:p w14:paraId="4A0FCE1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Focus:</w:t>
      </w:r>
      <w:r>
        <w:rPr>
          <w:rFonts w:hint="default" w:ascii="sans-serif" w:hAnsi="sans-serif" w:eastAsia="sans-serif" w:cs="sans-serif"/>
        </w:rPr>
        <w:t xml:space="preserve"> Countering regime sanctions evasion (e.g., North Korea, Russia), proliferation financing, and PEP verification.</w:t>
      </w:r>
    </w:p>
    <w:p w14:paraId="2DEB77FC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sans-serif" w:hAnsi="sans-serif" w:eastAsia="sans-serif" w:cs="sans-serif"/>
        </w:rPr>
      </w:pPr>
    </w:p>
    <w:p w14:paraId="31A3816D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sans-serif" w:hAnsi="sans-serif" w:eastAsia="sans-serif" w:cs="sans-serif"/>
        </w:rPr>
      </w:pPr>
    </w:p>
    <w:p w14:paraId="34935AC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Portal Link: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</w:rPr>
        <w:fldChar w:fldCharType="begin"/>
      </w:r>
      <w:r>
        <w:rPr>
          <w:rFonts w:hint="default" w:ascii="sans-serif" w:hAnsi="sans-serif" w:eastAsia="sans-serif" w:cs="sans-serif"/>
        </w:rPr>
        <w:instrText xml:space="preserve"> HYPERLINK "https://www.fatf-gafi.org/en/publications/Fatfrecommendations/Fatf-recommendations.html" \t "https://gemini.google.com/app/_blank" </w:instrText>
      </w:r>
      <w:r>
        <w:rPr>
          <w:rFonts w:hint="default" w:ascii="sans-serif" w:hAnsi="sans-serif" w:eastAsia="sans-serif" w:cs="sans-serif"/>
        </w:rPr>
        <w:fldChar w:fldCharType="separate"/>
      </w:r>
      <w:r>
        <w:rPr>
          <w:rStyle w:val="6"/>
          <w:rFonts w:hint="default" w:ascii="sans-serif" w:hAnsi="sans-serif" w:eastAsia="sans-serif" w:cs="sans-serif"/>
        </w:rPr>
        <w:t>FATF Recommendations Portal</w:t>
      </w:r>
      <w:r>
        <w:rPr>
          <w:rFonts w:hint="default" w:ascii="sans-serif" w:hAnsi="sans-serif" w:eastAsia="sans-serif" w:cs="sans-serif"/>
        </w:rPr>
        <w:fldChar w:fldCharType="end"/>
      </w:r>
    </w:p>
    <w:p w14:paraId="43913FB6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sans-serif" w:hAnsi="sans-serif" w:eastAsia="sans-serif" w:cs="sans-serif"/>
        </w:rPr>
      </w:pPr>
    </w:p>
    <w:p w14:paraId="48D14D6A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sans-serif" w:hAnsi="sans-serif" w:eastAsia="sans-serif" w:cs="sans-serif"/>
        </w:rPr>
      </w:pPr>
    </w:p>
    <w:p w14:paraId="7E0950F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Direct PDF Download: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</w:rPr>
        <w:fldChar w:fldCharType="begin"/>
      </w:r>
      <w:r>
        <w:rPr>
          <w:rFonts w:hint="default" w:ascii="sans-serif" w:hAnsi="sans-serif" w:eastAsia="sans-serif" w:cs="sans-serif"/>
        </w:rPr>
        <w:instrText xml:space="preserve"> HYPERLINK "https://www.fatf-gafi.org/content/dam/fatf-gafi/recommendations/FATF Recommendations 2012.pdf.coredownload.inline.pdf?nocache=true" \t "https://gemini.google.com/app/_blank" </w:instrText>
      </w:r>
      <w:r>
        <w:rPr>
          <w:rFonts w:hint="default" w:ascii="sans-serif" w:hAnsi="sans-serif" w:eastAsia="sans-serif" w:cs="sans-serif"/>
        </w:rPr>
        <w:fldChar w:fldCharType="separate"/>
      </w:r>
      <w:r>
        <w:rPr>
          <w:rStyle w:val="6"/>
          <w:rFonts w:hint="default" w:ascii="sans-serif" w:hAnsi="sans-serif" w:eastAsia="sans-serif" w:cs="sans-serif"/>
        </w:rPr>
        <w:t>FATF 40 Recommendations Framework</w:t>
      </w:r>
      <w:r>
        <w:rPr>
          <w:rFonts w:hint="default" w:ascii="sans-serif" w:hAnsi="sans-serif" w:eastAsia="sans-serif" w:cs="sans-serif"/>
        </w:rPr>
        <w:fldChar w:fldCharType="end"/>
      </w:r>
    </w:p>
    <w:p w14:paraId="62FC946A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sans-serif" w:hAnsi="sans-serif" w:eastAsia="sans-serif" w:cs="sans-serif"/>
        </w:rPr>
      </w:pPr>
    </w:p>
    <w:p w14:paraId="3C2D6C1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2FB3EA0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European Banking Authority (EBA) Final Report on ML/TF Risk Factors</w:t>
      </w:r>
    </w:p>
    <w:p w14:paraId="17AEB8A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0ADD0307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sans-serif" w:hAnsi="sans-serif" w:eastAsia="sans-serif" w:cs="sans-serif"/>
        </w:rPr>
      </w:pPr>
    </w:p>
    <w:p w14:paraId="0438776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Focus:</w:t>
      </w:r>
      <w:r>
        <w:rPr>
          <w:rFonts w:hint="default" w:ascii="sans-serif" w:hAnsi="sans-serif" w:eastAsia="sans-serif" w:cs="sans-serif"/>
        </w:rPr>
        <w:t xml:space="preserve"> Jurisdictional risk matrices, evaluating un-verified business entity transactions, and cross-border tracing limits.</w:t>
      </w:r>
    </w:p>
    <w:p w14:paraId="6AFAB381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sans-serif" w:hAnsi="sans-serif" w:eastAsia="sans-serif" w:cs="sans-serif"/>
        </w:rPr>
      </w:pPr>
    </w:p>
    <w:p w14:paraId="29DCE510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sans-serif" w:hAnsi="sans-serif" w:eastAsia="sans-serif" w:cs="sans-serif"/>
        </w:rPr>
      </w:pPr>
    </w:p>
    <w:p w14:paraId="4AE7150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Portal Link: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</w:rPr>
        <w:fldChar w:fldCharType="begin"/>
      </w:r>
      <w:r>
        <w:rPr>
          <w:rFonts w:hint="default" w:ascii="sans-serif" w:hAnsi="sans-serif" w:eastAsia="sans-serif" w:cs="sans-serif"/>
        </w:rPr>
        <w:instrText xml:space="preserve"> HYPERLINK "https://www.eba.europa.eu/regulation-and-policy/anti-money-laundering-and-countering-financing-terrorism" \t "https://gemini.google.com/app/_blank" </w:instrText>
      </w:r>
      <w:r>
        <w:rPr>
          <w:rFonts w:hint="default" w:ascii="sans-serif" w:hAnsi="sans-serif" w:eastAsia="sans-serif" w:cs="sans-serif"/>
        </w:rPr>
        <w:fldChar w:fldCharType="separate"/>
      </w:r>
      <w:r>
        <w:rPr>
          <w:rStyle w:val="6"/>
          <w:rFonts w:hint="default" w:ascii="sans-serif" w:hAnsi="sans-serif" w:eastAsia="sans-serif" w:cs="sans-serif"/>
        </w:rPr>
        <w:t>EBA Anti-Money Laundering Portal</w:t>
      </w:r>
      <w:r>
        <w:rPr>
          <w:rFonts w:hint="default" w:ascii="sans-serif" w:hAnsi="sans-serif" w:eastAsia="sans-serif" w:cs="sans-serif"/>
        </w:rPr>
        <w:fldChar w:fldCharType="end"/>
      </w:r>
    </w:p>
    <w:p w14:paraId="78FD82B2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sans-serif" w:hAnsi="sans-serif" w:eastAsia="sans-serif" w:cs="sans-serif"/>
        </w:rPr>
      </w:pPr>
    </w:p>
    <w:p w14:paraId="14939C15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sans-serif" w:hAnsi="sans-serif" w:eastAsia="sans-serif" w:cs="sans-serif"/>
        </w:rPr>
      </w:pPr>
    </w:p>
    <w:p w14:paraId="6BF81EE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Direct PDF Download: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</w:rPr>
        <w:fldChar w:fldCharType="begin"/>
      </w:r>
      <w:r>
        <w:rPr>
          <w:rFonts w:hint="default" w:ascii="sans-serif" w:hAnsi="sans-serif" w:eastAsia="sans-serif" w:cs="sans-serif"/>
        </w:rPr>
        <w:instrText xml:space="preserve"> HYPERLINK "https://www.eba.europa.eu/sites/default/files/2024-01/a3e89f4f-fbf3-4bd6-9e07-35f3243555b3/Final Amending  Guidelines on MLTF Risk Factors.pdf" \t "https://gemini.google.com/app/_blank" </w:instrText>
      </w:r>
      <w:r>
        <w:rPr>
          <w:rFonts w:hint="default" w:ascii="sans-serif" w:hAnsi="sans-serif" w:eastAsia="sans-serif" w:cs="sans-serif"/>
        </w:rPr>
        <w:fldChar w:fldCharType="separate"/>
      </w:r>
      <w:r>
        <w:rPr>
          <w:rStyle w:val="6"/>
          <w:rFonts w:hint="default" w:ascii="sans-serif" w:hAnsi="sans-serif" w:eastAsia="sans-serif" w:cs="sans-serif"/>
        </w:rPr>
        <w:t>EBA Final Amending Guidelines on ML/TF Risk Factors</w:t>
      </w:r>
      <w:r>
        <w:rPr>
          <w:rFonts w:hint="default" w:ascii="sans-serif" w:hAnsi="sans-serif" w:eastAsia="sans-serif" w:cs="sans-serif"/>
        </w:rPr>
        <w:fldChar w:fldCharType="end"/>
      </w:r>
    </w:p>
    <w:p w14:paraId="06833E79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sans-serif" w:hAnsi="sans-serif" w:eastAsia="sans-serif" w:cs="sans-serif"/>
        </w:rPr>
      </w:pPr>
    </w:p>
    <w:p w14:paraId="7095B305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Ingestion Best Practice Recommendation</w:t>
      </w:r>
    </w:p>
    <w:p w14:paraId="4FC0CB75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When passing these documents into your vector database, configure your chunk size to </w:t>
      </w:r>
      <w:r>
        <w:rPr>
          <w:rFonts w:hint="default" w:ascii="sans-serif" w:hAnsi="sans-serif" w:eastAsia="sans-serif" w:cs="sans-serif"/>
          <w:b/>
          <w:bCs/>
        </w:rPr>
        <w:t>$500$ to $1000$ tokens</w:t>
      </w:r>
      <w:r>
        <w:rPr>
          <w:rFonts w:hint="default" w:ascii="sans-serif" w:hAnsi="sans-serif" w:eastAsia="sans-serif" w:cs="sans-serif"/>
        </w:rPr>
        <w:t xml:space="preserve"> with an overlap of roughly </w:t>
      </w:r>
      <w:r>
        <w:rPr>
          <w:rFonts w:hint="default" w:ascii="sans-serif" w:hAnsi="sans-serif" w:eastAsia="sans-serif" w:cs="sans-serif"/>
          <w:b/>
          <w:bCs/>
        </w:rPr>
        <w:t>$100$ to $200$ tokens</w:t>
      </w:r>
      <w:r>
        <w:rPr>
          <w:rFonts w:hint="default" w:ascii="sans-serif" w:hAnsi="sans-serif" w:eastAsia="sans-serif" w:cs="sans-serif"/>
        </w:rPr>
        <w:t>. This ensures that the dense "Red Flag Indicators" and bulleted checklists in the FinCEN and FATF guidelines do not get split up in a way that disrupts semantic context when your agents perform vector lookups.</w:t>
      </w:r>
    </w:p>
    <w:p w14:paraId="0DCA0AA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B99E06"/>
    <w:multiLevelType w:val="multilevel"/>
    <w:tmpl w:val="22B99E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417FAC0A"/>
    <w:multiLevelType w:val="multilevel"/>
    <w:tmpl w:val="417FAC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7FEB1C6C"/>
    <w:multiLevelType w:val="multilevel"/>
    <w:tmpl w:val="7FEB1C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8E4D5C"/>
    <w:rsid w:val="0A8E4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6">
    <w:name w:val="Hyperlink"/>
    <w:basedOn w:val="3"/>
    <w:uiPriority w:val="0"/>
    <w:rPr>
      <w:color w:val="0000FF"/>
      <w:u w:val="single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2026-06-10T06:40:00Z</dcterms:created>
  <dc:creator>ramee</dc:creator>
  <cp:lastModifiedBy>ramee</cp:lastModifiedBy>
  <dcterms:modified xsi:type="dcterms:W3CDTF">2026-06-10T07:02:45Z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DC51660F0C3C43348DFBC7B6DEEE25D8_11</vt:lpwstr>
  </property>
  <property fmtid="{D5CDD505-2E9C-101B-9397-08002B2CF9AE}" pid="4" name="KSOTemplateDocerSaveRecord">
    <vt:lpwstr>eyJoZGlkIjoiMjg3ZDBjMmU3YjliNWU2Y2I0Yzc4OTAzZmE4NDNjN2EifQ==</vt:lpwstr>
  </property>
</Properties>
</file>