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32"/>
          <w:szCs w:val="32"/>
        </w:rPr>
        <w:t xml:space="preserve">Severity-Aware and Uncertainty-Guided Deep Learning Framework for Automated Solar Panel Defect Inspection</w:t>
      </w:r>
    </w:p>
    <w:p>
      <w:pPr>
        <w:spacing w:after="40"/>
        <w:jc w:val="center"/>
      </w:pPr>
      <w:r>
        <w:rPr>
          <w:rFonts w:ascii="Times New Roman" w:cs="Times New Roman" w:eastAsia="Times New Roman" w:hAnsi="Times New Roman"/>
          <w:sz w:val="22"/>
          <w:szCs w:val="22"/>
        </w:rPr>
        <w:t xml:space="preserve">[Author Name], [Author Name]</w:t>
      </w:r>
    </w:p>
    <w:p>
      <w:pPr>
        <w:spacing w:after="40"/>
        <w:jc w:val="center"/>
      </w:pPr>
      <w:r>
        <w:rPr>
          <w:rFonts w:ascii="Times New Roman" w:cs="Times New Roman" w:eastAsia="Times New Roman" w:hAnsi="Times New Roman"/>
          <w:i/>
          <w:iCs/>
          <w:sz w:val="20"/>
          <w:szCs w:val="20"/>
        </w:rPr>
        <w:t xml:space="preserve">Department of [Department], [Institution], [City, Country]</w:t>
      </w:r>
    </w:p>
    <w:p>
      <w:pPr>
        <w:spacing w:after="60"/>
        <w:jc w:val="center"/>
      </w:pPr>
      <w:r>
        <w:rPr>
          <w:rFonts w:ascii="Times New Roman" w:cs="Times New Roman" w:eastAsia="Times New Roman" w:hAnsi="Times New Roman"/>
          <w:i/>
          <w:iCs/>
          <w:sz w:val="20"/>
          <w:szCs w:val="20"/>
        </w:rPr>
        <w:t xml:space="preserve">[email@institution.edu]</w:t>
      </w:r>
    </w:p>
    <w:p>
      <w:pPr>
        <w:sectPr>
          <w:pgSz w:w="12240" w:h="15840" w:orient="portrait"/>
          <w:pgMar w:top="1080" w:right="900" w:bottom="1080" w:left="900" w:header="708" w:footer="708" w:gutter="0"/>
          <w:pgNumType/>
          <w:cols w:space="288" w:num="1"/>
          <w:docGrid w:linePitch="360"/>
        </w:sectPr>
      </w:pPr>
    </w:p>
    <w:p>
      <w:pPr>
        <w:spacing w:after="100"/>
        <w:jc w:val="both"/>
      </w:pPr>
      <w:r>
        <w:rPr>
          <w:rFonts w:ascii="Times New Roman" w:cs="Times New Roman" w:eastAsia="Times New Roman" w:hAnsi="Times New Roman"/>
          <w:b/>
          <w:bCs/>
          <w:i/>
          <w:iCs/>
          <w:sz w:val="18"/>
          <w:szCs w:val="18"/>
        </w:rPr>
        <w:t xml:space="preserve">Abstract—</w:t>
      </w:r>
      <w:r>
        <w:rPr>
          <w:rFonts w:ascii="Times New Roman" w:cs="Times New Roman" w:eastAsia="Times New Roman" w:hAnsi="Times New Roman"/>
          <w:sz w:val="18"/>
          <w:szCs w:val="18"/>
        </w:rPr>
        <w:t xml:space="preserve"> Automated inspection of photovoltaic (PV) panels using electroluminescence (EL) imaging and deep learning has drawn considerable research attention, with recent studies reporting classification accuracies above 95% on the ELPV benchmark. However, most published pipelines assume a single, well-composed image is already available, treat defect severity as an unordered category, and return point predictions without any signal of reliability. These assumptions are difficult to satisfy under moving-camera or drone acquisition with variable focus, lighting, and framing, and they give little basis for prioritizing maintenance across a panel fleet. This paper specifies a severity-aware, uncertainty-guided framework that couples automated panel localization and quality-gated multi-frame acquisition with an ordinal severity formulation and a calibrated uncertainty estimate, mapped to a maintenance-priority decision. Five research questions guide the design, covering acquisition quality, ordinal severity modelling, uncertainty-based referral, robustness to degradation, and the accuracy–efficiency trade-off. The methodology, experimental design, and evaluation protocol are described in full; quantitative results are not yet available and are marked [TBD] throughout, to be inserted once experimentation is complete.</w:t>
      </w:r>
    </w:p>
    <w:p>
      <w:pPr>
        <w:spacing w:after="160"/>
        <w:jc w:val="both"/>
      </w:pPr>
      <w:r>
        <w:rPr>
          <w:rFonts w:ascii="Times New Roman" w:cs="Times New Roman" w:eastAsia="Times New Roman" w:hAnsi="Times New Roman"/>
          <w:b/>
          <w:bCs/>
          <w:i/>
          <w:iCs/>
          <w:sz w:val="18"/>
          <w:szCs w:val="18"/>
        </w:rPr>
        <w:t xml:space="preserve">Index Terms—</w:t>
      </w:r>
      <w:r>
        <w:rPr>
          <w:rFonts w:ascii="Times New Roman" w:cs="Times New Roman" w:eastAsia="Times New Roman" w:hAnsi="Times New Roman"/>
          <w:sz w:val="18"/>
          <w:szCs w:val="18"/>
        </w:rPr>
        <w:t xml:space="preserve"> Photovoltaic inspection, electroluminescence imaging, defect classification, severity-aware learning, ordinal regression, uncertainty estimation, image quality assessment, predictive maintenance, deep learning.</w:t>
      </w:r>
    </w:p>
    <w:p>
      <w:pPr>
        <w:spacing w:after="100" w:before="220"/>
        <w:jc w:val="center"/>
      </w:pPr>
      <w:r>
        <w:rPr>
          <w:rFonts w:ascii="Times New Roman" w:cs="Times New Roman" w:eastAsia="Times New Roman" w:hAnsi="Times New Roman"/>
          <w:b/>
          <w:bCs/>
          <w:color w:val="000000"/>
          <w:sz w:val="20"/>
          <w:szCs w:val="20"/>
        </w:rPr>
        <w:t xml:space="preserve">I. Introduction</w:t>
      </w:r>
    </w:p>
    <w:p>
      <w:pPr>
        <w:spacing w:after="80" w:before="140"/>
      </w:pPr>
      <w:r>
        <w:rPr>
          <w:rFonts w:ascii="Times New Roman" w:cs="Times New Roman" w:eastAsia="Times New Roman" w:hAnsi="Times New Roman"/>
          <w:i/>
          <w:iCs/>
          <w:color w:val="000000"/>
          <w:sz w:val="20"/>
          <w:szCs w:val="20"/>
        </w:rPr>
        <w:t xml:space="preserve">A. Background and Motivation</w:t>
      </w:r>
    </w:p>
    <w:p>
      <w:pPr>
        <w:spacing w:after="120"/>
        <w:ind w:firstLine="200"/>
        <w:jc w:val="both"/>
      </w:pPr>
      <w:r>
        <w:rPr>
          <w:rFonts w:ascii="Times New Roman" w:cs="Times New Roman" w:eastAsia="Times New Roman" w:hAnsi="Times New Roman"/>
          <w:sz w:val="20"/>
          <w:szCs w:val="20"/>
        </w:rPr>
        <w:t xml:space="preserve">Photovoltaic (PV) capacity continues to expand rapidly as part of the transition to renewable energy, and the reliability of individual modules is a direct driver of long-term energy yield. PV cells accumulate defects over production and operation, including microcracks, finger interruptions, dislocations, and cell-to-cell disconnections, several of which are invisible under ordinary white-light inspection [1], [3]. Electroluminescence (EL) imaging, which captures the infrared emission of a forward-biased module, is widely regarded as the most informative non-destructive modality for revealing such internal defects [1], [3], but manual interpretation by trained personnel remains the practical standard in many facilities despite being slow, costly at plant scale, and subject to inter-observer variability [28].</w:t>
      </w:r>
    </w:p>
    <w:p>
      <w:pPr>
        <w:spacing w:after="80" w:before="140"/>
      </w:pPr>
      <w:r>
        <w:rPr>
          <w:rFonts w:ascii="Times New Roman" w:cs="Times New Roman" w:eastAsia="Times New Roman" w:hAnsi="Times New Roman"/>
          <w:i/>
          <w:iCs/>
          <w:color w:val="000000"/>
          <w:sz w:val="20"/>
          <w:szCs w:val="20"/>
        </w:rPr>
        <w:t xml:space="preserve">B. Problem Statement</w:t>
      </w:r>
    </w:p>
    <w:p>
      <w:pPr>
        <w:spacing w:after="120"/>
        <w:ind w:firstLine="200"/>
        <w:jc w:val="both"/>
      </w:pPr>
      <w:r>
        <w:rPr>
          <w:rFonts w:ascii="Times New Roman" w:cs="Times New Roman" w:eastAsia="Times New Roman" w:hAnsi="Times New Roman"/>
          <w:sz w:val="20"/>
          <w:szCs w:val="20"/>
        </w:rPr>
        <w:t xml:space="preserve">Most reported EL classifiers are trained and evaluated on curated datasets in which each cell is already represented by a single, well-framed image. In field deployment, that image is itself the output of an acquisition process; if this step is ignored, an accurate classifier can still be asked to interpret a blurred, poorly exposed, or occluded frame. In addition, most systems output a single label with no confidence signal, limiting their use for prioritizing maintenance across a large fleet.</w:t>
      </w:r>
    </w:p>
    <w:p>
      <w:pPr>
        <w:spacing w:after="80" w:before="140"/>
      </w:pPr>
      <w:r>
        <w:rPr>
          <w:rFonts w:ascii="Times New Roman" w:cs="Times New Roman" w:eastAsia="Times New Roman" w:hAnsi="Times New Roman"/>
          <w:i/>
          <w:iCs/>
          <w:color w:val="000000"/>
          <w:sz w:val="20"/>
          <w:szCs w:val="20"/>
        </w:rPr>
        <w:t xml:space="preserve">C. Limitations of Existing Approaches</w:t>
      </w:r>
    </w:p>
    <w:p>
      <w:pPr>
        <w:spacing w:after="120"/>
        <w:ind w:firstLine="200"/>
        <w:jc w:val="both"/>
      </w:pPr>
      <w:r>
        <w:rPr>
          <w:rFonts w:ascii="Times New Roman" w:cs="Times New Roman" w:eastAsia="Times New Roman" w:hAnsi="Times New Roman"/>
          <w:sz w:val="20"/>
          <w:szCs w:val="20"/>
        </w:rPr>
        <w:t xml:space="preserve">On the ELPV benchmark, Tella et al. [26] report four-class ensemble accuracies of 68.36–68.31% and 73.02% binary accuracy with ResNet18; Sudervel et al. [27] report 96.4% with a hybrid EfficientNet-B0+SVM pipeline; Demir [28] reports the strongest published figures, 98.17% (binary) and 97.02% (four-class), using a residual-attention CNN with a ReliefF-weighted SVM. Detection-oriented work such as YOLO-PV [5] and transformer-based classifiers such as PVEL-ViT [9] extend accuracy and localization further, and field-oriented studies [4] confirm that EL-based classification remains sensitive to real operating conditions. None of these studies, nor the broader review in [3], incorporates an explicit acquisition-quality stage, an ordinal severity target, or a calibrated uncertainty estimate alongside its predictions.</w:t>
      </w:r>
    </w:p>
    <w:p>
      <w:pPr>
        <w:spacing w:after="80" w:before="140"/>
      </w:pPr>
      <w:r>
        <w:rPr>
          <w:rFonts w:ascii="Times New Roman" w:cs="Times New Roman" w:eastAsia="Times New Roman" w:hAnsi="Times New Roman"/>
          <w:i/>
          <w:iCs/>
          <w:color w:val="000000"/>
          <w:sz w:val="20"/>
          <w:szCs w:val="20"/>
        </w:rPr>
        <w:t xml:space="preserve">D. Research Gap</w:t>
      </w:r>
    </w:p>
    <w:p>
      <w:pPr>
        <w:spacing w:after="120"/>
        <w:ind w:firstLine="200"/>
        <w:jc w:val="both"/>
      </w:pPr>
      <w:r>
        <w:rPr>
          <w:rFonts w:ascii="Times New Roman" w:cs="Times New Roman" w:eastAsia="Times New Roman" w:hAnsi="Times New Roman"/>
          <w:sz w:val="20"/>
          <w:szCs w:val="20"/>
        </w:rPr>
        <w:t xml:space="preserve">This study does not claim novelty for any individual technique reviewed in Section II; each of localization, EL classification, ordinal regression, and uncertainty estimation is separately well established. The underexplored aspect is their joint use within one inspection pipeline that also feeds a maintenance-priority decision, evaluated together under a controlled acquisition-degradation protocol rather than assumed to transfer automatically from clean-image benchmarks.</w:t>
      </w:r>
    </w:p>
    <w:p>
      <w:pPr>
        <w:spacing w:after="80" w:before="140"/>
      </w:pPr>
      <w:r>
        <w:rPr>
          <w:rFonts w:ascii="Times New Roman" w:cs="Times New Roman" w:eastAsia="Times New Roman" w:hAnsi="Times New Roman"/>
          <w:i/>
          <w:iCs/>
          <w:color w:val="000000"/>
          <w:sz w:val="20"/>
          <w:szCs w:val="20"/>
        </w:rPr>
        <w:t xml:space="preserve">E. Research Questions</w:t>
      </w:r>
    </w:p>
    <w:p>
      <w:pPr>
        <w:spacing w:after="120"/>
        <w:ind w:firstLine="200"/>
        <w:jc w:val="both"/>
      </w:pPr>
      <w:r>
        <w:rPr>
          <w:rFonts w:ascii="Times New Roman" w:cs="Times New Roman" w:eastAsia="Times New Roman" w:hAnsi="Times New Roman"/>
          <w:sz w:val="20"/>
          <w:szCs w:val="20"/>
        </w:rPr>
        <w:t xml:space="preserve">(RQ1) Can automated localization and quality-aware acquisition improve downstream classification reliability? (RQ2) Does an ordinal severity formulation outperform conventional categorical classification? (RQ3) Can uncertainty estimation identify predictions that should be referred for human review? (RQ4) How robust are candidate backbones under realistic degradation (blur, noise, brightness, contrast, compression)? (RQ5) What is the accuracy–computational-cost trade-off across candidate backbones? Not every research question is guaranteed to be fully addressed by the completed experiments; the final manuscript will report only on those that the finished work actually supports.</w:t>
      </w:r>
    </w:p>
    <w:p>
      <w:pPr>
        <w:spacing w:after="80" w:before="140"/>
      </w:pPr>
      <w:r>
        <w:rPr>
          <w:rFonts w:ascii="Times New Roman" w:cs="Times New Roman" w:eastAsia="Times New Roman" w:hAnsi="Times New Roman"/>
          <w:i/>
          <w:iCs/>
          <w:color w:val="000000"/>
          <w:sz w:val="20"/>
          <w:szCs w:val="20"/>
        </w:rPr>
        <w:t xml:space="preserve">F. Contributions</w:t>
      </w:r>
    </w:p>
    <w:p>
      <w:pPr>
        <w:spacing w:after="120"/>
        <w:ind w:firstLine="200"/>
        <w:jc w:val="both"/>
      </w:pPr>
      <w:r>
        <w:rPr>
          <w:rFonts w:ascii="Times New Roman" w:cs="Times New Roman" w:eastAsia="Times New Roman" w:hAnsi="Times New Roman"/>
          <w:sz w:val="20"/>
          <w:szCs w:val="20"/>
        </w:rPr>
        <w:t xml:space="preserve">(i) a quality-aware, multi-frame acquisition strategy for EL inspection; (ii) an ordinal reformulation of the existing ELPV severity labels rather than an unverified new taxonomy; (iii) an uncertainty-guided maintenance-priority decision layer; and (iv) a full experimental and ablation protocol against the closest published baselines [1], [26]–[28].</w:t>
      </w:r>
    </w:p>
    <w:p>
      <w:pPr>
        <w:pBdr>
          <w:top w:val="single" w:color="999999" w:sz="4"/>
          <w:bottom w:val="single" w:color="999999" w:sz="4"/>
          <w:left w:val="single" w:color="999999" w:sz="4"/>
          <w:right w:val="single" w:color="999999" w:sz="4"/>
        </w:pBdr>
        <w:spacing w:after="40" w:before="140"/>
        <w:jc w:val="center"/>
      </w:pPr>
      <w:r>
        <w:rPr>
          <w:rFonts w:ascii="Times New Roman" w:cs="Times New Roman" w:eastAsia="Times New Roman" w:hAnsi="Times New Roman"/>
          <w:b/>
          <w:bCs/>
          <w:i/>
          <w:iCs/>
          <w:sz w:val="18"/>
          <w:szCs w:val="18"/>
        </w:rPr>
        <w:t xml:space="preserve">[INSERT FIGURE 1 HERE]</w:t>
      </w:r>
    </w:p>
    <w:p>
      <w:pPr>
        <w:spacing w:after="140"/>
        <w:jc w:val="center"/>
      </w:pPr>
      <w:r>
        <w:rPr>
          <w:rFonts w:ascii="Times New Roman" w:cs="Times New Roman" w:eastAsia="Times New Roman" w:hAnsi="Times New Roman"/>
          <w:i/>
          <w:iCs/>
          <w:sz w:val="16"/>
          <w:szCs w:val="16"/>
        </w:rPr>
        <w:t xml:space="preserve">Fig. 1. Overall pipeline: acquisition, quality gating, severity-aware classification, uncertainty estimation, and maintenance-priority decision.</w:t>
      </w:r>
    </w:p>
    <w:p>
      <w:pPr>
        <w:spacing w:after="100" w:before="220"/>
        <w:jc w:val="center"/>
      </w:pPr>
      <w:r>
        <w:rPr>
          <w:rFonts w:ascii="Times New Roman" w:cs="Times New Roman" w:eastAsia="Times New Roman" w:hAnsi="Times New Roman"/>
          <w:b/>
          <w:bCs/>
          <w:color w:val="000000"/>
          <w:sz w:val="20"/>
          <w:szCs w:val="20"/>
        </w:rPr>
        <w:t xml:space="preserve">II. Related Work</w:t>
      </w:r>
    </w:p>
    <w:p>
      <w:pPr>
        <w:spacing w:after="80" w:before="140"/>
      </w:pPr>
      <w:r>
        <w:rPr>
          <w:rFonts w:ascii="Times New Roman" w:cs="Times New Roman" w:eastAsia="Times New Roman" w:hAnsi="Times New Roman"/>
          <w:i/>
          <w:iCs/>
          <w:color w:val="000000"/>
          <w:sz w:val="20"/>
          <w:szCs w:val="20"/>
        </w:rPr>
        <w:t xml:space="preserve">A. Conventional PV Inspection Modalities</w:t>
      </w:r>
    </w:p>
    <w:p>
      <w:pPr>
        <w:spacing w:after="120"/>
        <w:ind w:firstLine="200"/>
        <w:jc w:val="both"/>
      </w:pPr>
      <w:r>
        <w:rPr>
          <w:rFonts w:ascii="Times New Roman" w:cs="Times New Roman" w:eastAsia="Times New Roman" w:hAnsi="Times New Roman"/>
          <w:sz w:val="20"/>
          <w:szCs w:val="20"/>
        </w:rPr>
        <w:t xml:space="preserve">IR thermography, EL imaging, and I–V curve analysis are the principal defect-detection modalities [28]. I–V analysis characterizes module-level performance but cannot localize individual defective cells; IR thermography visualizes thermal anomalies such as hot spots but has limited resolution for microcracks [28]; EL imaging offers the highest spatial resolution for cell-level internal defects and is the modality adopted here [1], [3].</w:t>
      </w:r>
    </w:p>
    <w:p>
      <w:pPr>
        <w:spacing w:after="80" w:before="140"/>
      </w:pPr>
      <w:r>
        <w:rPr>
          <w:rFonts w:ascii="Times New Roman" w:cs="Times New Roman" w:eastAsia="Times New Roman" w:hAnsi="Times New Roman"/>
          <w:i/>
          <w:iCs/>
          <w:color w:val="000000"/>
          <w:sz w:val="20"/>
          <w:szCs w:val="20"/>
        </w:rPr>
        <w:t xml:space="preserve">B. Deep-Learning-Based EL Classification</w:t>
      </w:r>
    </w:p>
    <w:p>
      <w:pPr>
        <w:spacing w:after="120"/>
        <w:ind w:firstLine="200"/>
        <w:jc w:val="both"/>
      </w:pPr>
      <w:r>
        <w:rPr>
          <w:rFonts w:ascii="Times New Roman" w:cs="Times New Roman" w:eastAsia="Times New Roman" w:hAnsi="Times New Roman"/>
          <w:sz w:val="20"/>
          <w:szCs w:val="20"/>
        </w:rPr>
        <w:t xml:space="preserve">Deitsch et al. [1] established the ELPV benchmark with CNN/SVM baselines and probability-based labels. Tella et al. [26] fine-tuned eight CNN/transformer backbones (AlexNet, SENet, GoogleNet, Xception, ViT, Darknet53, ResNet18, SqueezeNet) and combined them with voting and bagging ensembles. Sudervel et al. [27] paired six CNN/transformer feature extractors (AlexNet, VGG16, ResNet18/50, EfficientNet-B0, Swin Transformer, ConvNeXt) with classical classifiers (SVM, logistic regression, KNN, XGBoost). Demir [28] combined a residual-attention CNN trained from scratch with a novel ReliefF-based subspace-weighted SVM (RSWS) stage, obtaining the highest published ELPV accuracies to date and validating the approach on an independent EL dataset. These three studies are the closest points of comparison for the classification component proposed here.</w:t>
      </w:r>
    </w:p>
    <w:p>
      <w:pPr>
        <w:spacing w:after="80" w:before="140"/>
      </w:pPr>
      <w:r>
        <w:rPr>
          <w:rFonts w:ascii="Times New Roman" w:cs="Times New Roman" w:eastAsia="Times New Roman" w:hAnsi="Times New Roman"/>
          <w:i/>
          <w:iCs/>
          <w:color w:val="000000"/>
          <w:sz w:val="20"/>
          <w:szCs w:val="20"/>
        </w:rPr>
        <w:t xml:space="preserve">C. Detection, Attention, and Transformer Approaches</w:t>
      </w:r>
    </w:p>
    <w:p>
      <w:pPr>
        <w:spacing w:after="120"/>
        <w:ind w:firstLine="200"/>
        <w:jc w:val="both"/>
      </w:pPr>
      <w:r>
        <w:rPr>
          <w:rFonts w:ascii="Times New Roman" w:cs="Times New Roman" w:eastAsia="Times New Roman" w:hAnsi="Times New Roman"/>
          <w:sz w:val="20"/>
          <w:szCs w:val="20"/>
        </w:rPr>
        <w:t xml:space="preserve">YOLO-based detectors localize panels or cells rather than classify severity: YOLO-PV [5] reported 94.55% AP on the ELPV benchmark, compared with 78% AP for an earlier YOLO variant reported in the same study; subsequent variants such as YOLOv8-GD [6] and C2DEM-YOLO [7] targeted background complexity and scale variation, and [8] proposed an efficient anchor-free detector. Attention and transformer classifiers include Demir's residual-attention CNN [28], the token-selective vision transformer PVEL-ViT [9], which reports 95.84% accuracy on an EL dataset (a 2.1–2.4 percentage-point gain over EfficientNetV2-m and EfficientViT-b2 baselines), and the deformable transformer PDeT for defect segmentation [10]; Sudervel et al. [27] found transformer backbones competitive with, but not uniformly superior to, CNN-based hybrids on ELPV.</w:t>
      </w:r>
    </w:p>
    <w:p>
      <w:pPr>
        <w:spacing w:after="80" w:before="140"/>
      </w:pPr>
      <w:r>
        <w:rPr>
          <w:rFonts w:ascii="Times New Roman" w:cs="Times New Roman" w:eastAsia="Times New Roman" w:hAnsi="Times New Roman"/>
          <w:i/>
          <w:iCs/>
          <w:color w:val="000000"/>
          <w:sz w:val="20"/>
          <w:szCs w:val="20"/>
        </w:rPr>
        <w:t xml:space="preserve">D. Severity, Robustness, and Uncertainty</w:t>
      </w:r>
    </w:p>
    <w:p>
      <w:pPr>
        <w:spacing w:after="120"/>
        <w:ind w:firstLine="200"/>
        <w:jc w:val="both"/>
      </w:pPr>
      <w:r>
        <w:rPr>
          <w:rFonts w:ascii="Times New Roman" w:cs="Times New Roman" w:eastAsia="Times New Roman" w:hAnsi="Times New Roman"/>
          <w:sz w:val="20"/>
          <w:szCs w:val="20"/>
        </w:rPr>
        <w:t xml:space="preserve">ELPV already encodes an ordinal condition score (0, 0.33, 0.67, 1) [1], [2], [26], yet every classification study reviewed above trains it with unordered categorical cross-entropy. Rank-consistent ordinal regression (CORAL [15], CORN [16]) exploits such ordering elsewhere but has not, to our knowledge, been applied to PV severity. Separately, Hendrycks and Dietterich [14] showed that clean-image accuracy is a poor predictor of robustness to common corruptions, and Lee et al. [17] showed that motion blur alone can collapse a crack-detector's F1-score from 89.4% to 4.5%, with no-reference image-quality metrics able to gate which frames reach the detector. For reliability, MC dropout [11] and deep ensembles [12] are established scalable uncertainty estimators, and Guo et al. [13] showed modern networks are typically overconfident but can be recalibrated with temperature scaling. None of these general techniques appear together, or at all, in the PV defect-classification literature surveyed in II-A–II-B.</w:t>
      </w:r>
    </w:p>
    <w:p>
      <w:pPr>
        <w:spacing w:after="80" w:before="140"/>
      </w:pPr>
      <w:r>
        <w:rPr>
          <w:rFonts w:ascii="Times New Roman" w:cs="Times New Roman" w:eastAsia="Times New Roman" w:hAnsi="Times New Roman"/>
          <w:i/>
          <w:iCs/>
          <w:color w:val="000000"/>
          <w:sz w:val="20"/>
          <w:szCs w:val="20"/>
        </w:rPr>
        <w:t xml:space="preserve">E. Summary of Research Gap</w:t>
      </w:r>
    </w:p>
    <w:p>
      <w:pPr>
        <w:spacing w:after="120"/>
        <w:ind w:firstLine="200"/>
        <w:jc w:val="both"/>
      </w:pPr>
      <w:r>
        <w:rPr>
          <w:rFonts w:ascii="Times New Roman" w:cs="Times New Roman" w:eastAsia="Times New Roman" w:hAnsi="Times New Roman"/>
          <w:sz w:val="20"/>
          <w:szCs w:val="20"/>
        </w:rPr>
        <w:t xml:space="preserve">The literature already contains sophisticated detectors, attention/transformer classifiers, and high-accuracy hybrid pipelines. The gap addressed here is their combination with quality-aware acquisition, ordinal severity, and calibrated uncertainty, evaluated together under a controlled robustness protocol (Table I).</w:t>
      </w:r>
    </w:p>
    <w:p>
      <w:pPr>
        <w:spacing w:after="60" w:before="140"/>
        <w:jc w:val="center"/>
      </w:pPr>
      <w:r>
        <w:rPr>
          <w:rFonts w:ascii="Times New Roman" w:cs="Times New Roman" w:eastAsia="Times New Roman" w:hAnsi="Times New Roman"/>
          <w:b/>
          <w:bCs/>
          <w:sz w:val="16"/>
          <w:szCs w:val="16"/>
        </w:rPr>
        <w:t xml:space="preserve">TABLE I. Comparison of Related PV Defect Inspection Studies</w:t>
      </w:r>
    </w:p>
    <w:tbl>
      <w:tblPr>
        <w:tblW w:type="dxa" w:w="6076"/>
        <w:tblBorders>
          <w:top w:val="single" w:color="auto" w:sz="4"/>
          <w:left w:val="single" w:color="auto" w:sz="4"/>
          <w:bottom w:val="single" w:color="auto" w:sz="4"/>
          <w:right w:val="single" w:color="auto" w:sz="4"/>
          <w:insideH w:val="single" w:color="auto" w:sz="4"/>
          <w:insideV w:val="single" w:color="auto" w:sz="4"/>
        </w:tblBorders>
      </w:tblPr>
      <w:tblGrid>
        <w:gridCol w:w="750"/>
        <w:gridCol w:w="1700"/>
        <w:gridCol w:w="850"/>
        <w:gridCol w:w="950"/>
        <w:gridCol w:w="1826"/>
      </w:tblGrid>
      <w:tr>
        <w:trPr>
          <w:tblHeader/>
        </w:trPr>
        <w:tc>
          <w:tcPr>
            <w:tcW w:type="dxa" w:w="750"/>
            <w:shd w:fill="D9E2F3" w:val="clear"/>
            <w:tcMar>
              <w:top w:type="dxa" w:w="40"/>
              <w:left w:type="dxa" w:w="60"/>
              <w:bottom w:type="dxa" w:w="40"/>
              <w:right w:type="dxa" w:w="60"/>
            </w:tcMar>
          </w:tcPr>
          <w:p>
            <w:pPr>
              <w:jc w:val="left"/>
            </w:pPr>
            <w:r>
              <w:rPr>
                <w:rFonts w:ascii="Times New Roman" w:cs="Times New Roman" w:eastAsia="Times New Roman" w:hAnsi="Times New Roman"/>
                <w:b/>
                <w:bCs/>
                <w:sz w:val="16"/>
                <w:szCs w:val="16"/>
              </w:rPr>
              <w:t xml:space="preserve">Ref.</w:t>
            </w:r>
          </w:p>
        </w:tc>
        <w:tc>
          <w:tcPr>
            <w:tcW w:type="dxa" w:w="1700"/>
            <w:shd w:fill="D9E2F3" w:val="clear"/>
            <w:tcMar>
              <w:top w:type="dxa" w:w="40"/>
              <w:left w:type="dxa" w:w="60"/>
              <w:bottom w:type="dxa" w:w="40"/>
              <w:right w:type="dxa" w:w="60"/>
            </w:tcMar>
          </w:tcPr>
          <w:p>
            <w:pPr>
              <w:jc w:val="left"/>
            </w:pPr>
            <w:r>
              <w:rPr>
                <w:rFonts w:ascii="Times New Roman" w:cs="Times New Roman" w:eastAsia="Times New Roman" w:hAnsi="Times New Roman"/>
                <w:b/>
                <w:bCs/>
                <w:sz w:val="16"/>
                <w:szCs w:val="16"/>
              </w:rPr>
              <w:t xml:space="preserve">Model</w:t>
            </w:r>
          </w:p>
        </w:tc>
        <w:tc>
          <w:tcPr>
            <w:tcW w:type="dxa" w:w="850"/>
            <w:shd w:fill="D9E2F3" w:val="clear"/>
            <w:tcMar>
              <w:top w:type="dxa" w:w="40"/>
              <w:left w:type="dxa" w:w="60"/>
              <w:bottom w:type="dxa" w:w="40"/>
              <w:right w:type="dxa" w:w="60"/>
            </w:tcMar>
          </w:tcPr>
          <w:p>
            <w:pPr>
              <w:jc w:val="left"/>
            </w:pPr>
            <w:r>
              <w:rPr>
                <w:rFonts w:ascii="Times New Roman" w:cs="Times New Roman" w:eastAsia="Times New Roman" w:hAnsi="Times New Roman"/>
                <w:b/>
                <w:bCs/>
                <w:sz w:val="16"/>
                <w:szCs w:val="16"/>
              </w:rPr>
              <w:t xml:space="preserve">Severity</w:t>
            </w:r>
          </w:p>
        </w:tc>
        <w:tc>
          <w:tcPr>
            <w:tcW w:type="dxa" w:w="950"/>
            <w:shd w:fill="D9E2F3" w:val="clear"/>
            <w:tcMar>
              <w:top w:type="dxa" w:w="40"/>
              <w:left w:type="dxa" w:w="60"/>
              <w:bottom w:type="dxa" w:w="40"/>
              <w:right w:type="dxa" w:w="60"/>
            </w:tcMar>
          </w:tcPr>
          <w:p>
            <w:pPr>
              <w:jc w:val="left"/>
            </w:pPr>
            <w:r>
              <w:rPr>
                <w:rFonts w:ascii="Times New Roman" w:cs="Times New Roman" w:eastAsia="Times New Roman" w:hAnsi="Times New Roman"/>
                <w:b/>
                <w:bCs/>
                <w:sz w:val="16"/>
                <w:szCs w:val="16"/>
              </w:rPr>
              <w:t xml:space="preserve">Uncertainty</w:t>
            </w:r>
          </w:p>
        </w:tc>
        <w:tc>
          <w:tcPr>
            <w:tcW w:type="dxa" w:w="1826"/>
            <w:shd w:fill="D9E2F3" w:val="clear"/>
            <w:tcMar>
              <w:top w:type="dxa" w:w="40"/>
              <w:left w:type="dxa" w:w="60"/>
              <w:bottom w:type="dxa" w:w="40"/>
              <w:right w:type="dxa" w:w="60"/>
            </w:tcMar>
          </w:tcPr>
          <w:p>
            <w:pPr>
              <w:jc w:val="left"/>
            </w:pPr>
            <w:r>
              <w:rPr>
                <w:rFonts w:ascii="Times New Roman" w:cs="Times New Roman" w:eastAsia="Times New Roman" w:hAnsi="Times New Roman"/>
                <w:b/>
                <w:bCs/>
                <w:sz w:val="16"/>
                <w:szCs w:val="16"/>
              </w:rPr>
              <w:t xml:space="preserve">Acquisition</w:t>
            </w:r>
          </w:p>
        </w:tc>
      </w:tr>
      <w:tr>
        <w:tc>
          <w:tcPr>
            <w:tcW w:type="dxa" w:w="750"/>
            <w:tcMar>
              <w:top w:type="dxa" w:w="40"/>
              <w:left w:type="dxa" w:w="60"/>
              <w:bottom w:type="dxa" w:w="40"/>
              <w:right w:type="dxa" w:w="60"/>
            </w:tcMar>
          </w:tcPr>
          <w:p>
            <w:pPr>
              <w:jc w:val="left"/>
            </w:pPr>
            <w:r>
              <w:rPr>
                <w:rFonts w:ascii="Times New Roman" w:cs="Times New Roman" w:eastAsia="Times New Roman" w:hAnsi="Times New Roman"/>
                <w:b w:val="false"/>
                <w:bCs w:val="false"/>
                <w:sz w:val="16"/>
                <w:szCs w:val="16"/>
              </w:rPr>
              <w:t xml:space="preserve">[1]</w:t>
            </w:r>
          </w:p>
        </w:tc>
        <w:tc>
          <w:tcPr>
            <w:tcW w:type="dxa" w:w="1700"/>
            <w:tcMar>
              <w:top w:type="dxa" w:w="40"/>
              <w:left w:type="dxa" w:w="60"/>
              <w:bottom w:type="dxa" w:w="40"/>
              <w:right w:type="dxa" w:w="60"/>
            </w:tcMar>
          </w:tcPr>
          <w:p>
            <w:pPr>
              <w:jc w:val="left"/>
            </w:pPr>
            <w:r>
              <w:rPr>
                <w:rFonts w:ascii="Times New Roman" w:cs="Times New Roman" w:eastAsia="Times New Roman" w:hAnsi="Times New Roman"/>
                <w:b w:val="false"/>
                <w:bCs w:val="false"/>
                <w:sz w:val="16"/>
                <w:szCs w:val="16"/>
              </w:rPr>
              <w:t xml:space="preserve">CNN, SVM</w:t>
            </w:r>
          </w:p>
        </w:tc>
        <w:tc>
          <w:tcPr>
            <w:tcW w:type="dxa" w:w="850"/>
            <w:tcMar>
              <w:top w:type="dxa" w:w="40"/>
              <w:left w:type="dxa" w:w="60"/>
              <w:bottom w:type="dxa" w:w="40"/>
              <w:right w:type="dxa" w:w="60"/>
            </w:tcMar>
          </w:tcPr>
          <w:p>
            <w:pPr>
              <w:jc w:val="left"/>
            </w:pPr>
            <w:r>
              <w:rPr>
                <w:rFonts w:ascii="Times New Roman" w:cs="Times New Roman" w:eastAsia="Times New Roman" w:hAnsi="Times New Roman"/>
                <w:b w:val="false"/>
                <w:bCs w:val="false"/>
                <w:sz w:val="16"/>
                <w:szCs w:val="16"/>
              </w:rPr>
              <w:t xml:space="preserve">Nominal</w:t>
            </w:r>
          </w:p>
        </w:tc>
        <w:tc>
          <w:tcPr>
            <w:tcW w:type="dxa" w:w="950"/>
            <w:tcMar>
              <w:top w:type="dxa" w:w="40"/>
              <w:left w:type="dxa" w:w="60"/>
              <w:bottom w:type="dxa" w:w="40"/>
              <w:right w:type="dxa" w:w="60"/>
            </w:tcMar>
          </w:tcPr>
          <w:p>
            <w:pPr>
              <w:jc w:val="left"/>
            </w:pPr>
            <w:r>
              <w:rPr>
                <w:rFonts w:ascii="Times New Roman" w:cs="Times New Roman" w:eastAsia="Times New Roman" w:hAnsi="Times New Roman"/>
                <w:b w:val="false"/>
                <w:bCs w:val="false"/>
                <w:sz w:val="16"/>
                <w:szCs w:val="16"/>
              </w:rPr>
              <w:t xml:space="preserve">No</w:t>
            </w:r>
          </w:p>
        </w:tc>
        <w:tc>
          <w:tcPr>
            <w:tcW w:type="dxa" w:w="1826"/>
            <w:tcMar>
              <w:top w:type="dxa" w:w="40"/>
              <w:left w:type="dxa" w:w="60"/>
              <w:bottom w:type="dxa" w:w="40"/>
              <w:right w:type="dxa" w:w="60"/>
            </w:tcMar>
          </w:tcPr>
          <w:p>
            <w:pPr>
              <w:jc w:val="left"/>
            </w:pPr>
            <w:r>
              <w:rPr>
                <w:rFonts w:ascii="Times New Roman" w:cs="Times New Roman" w:eastAsia="Times New Roman" w:hAnsi="Times New Roman"/>
                <w:b w:val="false"/>
                <w:bCs w:val="false"/>
                <w:sz w:val="16"/>
                <w:szCs w:val="16"/>
              </w:rPr>
              <w:t xml:space="preserve">Curated</w:t>
            </w:r>
          </w:p>
        </w:tc>
      </w:tr>
      <w:tr>
        <w:tc>
          <w:tcPr>
            <w:tcW w:type="dxa" w:w="750"/>
            <w:tcMar>
              <w:top w:type="dxa" w:w="40"/>
              <w:left w:type="dxa" w:w="60"/>
              <w:bottom w:type="dxa" w:w="40"/>
              <w:right w:type="dxa" w:w="60"/>
            </w:tcMar>
          </w:tcPr>
          <w:p>
            <w:pPr>
              <w:jc w:val="left"/>
            </w:pPr>
            <w:r>
              <w:rPr>
                <w:rFonts w:ascii="Times New Roman" w:cs="Times New Roman" w:eastAsia="Times New Roman" w:hAnsi="Times New Roman"/>
                <w:b w:val="false"/>
                <w:bCs w:val="false"/>
                <w:sz w:val="16"/>
                <w:szCs w:val="16"/>
              </w:rPr>
              <w:t xml:space="preserve">[26]</w:t>
            </w:r>
          </w:p>
        </w:tc>
        <w:tc>
          <w:tcPr>
            <w:tcW w:type="dxa" w:w="1700"/>
            <w:tcMar>
              <w:top w:type="dxa" w:w="40"/>
              <w:left w:type="dxa" w:w="60"/>
              <w:bottom w:type="dxa" w:w="40"/>
              <w:right w:type="dxa" w:w="60"/>
            </w:tcMar>
          </w:tcPr>
          <w:p>
            <w:pPr>
              <w:jc w:val="left"/>
            </w:pPr>
            <w:r>
              <w:rPr>
                <w:rFonts w:ascii="Times New Roman" w:cs="Times New Roman" w:eastAsia="Times New Roman" w:hAnsi="Times New Roman"/>
                <w:b w:val="false"/>
                <w:bCs w:val="false"/>
                <w:sz w:val="16"/>
                <w:szCs w:val="16"/>
              </w:rPr>
              <w:t xml:space="preserve">8-model ensemble</w:t>
            </w:r>
          </w:p>
        </w:tc>
        <w:tc>
          <w:tcPr>
            <w:tcW w:type="dxa" w:w="850"/>
            <w:tcMar>
              <w:top w:type="dxa" w:w="40"/>
              <w:left w:type="dxa" w:w="60"/>
              <w:bottom w:type="dxa" w:w="40"/>
              <w:right w:type="dxa" w:w="60"/>
            </w:tcMar>
          </w:tcPr>
          <w:p>
            <w:pPr>
              <w:jc w:val="left"/>
            </w:pPr>
            <w:r>
              <w:rPr>
                <w:rFonts w:ascii="Times New Roman" w:cs="Times New Roman" w:eastAsia="Times New Roman" w:hAnsi="Times New Roman"/>
                <w:b w:val="false"/>
                <w:bCs w:val="false"/>
                <w:sz w:val="16"/>
                <w:szCs w:val="16"/>
              </w:rPr>
              <w:t xml:space="preserve">Nominal</w:t>
            </w:r>
          </w:p>
        </w:tc>
        <w:tc>
          <w:tcPr>
            <w:tcW w:type="dxa" w:w="950"/>
            <w:tcMar>
              <w:top w:type="dxa" w:w="40"/>
              <w:left w:type="dxa" w:w="60"/>
              <w:bottom w:type="dxa" w:w="40"/>
              <w:right w:type="dxa" w:w="60"/>
            </w:tcMar>
          </w:tcPr>
          <w:p>
            <w:pPr>
              <w:jc w:val="left"/>
            </w:pPr>
            <w:r>
              <w:rPr>
                <w:rFonts w:ascii="Times New Roman" w:cs="Times New Roman" w:eastAsia="Times New Roman" w:hAnsi="Times New Roman"/>
                <w:b w:val="false"/>
                <w:bCs w:val="false"/>
                <w:sz w:val="16"/>
                <w:szCs w:val="16"/>
              </w:rPr>
              <w:t xml:space="preserve">No</w:t>
            </w:r>
          </w:p>
        </w:tc>
        <w:tc>
          <w:tcPr>
            <w:tcW w:type="dxa" w:w="1826"/>
            <w:tcMar>
              <w:top w:type="dxa" w:w="40"/>
              <w:left w:type="dxa" w:w="60"/>
              <w:bottom w:type="dxa" w:w="40"/>
              <w:right w:type="dxa" w:w="60"/>
            </w:tcMar>
          </w:tcPr>
          <w:p>
            <w:pPr>
              <w:jc w:val="left"/>
            </w:pPr>
            <w:r>
              <w:rPr>
                <w:rFonts w:ascii="Times New Roman" w:cs="Times New Roman" w:eastAsia="Times New Roman" w:hAnsi="Times New Roman"/>
                <w:b w:val="false"/>
                <w:bCs w:val="false"/>
                <w:sz w:val="16"/>
                <w:szCs w:val="16"/>
              </w:rPr>
              <w:t xml:space="preserve">Drone (curated)</w:t>
            </w:r>
          </w:p>
        </w:tc>
      </w:tr>
      <w:tr>
        <w:tc>
          <w:tcPr>
            <w:tcW w:type="dxa" w:w="750"/>
            <w:tcMar>
              <w:top w:type="dxa" w:w="40"/>
              <w:left w:type="dxa" w:w="60"/>
              <w:bottom w:type="dxa" w:w="40"/>
              <w:right w:type="dxa" w:w="60"/>
            </w:tcMar>
          </w:tcPr>
          <w:p>
            <w:pPr>
              <w:jc w:val="left"/>
            </w:pPr>
            <w:r>
              <w:rPr>
                <w:rFonts w:ascii="Times New Roman" w:cs="Times New Roman" w:eastAsia="Times New Roman" w:hAnsi="Times New Roman"/>
                <w:b w:val="false"/>
                <w:bCs w:val="false"/>
                <w:sz w:val="16"/>
                <w:szCs w:val="16"/>
              </w:rPr>
              <w:t xml:space="preserve">[27]</w:t>
            </w:r>
          </w:p>
        </w:tc>
        <w:tc>
          <w:tcPr>
            <w:tcW w:type="dxa" w:w="1700"/>
            <w:tcMar>
              <w:top w:type="dxa" w:w="40"/>
              <w:left w:type="dxa" w:w="60"/>
              <w:bottom w:type="dxa" w:w="40"/>
              <w:right w:type="dxa" w:w="60"/>
            </w:tcMar>
          </w:tcPr>
          <w:p>
            <w:pPr>
              <w:jc w:val="left"/>
            </w:pPr>
            <w:r>
              <w:rPr>
                <w:rFonts w:ascii="Times New Roman" w:cs="Times New Roman" w:eastAsia="Times New Roman" w:hAnsi="Times New Roman"/>
                <w:b w:val="false"/>
                <w:bCs w:val="false"/>
                <w:sz w:val="16"/>
                <w:szCs w:val="16"/>
              </w:rPr>
              <w:t xml:space="preserve">CNN/ViT+SVM/XGB</w:t>
            </w:r>
          </w:p>
        </w:tc>
        <w:tc>
          <w:tcPr>
            <w:tcW w:type="dxa" w:w="850"/>
            <w:tcMar>
              <w:top w:type="dxa" w:w="40"/>
              <w:left w:type="dxa" w:w="60"/>
              <w:bottom w:type="dxa" w:w="40"/>
              <w:right w:type="dxa" w:w="60"/>
            </w:tcMar>
          </w:tcPr>
          <w:p>
            <w:pPr>
              <w:jc w:val="left"/>
            </w:pPr>
            <w:r>
              <w:rPr>
                <w:rFonts w:ascii="Times New Roman" w:cs="Times New Roman" w:eastAsia="Times New Roman" w:hAnsi="Times New Roman"/>
                <w:b w:val="false"/>
                <w:bCs w:val="false"/>
                <w:sz w:val="16"/>
                <w:szCs w:val="16"/>
              </w:rPr>
              <w:t xml:space="preserve">Nominal</w:t>
            </w:r>
          </w:p>
        </w:tc>
        <w:tc>
          <w:tcPr>
            <w:tcW w:type="dxa" w:w="950"/>
            <w:tcMar>
              <w:top w:type="dxa" w:w="40"/>
              <w:left w:type="dxa" w:w="60"/>
              <w:bottom w:type="dxa" w:w="40"/>
              <w:right w:type="dxa" w:w="60"/>
            </w:tcMar>
          </w:tcPr>
          <w:p>
            <w:pPr>
              <w:jc w:val="left"/>
            </w:pPr>
            <w:r>
              <w:rPr>
                <w:rFonts w:ascii="Times New Roman" w:cs="Times New Roman" w:eastAsia="Times New Roman" w:hAnsi="Times New Roman"/>
                <w:b w:val="false"/>
                <w:bCs w:val="false"/>
                <w:sz w:val="16"/>
                <w:szCs w:val="16"/>
              </w:rPr>
              <w:t xml:space="preserve">No</w:t>
            </w:r>
          </w:p>
        </w:tc>
        <w:tc>
          <w:tcPr>
            <w:tcW w:type="dxa" w:w="1826"/>
            <w:tcMar>
              <w:top w:type="dxa" w:w="40"/>
              <w:left w:type="dxa" w:w="60"/>
              <w:bottom w:type="dxa" w:w="40"/>
              <w:right w:type="dxa" w:w="60"/>
            </w:tcMar>
          </w:tcPr>
          <w:p>
            <w:pPr>
              <w:jc w:val="left"/>
            </w:pPr>
            <w:r>
              <w:rPr>
                <w:rFonts w:ascii="Times New Roman" w:cs="Times New Roman" w:eastAsia="Times New Roman" w:hAnsi="Times New Roman"/>
                <w:b w:val="false"/>
                <w:bCs w:val="false"/>
                <w:sz w:val="16"/>
                <w:szCs w:val="16"/>
              </w:rPr>
              <w:t xml:space="preserve">Curated</w:t>
            </w:r>
          </w:p>
        </w:tc>
      </w:tr>
      <w:tr>
        <w:tc>
          <w:tcPr>
            <w:tcW w:type="dxa" w:w="750"/>
            <w:tcMar>
              <w:top w:type="dxa" w:w="40"/>
              <w:left w:type="dxa" w:w="60"/>
              <w:bottom w:type="dxa" w:w="40"/>
              <w:right w:type="dxa" w:w="60"/>
            </w:tcMar>
          </w:tcPr>
          <w:p>
            <w:pPr>
              <w:jc w:val="left"/>
            </w:pPr>
            <w:r>
              <w:rPr>
                <w:rFonts w:ascii="Times New Roman" w:cs="Times New Roman" w:eastAsia="Times New Roman" w:hAnsi="Times New Roman"/>
                <w:b w:val="false"/>
                <w:bCs w:val="false"/>
                <w:sz w:val="16"/>
                <w:szCs w:val="16"/>
              </w:rPr>
              <w:t xml:space="preserve">[28]</w:t>
            </w:r>
          </w:p>
        </w:tc>
        <w:tc>
          <w:tcPr>
            <w:tcW w:type="dxa" w:w="1700"/>
            <w:tcMar>
              <w:top w:type="dxa" w:w="40"/>
              <w:left w:type="dxa" w:w="60"/>
              <w:bottom w:type="dxa" w:w="40"/>
              <w:right w:type="dxa" w:w="60"/>
            </w:tcMar>
          </w:tcPr>
          <w:p>
            <w:pPr>
              <w:jc w:val="left"/>
            </w:pPr>
            <w:r>
              <w:rPr>
                <w:rFonts w:ascii="Times New Roman" w:cs="Times New Roman" w:eastAsia="Times New Roman" w:hAnsi="Times New Roman"/>
                <w:b w:val="false"/>
                <w:bCs w:val="false"/>
                <w:sz w:val="16"/>
                <w:szCs w:val="16"/>
              </w:rPr>
              <w:t xml:space="preserve">RA-CNN+RSWS</w:t>
            </w:r>
          </w:p>
        </w:tc>
        <w:tc>
          <w:tcPr>
            <w:tcW w:type="dxa" w:w="850"/>
            <w:tcMar>
              <w:top w:type="dxa" w:w="40"/>
              <w:left w:type="dxa" w:w="60"/>
              <w:bottom w:type="dxa" w:w="40"/>
              <w:right w:type="dxa" w:w="60"/>
            </w:tcMar>
          </w:tcPr>
          <w:p>
            <w:pPr>
              <w:jc w:val="left"/>
            </w:pPr>
            <w:r>
              <w:rPr>
                <w:rFonts w:ascii="Times New Roman" w:cs="Times New Roman" w:eastAsia="Times New Roman" w:hAnsi="Times New Roman"/>
                <w:b w:val="false"/>
                <w:bCs w:val="false"/>
                <w:sz w:val="16"/>
                <w:szCs w:val="16"/>
              </w:rPr>
              <w:t xml:space="preserve">Nominal</w:t>
            </w:r>
          </w:p>
        </w:tc>
        <w:tc>
          <w:tcPr>
            <w:tcW w:type="dxa" w:w="950"/>
            <w:tcMar>
              <w:top w:type="dxa" w:w="40"/>
              <w:left w:type="dxa" w:w="60"/>
              <w:bottom w:type="dxa" w:w="40"/>
              <w:right w:type="dxa" w:w="60"/>
            </w:tcMar>
          </w:tcPr>
          <w:p>
            <w:pPr>
              <w:jc w:val="left"/>
            </w:pPr>
            <w:r>
              <w:rPr>
                <w:rFonts w:ascii="Times New Roman" w:cs="Times New Roman" w:eastAsia="Times New Roman" w:hAnsi="Times New Roman"/>
                <w:b w:val="false"/>
                <w:bCs w:val="false"/>
                <w:sz w:val="16"/>
                <w:szCs w:val="16"/>
              </w:rPr>
              <w:t xml:space="preserve">No</w:t>
            </w:r>
          </w:p>
        </w:tc>
        <w:tc>
          <w:tcPr>
            <w:tcW w:type="dxa" w:w="1826"/>
            <w:tcMar>
              <w:top w:type="dxa" w:w="40"/>
              <w:left w:type="dxa" w:w="60"/>
              <w:bottom w:type="dxa" w:w="40"/>
              <w:right w:type="dxa" w:w="60"/>
            </w:tcMar>
          </w:tcPr>
          <w:p>
            <w:pPr>
              <w:jc w:val="left"/>
            </w:pPr>
            <w:r>
              <w:rPr>
                <w:rFonts w:ascii="Times New Roman" w:cs="Times New Roman" w:eastAsia="Times New Roman" w:hAnsi="Times New Roman"/>
                <w:b w:val="false"/>
                <w:bCs w:val="false"/>
                <w:sz w:val="16"/>
                <w:szCs w:val="16"/>
              </w:rPr>
              <w:t xml:space="preserve">Curated</w:t>
            </w:r>
          </w:p>
        </w:tc>
      </w:tr>
      <w:tr>
        <w:tc>
          <w:tcPr>
            <w:tcW w:type="dxa" w:w="750"/>
            <w:tcMar>
              <w:top w:type="dxa" w:w="40"/>
              <w:left w:type="dxa" w:w="60"/>
              <w:bottom w:type="dxa" w:w="40"/>
              <w:right w:type="dxa" w:w="60"/>
            </w:tcMar>
          </w:tcPr>
          <w:p>
            <w:pPr>
              <w:jc w:val="left"/>
            </w:pPr>
            <w:r>
              <w:rPr>
                <w:rFonts w:ascii="Times New Roman" w:cs="Times New Roman" w:eastAsia="Times New Roman" w:hAnsi="Times New Roman"/>
                <w:b w:val="false"/>
                <w:bCs w:val="false"/>
                <w:sz w:val="16"/>
                <w:szCs w:val="16"/>
              </w:rPr>
              <w:t xml:space="preserve">[9]</w:t>
            </w:r>
          </w:p>
        </w:tc>
        <w:tc>
          <w:tcPr>
            <w:tcW w:type="dxa" w:w="1700"/>
            <w:tcMar>
              <w:top w:type="dxa" w:w="40"/>
              <w:left w:type="dxa" w:w="60"/>
              <w:bottom w:type="dxa" w:w="40"/>
              <w:right w:type="dxa" w:w="60"/>
            </w:tcMar>
          </w:tcPr>
          <w:p>
            <w:pPr>
              <w:jc w:val="left"/>
            </w:pPr>
            <w:r>
              <w:rPr>
                <w:rFonts w:ascii="Times New Roman" w:cs="Times New Roman" w:eastAsia="Times New Roman" w:hAnsi="Times New Roman"/>
                <w:b w:val="false"/>
                <w:bCs w:val="false"/>
                <w:sz w:val="16"/>
                <w:szCs w:val="16"/>
              </w:rPr>
              <w:t xml:space="preserve">PVEL-ViT</w:t>
            </w:r>
          </w:p>
        </w:tc>
        <w:tc>
          <w:tcPr>
            <w:tcW w:type="dxa" w:w="850"/>
            <w:tcMar>
              <w:top w:type="dxa" w:w="40"/>
              <w:left w:type="dxa" w:w="60"/>
              <w:bottom w:type="dxa" w:w="40"/>
              <w:right w:type="dxa" w:w="60"/>
            </w:tcMar>
          </w:tcPr>
          <w:p>
            <w:pPr>
              <w:jc w:val="left"/>
            </w:pPr>
            <w:r>
              <w:rPr>
                <w:rFonts w:ascii="Times New Roman" w:cs="Times New Roman" w:eastAsia="Times New Roman" w:hAnsi="Times New Roman"/>
                <w:b w:val="false"/>
                <w:bCs w:val="false"/>
                <w:sz w:val="16"/>
                <w:szCs w:val="16"/>
              </w:rPr>
              <w:t xml:space="preserve">Nominal</w:t>
            </w:r>
          </w:p>
        </w:tc>
        <w:tc>
          <w:tcPr>
            <w:tcW w:type="dxa" w:w="950"/>
            <w:tcMar>
              <w:top w:type="dxa" w:w="40"/>
              <w:left w:type="dxa" w:w="60"/>
              <w:bottom w:type="dxa" w:w="40"/>
              <w:right w:type="dxa" w:w="60"/>
            </w:tcMar>
          </w:tcPr>
          <w:p>
            <w:pPr>
              <w:jc w:val="left"/>
            </w:pPr>
            <w:r>
              <w:rPr>
                <w:rFonts w:ascii="Times New Roman" w:cs="Times New Roman" w:eastAsia="Times New Roman" w:hAnsi="Times New Roman"/>
                <w:b w:val="false"/>
                <w:bCs w:val="false"/>
                <w:sz w:val="16"/>
                <w:szCs w:val="16"/>
              </w:rPr>
              <w:t xml:space="preserve">No</w:t>
            </w:r>
          </w:p>
        </w:tc>
        <w:tc>
          <w:tcPr>
            <w:tcW w:type="dxa" w:w="1826"/>
            <w:tcMar>
              <w:top w:type="dxa" w:w="40"/>
              <w:left w:type="dxa" w:w="60"/>
              <w:bottom w:type="dxa" w:w="40"/>
              <w:right w:type="dxa" w:w="60"/>
            </w:tcMar>
          </w:tcPr>
          <w:p>
            <w:pPr>
              <w:jc w:val="left"/>
            </w:pPr>
            <w:r>
              <w:rPr>
                <w:rFonts w:ascii="Times New Roman" w:cs="Times New Roman" w:eastAsia="Times New Roman" w:hAnsi="Times New Roman"/>
                <w:b w:val="false"/>
                <w:bCs w:val="false"/>
                <w:sz w:val="16"/>
                <w:szCs w:val="16"/>
              </w:rPr>
              <w:t xml:space="preserve">Curated</w:t>
            </w:r>
          </w:p>
        </w:tc>
      </w:tr>
      <w:tr>
        <w:tc>
          <w:tcPr>
            <w:tcW w:type="dxa" w:w="750"/>
            <w:tcMar>
              <w:top w:type="dxa" w:w="40"/>
              <w:left w:type="dxa" w:w="60"/>
              <w:bottom w:type="dxa" w:w="40"/>
              <w:right w:type="dxa" w:w="60"/>
            </w:tcMar>
          </w:tcPr>
          <w:p>
            <w:pPr>
              <w:jc w:val="left"/>
            </w:pPr>
            <w:r>
              <w:rPr>
                <w:rFonts w:ascii="Times New Roman" w:cs="Times New Roman" w:eastAsia="Times New Roman" w:hAnsi="Times New Roman"/>
                <w:b w:val="false"/>
                <w:bCs w:val="false"/>
                <w:sz w:val="16"/>
                <w:szCs w:val="16"/>
              </w:rPr>
              <w:t xml:space="preserve">Prop.</w:t>
            </w:r>
          </w:p>
        </w:tc>
        <w:tc>
          <w:tcPr>
            <w:tcW w:type="dxa" w:w="1700"/>
            <w:tcMar>
              <w:top w:type="dxa" w:w="40"/>
              <w:left w:type="dxa" w:w="60"/>
              <w:bottom w:type="dxa" w:w="40"/>
              <w:right w:type="dxa" w:w="60"/>
            </w:tcMar>
          </w:tcPr>
          <w:p>
            <w:pPr>
              <w:jc w:val="left"/>
            </w:pPr>
            <w:r>
              <w:rPr>
                <w:rFonts w:ascii="Times New Roman" w:cs="Times New Roman" w:eastAsia="Times New Roman" w:hAnsi="Times New Roman"/>
                <w:b w:val="false"/>
                <w:bCs w:val="false"/>
                <w:sz w:val="16"/>
                <w:szCs w:val="16"/>
              </w:rPr>
              <w:t xml:space="preserve">CNN/ViT+ordinal</w:t>
            </w:r>
          </w:p>
        </w:tc>
        <w:tc>
          <w:tcPr>
            <w:tcW w:type="dxa" w:w="850"/>
            <w:tcMar>
              <w:top w:type="dxa" w:w="40"/>
              <w:left w:type="dxa" w:w="60"/>
              <w:bottom w:type="dxa" w:w="40"/>
              <w:right w:type="dxa" w:w="60"/>
            </w:tcMar>
          </w:tcPr>
          <w:p>
            <w:pPr>
              <w:jc w:val="left"/>
            </w:pPr>
            <w:r>
              <w:rPr>
                <w:rFonts w:ascii="Times New Roman" w:cs="Times New Roman" w:eastAsia="Times New Roman" w:hAnsi="Times New Roman"/>
                <w:b w:val="false"/>
                <w:bCs w:val="false"/>
                <w:sz w:val="16"/>
                <w:szCs w:val="16"/>
              </w:rPr>
              <w:t xml:space="preserve">Ordinal</w:t>
            </w:r>
          </w:p>
        </w:tc>
        <w:tc>
          <w:tcPr>
            <w:tcW w:type="dxa" w:w="950"/>
            <w:tcMar>
              <w:top w:type="dxa" w:w="40"/>
              <w:left w:type="dxa" w:w="60"/>
              <w:bottom w:type="dxa" w:w="40"/>
              <w:right w:type="dxa" w:w="60"/>
            </w:tcMar>
          </w:tcPr>
          <w:p>
            <w:pPr>
              <w:jc w:val="left"/>
            </w:pPr>
            <w:r>
              <w:rPr>
                <w:rFonts w:ascii="Times New Roman" w:cs="Times New Roman" w:eastAsia="Times New Roman" w:hAnsi="Times New Roman"/>
                <w:b w:val="false"/>
                <w:bCs w:val="false"/>
                <w:sz w:val="16"/>
                <w:szCs w:val="16"/>
              </w:rPr>
              <w:t xml:space="preserve">MC dropout</w:t>
            </w:r>
          </w:p>
        </w:tc>
        <w:tc>
          <w:tcPr>
            <w:tcW w:type="dxa" w:w="1826"/>
            <w:tcMar>
              <w:top w:type="dxa" w:w="40"/>
              <w:left w:type="dxa" w:w="60"/>
              <w:bottom w:type="dxa" w:w="40"/>
              <w:right w:type="dxa" w:w="60"/>
            </w:tcMar>
          </w:tcPr>
          <w:p>
            <w:pPr>
              <w:jc w:val="left"/>
            </w:pPr>
            <w:r>
              <w:rPr>
                <w:rFonts w:ascii="Times New Roman" w:cs="Times New Roman" w:eastAsia="Times New Roman" w:hAnsi="Times New Roman"/>
                <w:b w:val="false"/>
                <w:bCs w:val="false"/>
                <w:sz w:val="16"/>
                <w:szCs w:val="16"/>
              </w:rPr>
              <w:t xml:space="preserve">Multi-frame, gated</w:t>
            </w:r>
          </w:p>
        </w:tc>
      </w:tr>
    </w:tbl>
    <w:p>
      <w:pPr>
        <w:spacing w:after="100" w:before="220"/>
        <w:jc w:val="center"/>
      </w:pPr>
      <w:r>
        <w:rPr>
          <w:rFonts w:ascii="Times New Roman" w:cs="Times New Roman" w:eastAsia="Times New Roman" w:hAnsi="Times New Roman"/>
          <w:b/>
          <w:bCs/>
          <w:color w:val="000000"/>
          <w:sz w:val="20"/>
          <w:szCs w:val="20"/>
        </w:rPr>
        <w:t xml:space="preserve">III. Dataset and Problem Formulation</w:t>
      </w:r>
    </w:p>
    <w:p>
      <w:pPr>
        <w:spacing w:after="80" w:before="140"/>
      </w:pPr>
      <w:r>
        <w:rPr>
          <w:rFonts w:ascii="Times New Roman" w:cs="Times New Roman" w:eastAsia="Times New Roman" w:hAnsi="Times New Roman"/>
          <w:i/>
          <w:iCs/>
          <w:color w:val="000000"/>
          <w:sz w:val="20"/>
          <w:szCs w:val="20"/>
        </w:rPr>
        <w:t xml:space="preserve">A. Dataset, Categories, and Preprocessing</w:t>
      </w:r>
    </w:p>
    <w:p>
      <w:pPr>
        <w:spacing w:after="120"/>
        <w:ind w:firstLine="200"/>
        <w:jc w:val="both"/>
      </w:pPr>
      <w:r>
        <w:rPr>
          <w:rFonts w:ascii="Times New Roman" w:cs="Times New Roman" w:eastAsia="Times New Roman" w:hAnsi="Times New Roman"/>
          <w:sz w:val="20"/>
          <w:szCs w:val="20"/>
        </w:rPr>
        <w:t xml:space="preserve">The framework is built around ELPV [1], [2]: 2,624 grayscale 300×300 EL images extracted from 44 monocrystalline and polycrystalline modules (60 cells per module), labelled by domain experts with a defect probability p ∈ {0, 0.33, 0.67, 1}, re-grouped as functional / moderate / mild / severe following [26] (Table II). ELPV is used because it is the only public EL benchmark with graded, probability-based labels suitable for an ordinal reformulation, and because it allows direct, like-for-like comparison against the accuracy figures reported in [1], [26]–[28]. Images are channel-replicated to three channels, resized to the input resolution expected by each backbone, and normalized with standard ImageNet statistics, with rotation/flip/colour-jitter augmentation applied to the training split only, following the preprocessing protocol in [27].</w:t>
      </w:r>
    </w:p>
    <w:p>
      <w:pPr>
        <w:spacing w:after="60" w:before="140"/>
        <w:jc w:val="center"/>
      </w:pPr>
      <w:r>
        <w:rPr>
          <w:rFonts w:ascii="Times New Roman" w:cs="Times New Roman" w:eastAsia="Times New Roman" w:hAnsi="Times New Roman"/>
          <w:b/>
          <w:bCs/>
          <w:sz w:val="16"/>
          <w:szCs w:val="16"/>
        </w:rPr>
        <w:t xml:space="preserve">TABLE II. ELPV Class Distribution [26]</w:t>
      </w:r>
    </w:p>
    <w:tbl>
      <w:tblPr>
        <w:tblW w:type="dxa" w:w="5076"/>
        <w:tblBorders>
          <w:top w:val="single" w:color="auto" w:sz="4"/>
          <w:left w:val="single" w:color="auto" w:sz="4"/>
          <w:bottom w:val="single" w:color="auto" w:sz="4"/>
          <w:right w:val="single" w:color="auto" w:sz="4"/>
          <w:insideH w:val="single" w:color="auto" w:sz="4"/>
          <w:insideV w:val="single" w:color="auto" w:sz="4"/>
        </w:tblBorders>
      </w:tblPr>
      <w:tblGrid>
        <w:gridCol w:w="1000"/>
        <w:gridCol w:w="700"/>
        <w:gridCol w:w="800"/>
        <w:gridCol w:w="2576"/>
      </w:tblGrid>
      <w:tr>
        <w:trPr>
          <w:tblHeader/>
        </w:trPr>
        <w:tc>
          <w:tcPr>
            <w:tcW w:type="dxa" w:w="1000"/>
            <w:shd w:fill="D9E2F3" w:val="clear"/>
            <w:tcMar>
              <w:top w:type="dxa" w:w="40"/>
              <w:left w:type="dxa" w:w="60"/>
              <w:bottom w:type="dxa" w:w="40"/>
              <w:right w:type="dxa" w:w="60"/>
            </w:tcMar>
          </w:tcPr>
          <w:p>
            <w:pPr>
              <w:jc w:val="left"/>
            </w:pPr>
            <w:r>
              <w:rPr>
                <w:rFonts w:ascii="Times New Roman" w:cs="Times New Roman" w:eastAsia="Times New Roman" w:hAnsi="Times New Roman"/>
                <w:b/>
                <w:bCs/>
                <w:sz w:val="16"/>
                <w:szCs w:val="16"/>
              </w:rPr>
              <w:t xml:space="preserve">Class</w:t>
            </w:r>
          </w:p>
        </w:tc>
        <w:tc>
          <w:tcPr>
            <w:tcW w:type="dxa" w:w="700"/>
            <w:shd w:fill="D9E2F3" w:val="clear"/>
            <w:tcMar>
              <w:top w:type="dxa" w:w="40"/>
              <w:left w:type="dxa" w:w="60"/>
              <w:bottom w:type="dxa" w:w="40"/>
              <w:right w:type="dxa" w:w="60"/>
            </w:tcMar>
          </w:tcPr>
          <w:p>
            <w:pPr>
              <w:jc w:val="left"/>
            </w:pPr>
            <w:r>
              <w:rPr>
                <w:rFonts w:ascii="Times New Roman" w:cs="Times New Roman" w:eastAsia="Times New Roman" w:hAnsi="Times New Roman"/>
                <w:b/>
                <w:bCs/>
                <w:sz w:val="16"/>
                <w:szCs w:val="16"/>
              </w:rPr>
              <w:t xml:space="preserve">p</w:t>
            </w:r>
          </w:p>
        </w:tc>
        <w:tc>
          <w:tcPr>
            <w:tcW w:type="dxa" w:w="800"/>
            <w:shd w:fill="D9E2F3" w:val="clear"/>
            <w:tcMar>
              <w:top w:type="dxa" w:w="40"/>
              <w:left w:type="dxa" w:w="60"/>
              <w:bottom w:type="dxa" w:w="40"/>
              <w:right w:type="dxa" w:w="60"/>
            </w:tcMar>
          </w:tcPr>
          <w:p>
            <w:pPr>
              <w:jc w:val="left"/>
            </w:pPr>
            <w:r>
              <w:rPr>
                <w:rFonts w:ascii="Times New Roman" w:cs="Times New Roman" w:eastAsia="Times New Roman" w:hAnsi="Times New Roman"/>
                <w:b/>
                <w:bCs/>
                <w:sz w:val="16"/>
                <w:szCs w:val="16"/>
              </w:rPr>
              <w:t xml:space="preserve">Count</w:t>
            </w:r>
          </w:p>
        </w:tc>
        <w:tc>
          <w:tcPr>
            <w:tcW w:type="dxa" w:w="2576"/>
            <w:shd w:fill="D9E2F3" w:val="clear"/>
            <w:tcMar>
              <w:top w:type="dxa" w:w="40"/>
              <w:left w:type="dxa" w:w="60"/>
              <w:bottom w:type="dxa" w:w="40"/>
              <w:right w:type="dxa" w:w="60"/>
            </w:tcMar>
          </w:tcPr>
          <w:p>
            <w:pPr>
              <w:jc w:val="left"/>
            </w:pPr>
            <w:r>
              <w:rPr>
                <w:rFonts w:ascii="Times New Roman" w:cs="Times New Roman" w:eastAsia="Times New Roman" w:hAnsi="Times New Roman"/>
                <w:b/>
                <w:bCs/>
                <w:sz w:val="16"/>
                <w:szCs w:val="16"/>
              </w:rPr>
              <w:t xml:space="preserve">Description</w:t>
            </w:r>
          </w:p>
        </w:tc>
      </w:tr>
      <w:tr>
        <w:tc>
          <w:tcPr>
            <w:tcW w:type="dxa" w:w="1000"/>
            <w:tcMar>
              <w:top w:type="dxa" w:w="40"/>
              <w:left w:type="dxa" w:w="60"/>
              <w:bottom w:type="dxa" w:w="40"/>
              <w:right w:type="dxa" w:w="60"/>
            </w:tcMar>
          </w:tcPr>
          <w:p>
            <w:pPr>
              <w:jc w:val="left"/>
            </w:pPr>
            <w:r>
              <w:rPr>
                <w:rFonts w:ascii="Times New Roman" w:cs="Times New Roman" w:eastAsia="Times New Roman" w:hAnsi="Times New Roman"/>
                <w:b w:val="false"/>
                <w:bCs w:val="false"/>
                <w:sz w:val="16"/>
                <w:szCs w:val="16"/>
              </w:rPr>
              <w:t xml:space="preserve">Functional</w:t>
            </w:r>
          </w:p>
        </w:tc>
        <w:tc>
          <w:tcPr>
            <w:tcW w:type="dxa" w:w="700"/>
            <w:tcMar>
              <w:top w:type="dxa" w:w="40"/>
              <w:left w:type="dxa" w:w="60"/>
              <w:bottom w:type="dxa" w:w="40"/>
              <w:right w:type="dxa" w:w="60"/>
            </w:tcMar>
          </w:tcPr>
          <w:p>
            <w:pPr>
              <w:jc w:val="left"/>
            </w:pPr>
            <w:r>
              <w:rPr>
                <w:rFonts w:ascii="Times New Roman" w:cs="Times New Roman" w:eastAsia="Times New Roman" w:hAnsi="Times New Roman"/>
                <w:b w:val="false"/>
                <w:bCs w:val="false"/>
                <w:sz w:val="16"/>
                <w:szCs w:val="16"/>
              </w:rPr>
              <w:t xml:space="preserve">0.0</w:t>
            </w:r>
          </w:p>
        </w:tc>
        <w:tc>
          <w:tcPr>
            <w:tcW w:type="dxa" w:w="800"/>
            <w:tcMar>
              <w:top w:type="dxa" w:w="40"/>
              <w:left w:type="dxa" w:w="60"/>
              <w:bottom w:type="dxa" w:w="40"/>
              <w:right w:type="dxa" w:w="60"/>
            </w:tcMar>
          </w:tcPr>
          <w:p>
            <w:pPr>
              <w:jc w:val="left"/>
            </w:pPr>
            <w:r>
              <w:rPr>
                <w:rFonts w:ascii="Times New Roman" w:cs="Times New Roman" w:eastAsia="Times New Roman" w:hAnsi="Times New Roman"/>
                <w:b w:val="false"/>
                <w:bCs w:val="false"/>
                <w:sz w:val="16"/>
                <w:szCs w:val="16"/>
              </w:rPr>
              <w:t xml:space="preserve">1502</w:t>
            </w:r>
          </w:p>
        </w:tc>
        <w:tc>
          <w:tcPr>
            <w:tcW w:type="dxa" w:w="2576"/>
            <w:tcMar>
              <w:top w:type="dxa" w:w="40"/>
              <w:left w:type="dxa" w:w="60"/>
              <w:bottom w:type="dxa" w:w="40"/>
              <w:right w:type="dxa" w:w="60"/>
            </w:tcMar>
          </w:tcPr>
          <w:p>
            <w:pPr>
              <w:jc w:val="left"/>
            </w:pPr>
            <w:r>
              <w:rPr>
                <w:rFonts w:ascii="Times New Roman" w:cs="Times New Roman" w:eastAsia="Times New Roman" w:hAnsi="Times New Roman"/>
                <w:b w:val="false"/>
                <w:bCs w:val="false"/>
                <w:sz w:val="16"/>
                <w:szCs w:val="16"/>
              </w:rPr>
              <w:t xml:space="preserve">No visible defect</w:t>
            </w:r>
          </w:p>
        </w:tc>
      </w:tr>
      <w:tr>
        <w:tc>
          <w:tcPr>
            <w:tcW w:type="dxa" w:w="1000"/>
            <w:tcMar>
              <w:top w:type="dxa" w:w="40"/>
              <w:left w:type="dxa" w:w="60"/>
              <w:bottom w:type="dxa" w:w="40"/>
              <w:right w:type="dxa" w:w="60"/>
            </w:tcMar>
          </w:tcPr>
          <w:p>
            <w:pPr>
              <w:jc w:val="left"/>
            </w:pPr>
            <w:r>
              <w:rPr>
                <w:rFonts w:ascii="Times New Roman" w:cs="Times New Roman" w:eastAsia="Times New Roman" w:hAnsi="Times New Roman"/>
                <w:b w:val="false"/>
                <w:bCs w:val="false"/>
                <w:sz w:val="16"/>
                <w:szCs w:val="16"/>
              </w:rPr>
              <w:t xml:space="preserve">Moderate</w:t>
            </w:r>
          </w:p>
        </w:tc>
        <w:tc>
          <w:tcPr>
            <w:tcW w:type="dxa" w:w="700"/>
            <w:tcMar>
              <w:top w:type="dxa" w:w="40"/>
              <w:left w:type="dxa" w:w="60"/>
              <w:bottom w:type="dxa" w:w="40"/>
              <w:right w:type="dxa" w:w="60"/>
            </w:tcMar>
          </w:tcPr>
          <w:p>
            <w:pPr>
              <w:jc w:val="left"/>
            </w:pPr>
            <w:r>
              <w:rPr>
                <w:rFonts w:ascii="Times New Roman" w:cs="Times New Roman" w:eastAsia="Times New Roman" w:hAnsi="Times New Roman"/>
                <w:b w:val="false"/>
                <w:bCs w:val="false"/>
                <w:sz w:val="16"/>
                <w:szCs w:val="16"/>
              </w:rPr>
              <w:t xml:space="preserve">0.33</w:t>
            </w:r>
          </w:p>
        </w:tc>
        <w:tc>
          <w:tcPr>
            <w:tcW w:type="dxa" w:w="800"/>
            <w:tcMar>
              <w:top w:type="dxa" w:w="40"/>
              <w:left w:type="dxa" w:w="60"/>
              <w:bottom w:type="dxa" w:w="40"/>
              <w:right w:type="dxa" w:w="60"/>
            </w:tcMar>
          </w:tcPr>
          <w:p>
            <w:pPr>
              <w:jc w:val="left"/>
            </w:pPr>
            <w:r>
              <w:rPr>
                <w:rFonts w:ascii="Times New Roman" w:cs="Times New Roman" w:eastAsia="Times New Roman" w:hAnsi="Times New Roman"/>
                <w:b w:val="false"/>
                <w:bCs w:val="false"/>
                <w:sz w:val="16"/>
                <w:szCs w:val="16"/>
              </w:rPr>
              <w:t xml:space="preserve">123</w:t>
            </w:r>
          </w:p>
        </w:tc>
        <w:tc>
          <w:tcPr>
            <w:tcW w:type="dxa" w:w="2576"/>
            <w:tcMar>
              <w:top w:type="dxa" w:w="40"/>
              <w:left w:type="dxa" w:w="60"/>
              <w:bottom w:type="dxa" w:w="40"/>
              <w:right w:type="dxa" w:w="60"/>
            </w:tcMar>
          </w:tcPr>
          <w:p>
            <w:pPr>
              <w:jc w:val="left"/>
            </w:pPr>
            <w:r>
              <w:rPr>
                <w:rFonts w:ascii="Times New Roman" w:cs="Times New Roman" w:eastAsia="Times New Roman" w:hAnsi="Times New Roman"/>
                <w:b w:val="false"/>
                <w:bCs w:val="false"/>
                <w:sz w:val="16"/>
                <w:szCs w:val="16"/>
              </w:rPr>
              <w:t xml:space="preserve">Minor defect</w:t>
            </w:r>
          </w:p>
        </w:tc>
      </w:tr>
      <w:tr>
        <w:tc>
          <w:tcPr>
            <w:tcW w:type="dxa" w:w="1000"/>
            <w:tcMar>
              <w:top w:type="dxa" w:w="40"/>
              <w:left w:type="dxa" w:w="60"/>
              <w:bottom w:type="dxa" w:w="40"/>
              <w:right w:type="dxa" w:w="60"/>
            </w:tcMar>
          </w:tcPr>
          <w:p>
            <w:pPr>
              <w:jc w:val="left"/>
            </w:pPr>
            <w:r>
              <w:rPr>
                <w:rFonts w:ascii="Times New Roman" w:cs="Times New Roman" w:eastAsia="Times New Roman" w:hAnsi="Times New Roman"/>
                <w:b w:val="false"/>
                <w:bCs w:val="false"/>
                <w:sz w:val="16"/>
                <w:szCs w:val="16"/>
              </w:rPr>
              <w:t xml:space="preserve">Mild</w:t>
            </w:r>
          </w:p>
        </w:tc>
        <w:tc>
          <w:tcPr>
            <w:tcW w:type="dxa" w:w="700"/>
            <w:tcMar>
              <w:top w:type="dxa" w:w="40"/>
              <w:left w:type="dxa" w:w="60"/>
              <w:bottom w:type="dxa" w:w="40"/>
              <w:right w:type="dxa" w:w="60"/>
            </w:tcMar>
          </w:tcPr>
          <w:p>
            <w:pPr>
              <w:jc w:val="left"/>
            </w:pPr>
            <w:r>
              <w:rPr>
                <w:rFonts w:ascii="Times New Roman" w:cs="Times New Roman" w:eastAsia="Times New Roman" w:hAnsi="Times New Roman"/>
                <w:b w:val="false"/>
                <w:bCs w:val="false"/>
                <w:sz w:val="16"/>
                <w:szCs w:val="16"/>
              </w:rPr>
              <w:t xml:space="preserve">0.67</w:t>
            </w:r>
          </w:p>
        </w:tc>
        <w:tc>
          <w:tcPr>
            <w:tcW w:type="dxa" w:w="800"/>
            <w:tcMar>
              <w:top w:type="dxa" w:w="40"/>
              <w:left w:type="dxa" w:w="60"/>
              <w:bottom w:type="dxa" w:w="40"/>
              <w:right w:type="dxa" w:w="60"/>
            </w:tcMar>
          </w:tcPr>
          <w:p>
            <w:pPr>
              <w:jc w:val="left"/>
            </w:pPr>
            <w:r>
              <w:rPr>
                <w:rFonts w:ascii="Times New Roman" w:cs="Times New Roman" w:eastAsia="Times New Roman" w:hAnsi="Times New Roman"/>
                <w:b w:val="false"/>
                <w:bCs w:val="false"/>
                <w:sz w:val="16"/>
                <w:szCs w:val="16"/>
              </w:rPr>
              <w:t xml:space="preserve">298</w:t>
            </w:r>
          </w:p>
        </w:tc>
        <w:tc>
          <w:tcPr>
            <w:tcW w:type="dxa" w:w="2576"/>
            <w:tcMar>
              <w:top w:type="dxa" w:w="40"/>
              <w:left w:type="dxa" w:w="60"/>
              <w:bottom w:type="dxa" w:w="40"/>
              <w:right w:type="dxa" w:w="60"/>
            </w:tcMar>
          </w:tcPr>
          <w:p>
            <w:pPr>
              <w:jc w:val="left"/>
            </w:pPr>
            <w:r>
              <w:rPr>
                <w:rFonts w:ascii="Times New Roman" w:cs="Times New Roman" w:eastAsia="Times New Roman" w:hAnsi="Times New Roman"/>
                <w:b w:val="false"/>
                <w:bCs w:val="false"/>
                <w:sz w:val="16"/>
                <w:szCs w:val="16"/>
              </w:rPr>
              <w:t xml:space="preserve">Advanced defect</w:t>
            </w:r>
          </w:p>
        </w:tc>
      </w:tr>
      <w:tr>
        <w:tc>
          <w:tcPr>
            <w:tcW w:type="dxa" w:w="1000"/>
            <w:tcMar>
              <w:top w:type="dxa" w:w="40"/>
              <w:left w:type="dxa" w:w="60"/>
              <w:bottom w:type="dxa" w:w="40"/>
              <w:right w:type="dxa" w:w="60"/>
            </w:tcMar>
          </w:tcPr>
          <w:p>
            <w:pPr>
              <w:jc w:val="left"/>
            </w:pPr>
            <w:r>
              <w:rPr>
                <w:rFonts w:ascii="Times New Roman" w:cs="Times New Roman" w:eastAsia="Times New Roman" w:hAnsi="Times New Roman"/>
                <w:b w:val="false"/>
                <w:bCs w:val="false"/>
                <w:sz w:val="16"/>
                <w:szCs w:val="16"/>
              </w:rPr>
              <w:t xml:space="preserve">Severe</w:t>
            </w:r>
          </w:p>
        </w:tc>
        <w:tc>
          <w:tcPr>
            <w:tcW w:type="dxa" w:w="700"/>
            <w:tcMar>
              <w:top w:type="dxa" w:w="40"/>
              <w:left w:type="dxa" w:w="60"/>
              <w:bottom w:type="dxa" w:w="40"/>
              <w:right w:type="dxa" w:w="60"/>
            </w:tcMar>
          </w:tcPr>
          <w:p>
            <w:pPr>
              <w:jc w:val="left"/>
            </w:pPr>
            <w:r>
              <w:rPr>
                <w:rFonts w:ascii="Times New Roman" w:cs="Times New Roman" w:eastAsia="Times New Roman" w:hAnsi="Times New Roman"/>
                <w:b w:val="false"/>
                <w:bCs w:val="false"/>
                <w:sz w:val="16"/>
                <w:szCs w:val="16"/>
              </w:rPr>
              <w:t xml:space="preserve">1.0</w:t>
            </w:r>
          </w:p>
        </w:tc>
        <w:tc>
          <w:tcPr>
            <w:tcW w:type="dxa" w:w="800"/>
            <w:tcMar>
              <w:top w:type="dxa" w:w="40"/>
              <w:left w:type="dxa" w:w="60"/>
              <w:bottom w:type="dxa" w:w="40"/>
              <w:right w:type="dxa" w:w="60"/>
            </w:tcMar>
          </w:tcPr>
          <w:p>
            <w:pPr>
              <w:jc w:val="left"/>
            </w:pPr>
            <w:r>
              <w:rPr>
                <w:rFonts w:ascii="Times New Roman" w:cs="Times New Roman" w:eastAsia="Times New Roman" w:hAnsi="Times New Roman"/>
                <w:b w:val="false"/>
                <w:bCs w:val="false"/>
                <w:sz w:val="16"/>
                <w:szCs w:val="16"/>
              </w:rPr>
              <w:t xml:space="preserve">701</w:t>
            </w:r>
          </w:p>
        </w:tc>
        <w:tc>
          <w:tcPr>
            <w:tcW w:type="dxa" w:w="2576"/>
            <w:tcMar>
              <w:top w:type="dxa" w:w="40"/>
              <w:left w:type="dxa" w:w="60"/>
              <w:bottom w:type="dxa" w:w="40"/>
              <w:right w:type="dxa" w:w="60"/>
            </w:tcMar>
          </w:tcPr>
          <w:p>
            <w:pPr>
              <w:jc w:val="left"/>
            </w:pPr>
            <w:r>
              <w:rPr>
                <w:rFonts w:ascii="Times New Roman" w:cs="Times New Roman" w:eastAsia="Times New Roman" w:hAnsi="Times New Roman"/>
                <w:b w:val="false"/>
                <w:bCs w:val="false"/>
                <w:sz w:val="16"/>
                <w:szCs w:val="16"/>
              </w:rPr>
              <w:t xml:space="preserve">Severe defect</w:t>
            </w:r>
          </w:p>
        </w:tc>
      </w:tr>
    </w:tbl>
    <w:p>
      <w:pPr>
        <w:spacing w:after="80" w:before="140"/>
      </w:pPr>
      <w:r>
        <w:rPr>
          <w:rFonts w:ascii="Times New Roman" w:cs="Times New Roman" w:eastAsia="Times New Roman" w:hAnsi="Times New Roman"/>
          <w:i/>
          <w:iCs/>
          <w:color w:val="000000"/>
          <w:sz w:val="20"/>
          <w:szCs w:val="20"/>
        </w:rPr>
        <w:t xml:space="preserve">B. Severity Formulation and Problem Definition</w:t>
      </w:r>
    </w:p>
    <w:p>
      <w:pPr>
        <w:spacing w:after="120"/>
        <w:ind w:firstLine="200"/>
        <w:jc w:val="both"/>
      </w:pPr>
      <w:r>
        <w:rPr>
          <w:rFonts w:ascii="Times New Roman" w:cs="Times New Roman" w:eastAsia="Times New Roman" w:hAnsi="Times New Roman"/>
          <w:sz w:val="20"/>
          <w:szCs w:val="20"/>
        </w:rPr>
        <w:t xml:space="preserve">Rather than inventing a new severity scale, the four existing ELPV labels are reinterpreted ordinally (functional &lt; moderate &lt; mild &lt; severe); if experiments show these are not reliably ordered at the available sample size, this will be reported as a limitation rather than concealed. Given N candidate frames {x1,…,xN} for a cell and a quality score q(x) ∈ [0,1] (Section IV-B), the selected frame and its predicted class are</w:t>
      </w:r>
    </w:p>
    <w:p>
      <w:pPr>
        <w:spacing w:after="80" w:before="80"/>
        <w:jc w:val="center"/>
      </w:pPr>
      <w:r>
        <w:rPr>
          <w:rFonts w:ascii="Times New Roman" w:cs="Times New Roman" w:eastAsia="Times New Roman" w:hAnsi="Times New Roman"/>
          <w:i/>
          <w:iCs/>
          <w:sz w:val="19"/>
          <w:szCs w:val="19"/>
        </w:rPr>
        <w:t xml:space="preserve">x* = argmax_i q(xi), s.t. q(xi) ≥ τ ;  P(y=k|x*) = f_θ(x*), k∈{1,…,K}</w:t>
      </w:r>
    </w:p>
    <w:p>
      <w:pPr>
        <w:spacing w:after="120"/>
        <w:ind w:firstLine="200"/>
        <w:jc w:val="both"/>
      </w:pPr>
      <w:r>
        <w:rPr>
          <w:rFonts w:ascii="Times New Roman" w:cs="Times New Roman" w:eastAsia="Times New Roman" w:hAnsi="Times New Roman"/>
          <w:sz w:val="20"/>
          <w:szCs w:val="20"/>
        </w:rPr>
        <w:t xml:space="preserve">with K=4 and an uncertainty score u(x*) obtained from repeated stochastic inference (Section IV-D). The pipeline is the composition x → x* → (ŷ, u) → d, where d is a maintenance-priority decision.</w:t>
      </w:r>
    </w:p>
    <w:p>
      <w:pPr>
        <w:spacing w:after="100" w:before="220"/>
        <w:jc w:val="center"/>
      </w:pPr>
      <w:r>
        <w:rPr>
          <w:rFonts w:ascii="Times New Roman" w:cs="Times New Roman" w:eastAsia="Times New Roman" w:hAnsi="Times New Roman"/>
          <w:b/>
          <w:bCs/>
          <w:color w:val="000000"/>
          <w:sz w:val="20"/>
          <w:szCs w:val="20"/>
        </w:rPr>
        <w:t xml:space="preserve">IV. Proposed Methodology</w:t>
      </w:r>
    </w:p>
    <w:p>
      <w:pPr>
        <w:spacing w:after="80" w:before="140"/>
      </w:pPr>
      <w:r>
        <w:rPr>
          <w:rFonts w:ascii="Times New Roman" w:cs="Times New Roman" w:eastAsia="Times New Roman" w:hAnsi="Times New Roman"/>
          <w:i/>
          <w:iCs/>
          <w:color w:val="000000"/>
          <w:sz w:val="20"/>
          <w:szCs w:val="20"/>
        </w:rPr>
        <w:t xml:space="preserve">A. Overall Framework</w:t>
      </w:r>
    </w:p>
    <w:p>
      <w:pPr>
        <w:spacing w:after="120"/>
        <w:ind w:firstLine="200"/>
        <w:jc w:val="both"/>
      </w:pPr>
      <w:r>
        <w:rPr>
          <w:rFonts w:ascii="Times New Roman" w:cs="Times New Roman" w:eastAsia="Times New Roman" w:hAnsi="Times New Roman"/>
          <w:sz w:val="20"/>
          <w:szCs w:val="20"/>
        </w:rPr>
        <w:t xml:space="preserve">The pipeline follows: live capture → panel localization → multi-frame acquisition → quality assessment → best-frame selection → preprocessing → severity-aware classification → uncertainty estimation → maintenance-priority decision (Fig. 1). Each stage is deliberately kept modular so that individual components (e.g., the classifier backbone or the uncertainty estimator) can be swapped without altering the rest of the pipeline, which also simplifies the ablation protocol in Section VI. A YOLO-based detector, in the same localization role used in [5]–[8], answers only "where is the panel/cell", separate from defect classification, which is addressed by the models described in Section IV-C.</w:t>
      </w:r>
    </w:p>
    <w:p>
      <w:pPr>
        <w:spacing w:after="80" w:before="140"/>
      </w:pPr>
      <w:r>
        <w:rPr>
          <w:rFonts w:ascii="Times New Roman" w:cs="Times New Roman" w:eastAsia="Times New Roman" w:hAnsi="Times New Roman"/>
          <w:i/>
          <w:iCs/>
          <w:color w:val="000000"/>
          <w:sz w:val="20"/>
          <w:szCs w:val="20"/>
        </w:rPr>
        <w:t xml:space="preserve">B. Quality-Aware Multi-Frame Acquisition</w:t>
      </w:r>
    </w:p>
    <w:p>
      <w:pPr>
        <w:spacing w:after="120"/>
        <w:ind w:firstLine="200"/>
        <w:jc w:val="both"/>
      </w:pPr>
      <w:r>
        <w:rPr>
          <w:rFonts w:ascii="Times New Roman" w:cs="Times New Roman" w:eastAsia="Times New Roman" w:hAnsi="Times New Roman"/>
          <w:sz w:val="20"/>
          <w:szCs w:val="20"/>
        </w:rPr>
        <w:t xml:space="preserve">A short burst of N candidate frames is captured per localized cell and scored with a no-reference quality function combining sharpness, exposure, contrast, and noise cues, in the spirit of the multi-metric gating validated for defect detection in [17]:</w:t>
      </w:r>
    </w:p>
    <w:p>
      <w:pPr>
        <w:spacing w:after="80" w:before="80"/>
        <w:jc w:val="center"/>
      </w:pPr>
      <w:r>
        <w:rPr>
          <w:rFonts w:ascii="Times New Roman" w:cs="Times New Roman" w:eastAsia="Times New Roman" w:hAnsi="Times New Roman"/>
          <w:i/>
          <w:iCs/>
          <w:sz w:val="19"/>
          <w:szCs w:val="19"/>
        </w:rPr>
        <w:t xml:space="preserve">Q(x) = w1·Sharp(x) + w2·Expo(x) + w3·Contrast(x) − w4·Noise(x)</w:t>
      </w:r>
    </w:p>
    <w:p>
      <w:pPr>
        <w:spacing w:after="120"/>
        <w:ind w:firstLine="200"/>
        <w:jc w:val="both"/>
      </w:pPr>
      <w:r>
        <w:rPr>
          <w:rFonts w:ascii="Times New Roman" w:cs="Times New Roman" w:eastAsia="Times New Roman" w:hAnsi="Times New Roman"/>
          <w:sz w:val="20"/>
          <w:szCs w:val="20"/>
        </w:rPr>
        <w:t xml:space="preserve">The exact feature set and weights w1–w4 will be calibrated empirically rather than assumed a priori: a held-out set of frames will be rated for perceived usability, and w1–w4 and the threshold τ will be fitted by maximizing agreement between Q(x) and the human ratings, following the general calibration strategy used to validate multi-metric no-reference quality gating for defect detection in [17]. Frames below τ trigger re-capture rather than forced classification, and a cell for which no candidate frame clears τ within the acquisition burst is flagged for manual inspection rather than silently misclassified.</w:t>
      </w:r>
    </w:p>
    <w:p>
      <w:pPr>
        <w:pBdr>
          <w:top w:val="single" w:color="999999" w:sz="4"/>
          <w:bottom w:val="single" w:color="999999" w:sz="4"/>
          <w:left w:val="single" w:color="999999" w:sz="4"/>
          <w:right w:val="single" w:color="999999" w:sz="4"/>
        </w:pBdr>
        <w:spacing w:after="40" w:before="140"/>
        <w:jc w:val="center"/>
      </w:pPr>
      <w:r>
        <w:rPr>
          <w:rFonts w:ascii="Times New Roman" w:cs="Times New Roman" w:eastAsia="Times New Roman" w:hAnsi="Times New Roman"/>
          <w:b/>
          <w:bCs/>
          <w:i/>
          <w:iCs/>
          <w:sz w:val="18"/>
          <w:szCs w:val="18"/>
        </w:rPr>
        <w:t xml:space="preserve">[INSERT FIGURE 3 HERE]</w:t>
      </w:r>
    </w:p>
    <w:p>
      <w:pPr>
        <w:spacing w:after="140"/>
        <w:jc w:val="center"/>
      </w:pPr>
      <w:r>
        <w:rPr>
          <w:rFonts w:ascii="Times New Roman" w:cs="Times New Roman" w:eastAsia="Times New Roman" w:hAnsi="Times New Roman"/>
          <w:i/>
          <w:iCs/>
          <w:sz w:val="16"/>
          <w:szCs w:val="16"/>
        </w:rPr>
        <w:t xml:space="preserve">Fig. 3. Image quality assessment module: per-frame scoring, accept/reject gating, and best-frame selection prior to classification.</w:t>
      </w:r>
    </w:p>
    <w:p>
      <w:pPr>
        <w:spacing w:after="80" w:before="140"/>
      </w:pPr>
      <w:r>
        <w:rPr>
          <w:rFonts w:ascii="Times New Roman" w:cs="Times New Roman" w:eastAsia="Times New Roman" w:hAnsi="Times New Roman"/>
          <w:i/>
          <w:iCs/>
          <w:color w:val="000000"/>
          <w:sz w:val="20"/>
          <w:szCs w:val="20"/>
        </w:rPr>
        <w:t xml:space="preserve">C. Severity-Aware Classification</w:t>
      </w:r>
    </w:p>
    <w:p>
      <w:pPr>
        <w:spacing w:after="120"/>
        <w:ind w:firstLine="200"/>
        <w:jc w:val="both"/>
      </w:pPr>
      <w:r>
        <w:rPr>
          <w:rFonts w:ascii="Times New Roman" w:cs="Times New Roman" w:eastAsia="Times New Roman" w:hAnsi="Times New Roman"/>
          <w:sz w:val="20"/>
          <w:szCs w:val="20"/>
        </w:rPr>
        <w:t xml:space="preserve">Candidate backbones (a compact CNN, MobileNetV2, EfficientNet-B0, ResNet-18/50) are treated as established, interchangeable feature extractors rather than as contributions of this work; MobileNetV2 and EfficientNet-B0 are included primarily as lightweight options relevant to on-drone or edge deployment, while ResNet-18/50 provide direct comparability with the baselines in [26]–[28]. The specific subset ultimately reported will depend on which models are actually trained within the available compute budget. Each candidate is trained with a rank-consistent ordinal loss in the style of CORAL/CORN [15], [16],</w:t>
      </w:r>
    </w:p>
    <w:p>
      <w:pPr>
        <w:spacing w:after="80" w:before="80"/>
        <w:jc w:val="center"/>
      </w:pPr>
      <w:r>
        <w:rPr>
          <w:rFonts w:ascii="Times New Roman" w:cs="Times New Roman" w:eastAsia="Times New Roman" w:hAnsi="Times New Roman"/>
          <w:i/>
          <w:iCs/>
          <w:sz w:val="19"/>
          <w:szCs w:val="19"/>
        </w:rPr>
        <w:t xml:space="preserve">L_ord=−ΣnΣk[y_n^k log σ(g_k(x_n)) + (1−y_n^k) log(1−σ(g_k(x_n)))]</w:t>
      </w:r>
    </w:p>
    <w:p>
      <w:pPr>
        <w:spacing w:after="120"/>
        <w:ind w:firstLine="200"/>
        <w:jc w:val="both"/>
      </w:pPr>
      <w:r>
        <w:rPr>
          <w:rFonts w:ascii="Times New Roman" w:cs="Times New Roman" w:eastAsia="Times New Roman" w:hAnsi="Times New Roman"/>
          <w:sz w:val="20"/>
          <w:szCs w:val="20"/>
        </w:rPr>
        <w:t xml:space="preserve">compared directly, under matched backbone and budget, against conventional categorical cross-entropy L_CE (RQ2), with class-weighted loss addressing the imbalance in Table II, consistent with [27].</w:t>
      </w:r>
    </w:p>
    <w:p>
      <w:pPr>
        <w:spacing w:after="80" w:before="140"/>
      </w:pPr>
      <w:r>
        <w:rPr>
          <w:rFonts w:ascii="Times New Roman" w:cs="Times New Roman" w:eastAsia="Times New Roman" w:hAnsi="Times New Roman"/>
          <w:i/>
          <w:iCs/>
          <w:color w:val="000000"/>
          <w:sz w:val="20"/>
          <w:szCs w:val="20"/>
        </w:rPr>
        <w:t xml:space="preserve">D. Uncertainty Estimation and Maintenance Priority</w:t>
      </w:r>
    </w:p>
    <w:p>
      <w:pPr>
        <w:spacing w:after="120"/>
        <w:ind w:firstLine="200"/>
        <w:jc w:val="both"/>
      </w:pPr>
      <w:r>
        <w:rPr>
          <w:rFonts w:ascii="Times New Roman" w:cs="Times New Roman" w:eastAsia="Times New Roman" w:hAnsi="Times New Roman"/>
          <w:sz w:val="20"/>
          <w:szCs w:val="20"/>
        </w:rPr>
        <w:t xml:space="preserve">MC dropout [11] with T stochastic passes gives a predictive distribution p̄(y|x) and predictive entropy</w:t>
      </w:r>
    </w:p>
    <w:p>
      <w:pPr>
        <w:spacing w:after="80" w:before="80"/>
        <w:jc w:val="center"/>
      </w:pPr>
      <w:r>
        <w:rPr>
          <w:rFonts w:ascii="Times New Roman" w:cs="Times New Roman" w:eastAsia="Times New Roman" w:hAnsi="Times New Roman"/>
          <w:i/>
          <w:iCs/>
          <w:sz w:val="19"/>
          <w:szCs w:val="19"/>
        </w:rPr>
        <w:t xml:space="preserve">H(x) = −Σk p̄(y=k|x) log p̄(y=k|x)</w:t>
      </w:r>
    </w:p>
    <w:p>
      <w:pPr>
        <w:spacing w:after="120"/>
        <w:ind w:firstLine="200"/>
        <w:jc w:val="both"/>
      </w:pPr>
      <w:r>
        <w:rPr>
          <w:rFonts w:ascii="Times New Roman" w:cs="Times New Roman" w:eastAsia="Times New Roman" w:hAnsi="Times New Roman"/>
          <w:sz w:val="20"/>
          <w:szCs w:val="20"/>
        </w:rPr>
        <w:t xml:space="preserve">compared, where feasible, against a deep-ensemble estimator [12]; temperature scaling [13] is applied post-hoc to reduce over-confidence prior to reporting calibration. Predicted severity ŷ and H(x) are combined by a threshold-based rule</w:t>
      </w:r>
    </w:p>
    <w:p>
      <w:pPr>
        <w:spacing w:after="80" w:before="80"/>
        <w:jc w:val="center"/>
      </w:pPr>
      <w:r>
        <w:rPr>
          <w:rFonts w:ascii="Times New Roman" w:cs="Times New Roman" w:eastAsia="Times New Roman" w:hAnsi="Times New Roman"/>
          <w:i/>
          <w:iCs/>
          <w:sz w:val="19"/>
          <w:szCs w:val="19"/>
        </w:rPr>
        <w:t xml:space="preserve">d(x) = π(ŷ(x), H(x); {θ_sev, θ_unc})  ∈ {No action, Monitor, Inspect, High priority}</w:t>
      </w:r>
    </w:p>
    <w:p>
      <w:pPr>
        <w:spacing w:after="120"/>
        <w:ind w:firstLine="200"/>
        <w:jc w:val="both"/>
      </w:pPr>
      <w:r>
        <w:rPr>
          <w:rFonts w:ascii="Times New Roman" w:cs="Times New Roman" w:eastAsia="Times New Roman" w:hAnsi="Times New Roman"/>
          <w:sz w:val="20"/>
          <w:szCs w:val="20"/>
        </w:rPr>
        <w:t xml:space="preserve">where θ_sev and θ_unc are severity- and uncertainty-thresholds tuned on the validation split so that, for example, a high predicted severity combined with low uncertainty routes directly to "High priority", while high severity combined with high uncertainty is routed to "Inspect" for human confirmation rather than an automated high-priority alert. This mapping is presented explicitly as a research decision-support illustration rather than a validated maintenance standard.</w:t>
      </w:r>
    </w:p>
    <w:p>
      <w:pPr>
        <w:pBdr>
          <w:top w:val="single" w:color="999999" w:sz="4"/>
          <w:bottom w:val="single" w:color="999999" w:sz="4"/>
          <w:left w:val="single" w:color="999999" w:sz="4"/>
          <w:right w:val="single" w:color="999999" w:sz="4"/>
        </w:pBdr>
        <w:spacing w:after="40" w:before="140"/>
        <w:jc w:val="center"/>
      </w:pPr>
      <w:r>
        <w:rPr>
          <w:rFonts w:ascii="Times New Roman" w:cs="Times New Roman" w:eastAsia="Times New Roman" w:hAnsi="Times New Roman"/>
          <w:b/>
          <w:bCs/>
          <w:i/>
          <w:iCs/>
          <w:sz w:val="18"/>
          <w:szCs w:val="18"/>
        </w:rPr>
        <w:t xml:space="preserve">[INSERT FIGURE 2 HERE]</w:t>
      </w:r>
    </w:p>
    <w:p>
      <w:pPr>
        <w:spacing w:after="140"/>
        <w:jc w:val="center"/>
      </w:pPr>
      <w:r>
        <w:rPr>
          <w:rFonts w:ascii="Times New Roman" w:cs="Times New Roman" w:eastAsia="Times New Roman" w:hAnsi="Times New Roman"/>
          <w:i/>
          <w:iCs/>
          <w:sz w:val="16"/>
          <w:szCs w:val="16"/>
        </w:rPr>
        <w:t xml:space="preserve">Fig. 2. Severity-aware ordinal classification head coupled with the MC-dropout uncertainty and maintenance-priority decision stage.</w:t>
      </w:r>
    </w:p>
    <w:p>
      <w:pPr>
        <w:spacing w:after="100" w:before="220"/>
        <w:jc w:val="center"/>
      </w:pPr>
      <w:r>
        <w:rPr>
          <w:rFonts w:ascii="Times New Roman" w:cs="Times New Roman" w:eastAsia="Times New Roman" w:hAnsi="Times New Roman"/>
          <w:b/>
          <w:bCs/>
          <w:color w:val="000000"/>
          <w:sz w:val="20"/>
          <w:szCs w:val="20"/>
        </w:rPr>
        <w:t xml:space="preserve">V. Experimental Setup</w:t>
      </w:r>
    </w:p>
    <w:p>
      <w:pPr>
        <w:spacing w:after="80" w:before="140"/>
      </w:pPr>
      <w:r>
        <w:rPr>
          <w:rFonts w:ascii="Times New Roman" w:cs="Times New Roman" w:eastAsia="Times New Roman" w:hAnsi="Times New Roman"/>
          <w:i/>
          <w:iCs/>
          <w:color w:val="000000"/>
          <w:sz w:val="20"/>
          <w:szCs w:val="20"/>
        </w:rPr>
        <w:t xml:space="preserve">A. Hardware and Software Environment</w:t>
      </w:r>
    </w:p>
    <w:p>
      <w:pPr>
        <w:spacing w:after="120"/>
        <w:ind w:firstLine="200"/>
        <w:jc w:val="both"/>
      </w:pPr>
      <w:r>
        <w:rPr>
          <w:rFonts w:ascii="Times New Roman" w:cs="Times New Roman" w:eastAsia="Times New Roman" w:hAnsi="Times New Roman"/>
          <w:sz w:val="20"/>
          <w:szCs w:val="20"/>
        </w:rPr>
        <w:t xml:space="preserve">[Hardware configuration — CPU, GPU, and memory specifications — to be finalized based on available compute resources and reported once experimentation begins.] The implementation is planned around a standard Python deep-learning stack (PyTorch or TensorFlow) together with OpenCV for image-quality feature extraction and scikit-learn for classical baselines, consistent with the environments used in [26], [27].</w:t>
      </w:r>
    </w:p>
    <w:p>
      <w:pPr>
        <w:spacing w:after="80" w:before="140"/>
      </w:pPr>
      <w:r>
        <w:rPr>
          <w:rFonts w:ascii="Times New Roman" w:cs="Times New Roman" w:eastAsia="Times New Roman" w:hAnsi="Times New Roman"/>
          <w:i/>
          <w:iCs/>
          <w:color w:val="000000"/>
          <w:sz w:val="20"/>
          <w:szCs w:val="20"/>
        </w:rPr>
        <w:t xml:space="preserve">B. Dataset Split</w:t>
      </w:r>
    </w:p>
    <w:p>
      <w:pPr>
        <w:spacing w:after="120"/>
        <w:ind w:firstLine="200"/>
        <w:jc w:val="both"/>
      </w:pPr>
      <w:r>
        <w:rPr>
          <w:rFonts w:ascii="Times New Roman" w:cs="Times New Roman" w:eastAsia="Times New Roman" w:hAnsi="Times New Roman"/>
          <w:sz w:val="20"/>
          <w:szCs w:val="20"/>
        </w:rPr>
        <w:t xml:space="preserve">A stratified split preserving class proportions is planned, following the general approach in [27]: approximately 70% for training, 15% for validation (hyperparameter selection, temperature scaling, and quality-threshold τ calibration), and 15% held out for testing, fixed with a documented random seed prior to any model training.</w:t>
      </w:r>
    </w:p>
    <w:p>
      <w:pPr>
        <w:spacing w:after="80" w:before="140"/>
      </w:pPr>
      <w:r>
        <w:rPr>
          <w:rFonts w:ascii="Times New Roman" w:cs="Times New Roman" w:eastAsia="Times New Roman" w:hAnsi="Times New Roman"/>
          <w:i/>
          <w:iCs/>
          <w:color w:val="000000"/>
          <w:sz w:val="20"/>
          <w:szCs w:val="20"/>
        </w:rPr>
        <w:t xml:space="preserve">C. Training Configuration</w:t>
      </w:r>
    </w:p>
    <w:p>
      <w:pPr>
        <w:spacing w:after="120"/>
        <w:ind w:firstLine="200"/>
        <w:jc w:val="both"/>
      </w:pPr>
      <w:r>
        <w:rPr>
          <w:rFonts w:ascii="Times New Roman" w:cs="Times New Roman" w:eastAsia="Times New Roman" w:hAnsi="Times New Roman"/>
          <w:sz w:val="20"/>
          <w:szCs w:val="20"/>
        </w:rPr>
        <w:t xml:space="preserve">All backbones are initialized with ImageNet-pretrained weights and fine-tuned with class-weighted loss to address the imbalance in Table II; final hyperparameters (Table III) will be selected by validation-set search rather than fixed in advance.</w:t>
      </w:r>
    </w:p>
    <w:p>
      <w:pPr>
        <w:spacing w:after="80" w:before="140"/>
      </w:pPr>
      <w:r>
        <w:rPr>
          <w:rFonts w:ascii="Times New Roman" w:cs="Times New Roman" w:eastAsia="Times New Roman" w:hAnsi="Times New Roman"/>
          <w:i/>
          <w:iCs/>
          <w:color w:val="000000"/>
          <w:sz w:val="20"/>
          <w:szCs w:val="20"/>
        </w:rPr>
        <w:t xml:space="preserve">D. Evaluation Metrics</w:t>
      </w:r>
    </w:p>
    <w:p>
      <w:pPr>
        <w:spacing w:after="120"/>
        <w:ind w:firstLine="200"/>
        <w:jc w:val="both"/>
      </w:pPr>
      <w:r>
        <w:rPr>
          <w:rFonts w:ascii="Times New Roman" w:cs="Times New Roman" w:eastAsia="Times New Roman" w:hAnsi="Times New Roman"/>
          <w:sz w:val="20"/>
          <w:szCs w:val="20"/>
        </w:rPr>
        <w:t xml:space="preserve">Evaluation metrics are accuracy, macro-precision/recall/F1, mean absolute rank error and quadratic weighted kappa for the ordinal head [15], [16], expected calibration error (ECE) and an accuracy–rejection curve for uncertainty [11], [13], mAP for localization [5], and parameter count/model size/FPS for efficiency.</w:t>
      </w:r>
    </w:p>
    <w:p>
      <w:pPr>
        <w:spacing w:after="60" w:before="140"/>
        <w:jc w:val="center"/>
      </w:pPr>
      <w:r>
        <w:rPr>
          <w:rFonts w:ascii="Times New Roman" w:cs="Times New Roman" w:eastAsia="Times New Roman" w:hAnsi="Times New Roman"/>
          <w:b/>
          <w:bCs/>
          <w:sz w:val="16"/>
          <w:szCs w:val="16"/>
        </w:rPr>
        <w:t xml:space="preserve">TABLE III. Planned Training Configuration</w:t>
      </w:r>
    </w:p>
    <w:tbl>
      <w:tblPr>
        <w:tblW w:type="dxa" w:w="5076"/>
        <w:tblBorders>
          <w:top w:val="single" w:color="auto" w:sz="4"/>
          <w:left w:val="single" w:color="auto" w:sz="4"/>
          <w:bottom w:val="single" w:color="auto" w:sz="4"/>
          <w:right w:val="single" w:color="auto" w:sz="4"/>
          <w:insideH w:val="single" w:color="auto" w:sz="4"/>
          <w:insideV w:val="single" w:color="auto" w:sz="4"/>
        </w:tblBorders>
      </w:tblPr>
      <w:tblGrid>
        <w:gridCol w:w="2400"/>
        <w:gridCol w:w="2676"/>
      </w:tblGrid>
      <w:tr>
        <w:trPr>
          <w:tblHeader/>
        </w:trPr>
        <w:tc>
          <w:tcPr>
            <w:tcW w:type="dxa" w:w="2400"/>
            <w:shd w:fill="D9E2F3" w:val="clear"/>
            <w:tcMar>
              <w:top w:type="dxa" w:w="40"/>
              <w:left w:type="dxa" w:w="60"/>
              <w:bottom w:type="dxa" w:w="40"/>
              <w:right w:type="dxa" w:w="60"/>
            </w:tcMar>
          </w:tcPr>
          <w:p>
            <w:pPr>
              <w:jc w:val="left"/>
            </w:pPr>
            <w:r>
              <w:rPr>
                <w:rFonts w:ascii="Times New Roman" w:cs="Times New Roman" w:eastAsia="Times New Roman" w:hAnsi="Times New Roman"/>
                <w:b/>
                <w:bCs/>
                <w:sz w:val="16"/>
                <w:szCs w:val="16"/>
              </w:rPr>
              <w:t xml:space="preserve">Hyperparameter</w:t>
            </w:r>
          </w:p>
        </w:tc>
        <w:tc>
          <w:tcPr>
            <w:tcW w:type="dxa" w:w="2676"/>
            <w:shd w:fill="D9E2F3" w:val="clear"/>
            <w:tcMar>
              <w:top w:type="dxa" w:w="40"/>
              <w:left w:type="dxa" w:w="60"/>
              <w:bottom w:type="dxa" w:w="40"/>
              <w:right w:type="dxa" w:w="60"/>
            </w:tcMar>
          </w:tcPr>
          <w:p>
            <w:pPr>
              <w:jc w:val="left"/>
            </w:pPr>
            <w:r>
              <w:rPr>
                <w:rFonts w:ascii="Times New Roman" w:cs="Times New Roman" w:eastAsia="Times New Roman" w:hAnsi="Times New Roman"/>
                <w:b/>
                <w:bCs/>
                <w:sz w:val="16"/>
                <w:szCs w:val="16"/>
              </w:rPr>
              <w:t xml:space="preserve">Planned Value</w:t>
            </w:r>
          </w:p>
        </w:tc>
      </w:tr>
      <w:tr>
        <w:tc>
          <w:tcPr>
            <w:tcW w:type="dxa" w:w="2400"/>
            <w:tcMar>
              <w:top w:type="dxa" w:w="40"/>
              <w:left w:type="dxa" w:w="60"/>
              <w:bottom w:type="dxa" w:w="40"/>
              <w:right w:type="dxa" w:w="60"/>
            </w:tcMar>
          </w:tcPr>
          <w:p>
            <w:pPr>
              <w:jc w:val="left"/>
            </w:pPr>
            <w:r>
              <w:rPr>
                <w:rFonts w:ascii="Times New Roman" w:cs="Times New Roman" w:eastAsia="Times New Roman" w:hAnsi="Times New Roman"/>
                <w:b w:val="false"/>
                <w:bCs w:val="false"/>
                <w:sz w:val="16"/>
                <w:szCs w:val="16"/>
              </w:rPr>
              <w:t xml:space="preserve">Optimizer</w:t>
            </w:r>
          </w:p>
        </w:tc>
        <w:tc>
          <w:tcPr>
            <w:tcW w:type="dxa" w:w="2676"/>
            <w:tcMar>
              <w:top w:type="dxa" w:w="40"/>
              <w:left w:type="dxa" w:w="60"/>
              <w:bottom w:type="dxa" w:w="40"/>
              <w:right w:type="dxa" w:w="60"/>
            </w:tcMar>
          </w:tcPr>
          <w:p>
            <w:pPr>
              <w:jc w:val="left"/>
            </w:pPr>
            <w:r>
              <w:rPr>
                <w:rFonts w:ascii="Times New Roman" w:cs="Times New Roman" w:eastAsia="Times New Roman" w:hAnsi="Times New Roman"/>
                <w:b w:val="false"/>
                <w:bCs w:val="false"/>
                <w:sz w:val="16"/>
                <w:szCs w:val="16"/>
              </w:rPr>
              <w:t xml:space="preserve">AdamW</w:t>
            </w:r>
          </w:p>
        </w:tc>
      </w:tr>
      <w:tr>
        <w:tc>
          <w:tcPr>
            <w:tcW w:type="dxa" w:w="2400"/>
            <w:tcMar>
              <w:top w:type="dxa" w:w="40"/>
              <w:left w:type="dxa" w:w="60"/>
              <w:bottom w:type="dxa" w:w="40"/>
              <w:right w:type="dxa" w:w="60"/>
            </w:tcMar>
          </w:tcPr>
          <w:p>
            <w:pPr>
              <w:jc w:val="left"/>
            </w:pPr>
            <w:r>
              <w:rPr>
                <w:rFonts w:ascii="Times New Roman" w:cs="Times New Roman" w:eastAsia="Times New Roman" w:hAnsi="Times New Roman"/>
                <w:b w:val="false"/>
                <w:bCs w:val="false"/>
                <w:sz w:val="16"/>
                <w:szCs w:val="16"/>
              </w:rPr>
              <w:t xml:space="preserve">Learning rate</w:t>
            </w:r>
          </w:p>
        </w:tc>
        <w:tc>
          <w:tcPr>
            <w:tcW w:type="dxa" w:w="2676"/>
            <w:tcMar>
              <w:top w:type="dxa" w:w="40"/>
              <w:left w:type="dxa" w:w="60"/>
              <w:bottom w:type="dxa" w:w="40"/>
              <w:right w:type="dxa" w:w="60"/>
            </w:tcMar>
          </w:tcPr>
          <w:p>
            <w:pPr>
              <w:jc w:val="left"/>
            </w:pPr>
            <w:r>
              <w:rPr>
                <w:rFonts w:ascii="Times New Roman" w:cs="Times New Roman" w:eastAsia="Times New Roman" w:hAnsi="Times New Roman"/>
                <w:b w:val="false"/>
                <w:bCs w:val="false"/>
                <w:sz w:val="16"/>
                <w:szCs w:val="16"/>
              </w:rPr>
              <w:t xml:space="preserve">TBD (search 1e-3–1e-5)</w:t>
            </w:r>
          </w:p>
        </w:tc>
      </w:tr>
      <w:tr>
        <w:tc>
          <w:tcPr>
            <w:tcW w:type="dxa" w:w="2400"/>
            <w:tcMar>
              <w:top w:type="dxa" w:w="40"/>
              <w:left w:type="dxa" w:w="60"/>
              <w:bottom w:type="dxa" w:w="40"/>
              <w:right w:type="dxa" w:w="60"/>
            </w:tcMar>
          </w:tcPr>
          <w:p>
            <w:pPr>
              <w:jc w:val="left"/>
            </w:pPr>
            <w:r>
              <w:rPr>
                <w:rFonts w:ascii="Times New Roman" w:cs="Times New Roman" w:eastAsia="Times New Roman" w:hAnsi="Times New Roman"/>
                <w:b w:val="false"/>
                <w:bCs w:val="false"/>
                <w:sz w:val="16"/>
                <w:szCs w:val="16"/>
              </w:rPr>
              <w:t xml:space="preserve">Batch size / epochs</w:t>
            </w:r>
          </w:p>
        </w:tc>
        <w:tc>
          <w:tcPr>
            <w:tcW w:type="dxa" w:w="2676"/>
            <w:tcMar>
              <w:top w:type="dxa" w:w="40"/>
              <w:left w:type="dxa" w:w="60"/>
              <w:bottom w:type="dxa" w:w="40"/>
              <w:right w:type="dxa" w:w="60"/>
            </w:tcMar>
          </w:tcPr>
          <w:p>
            <w:pPr>
              <w:jc w:val="left"/>
            </w:pPr>
            <w:r>
              <w:rPr>
                <w:rFonts w:ascii="Times New Roman" w:cs="Times New Roman" w:eastAsia="Times New Roman" w:hAnsi="Times New Roman"/>
                <w:b w:val="false"/>
                <w:bCs w:val="false"/>
                <w:sz w:val="16"/>
                <w:szCs w:val="16"/>
              </w:rPr>
              <w:t xml:space="preserve">TBD, early stopping on val. F1</w:t>
            </w:r>
          </w:p>
        </w:tc>
      </w:tr>
      <w:tr>
        <w:tc>
          <w:tcPr>
            <w:tcW w:type="dxa" w:w="2400"/>
            <w:tcMar>
              <w:top w:type="dxa" w:w="40"/>
              <w:left w:type="dxa" w:w="60"/>
              <w:bottom w:type="dxa" w:w="40"/>
              <w:right w:type="dxa" w:w="60"/>
            </w:tcMar>
          </w:tcPr>
          <w:p>
            <w:pPr>
              <w:jc w:val="left"/>
            </w:pPr>
            <w:r>
              <w:rPr>
                <w:rFonts w:ascii="Times New Roman" w:cs="Times New Roman" w:eastAsia="Times New Roman" w:hAnsi="Times New Roman"/>
                <w:b w:val="false"/>
                <w:bCs w:val="false"/>
                <w:sz w:val="16"/>
                <w:szCs w:val="16"/>
              </w:rPr>
              <w:t xml:space="preserve">Input resolution</w:t>
            </w:r>
          </w:p>
        </w:tc>
        <w:tc>
          <w:tcPr>
            <w:tcW w:type="dxa" w:w="2676"/>
            <w:tcMar>
              <w:top w:type="dxa" w:w="40"/>
              <w:left w:type="dxa" w:w="60"/>
              <w:bottom w:type="dxa" w:w="40"/>
              <w:right w:type="dxa" w:w="60"/>
            </w:tcMar>
          </w:tcPr>
          <w:p>
            <w:pPr>
              <w:jc w:val="left"/>
            </w:pPr>
            <w:r>
              <w:rPr>
                <w:rFonts w:ascii="Times New Roman" w:cs="Times New Roman" w:eastAsia="Times New Roman" w:hAnsi="Times New Roman"/>
                <w:b w:val="false"/>
                <w:bCs w:val="false"/>
                <w:sz w:val="16"/>
                <w:szCs w:val="16"/>
              </w:rPr>
              <w:t xml:space="preserve">224×224</w:t>
            </w:r>
          </w:p>
        </w:tc>
      </w:tr>
      <w:tr>
        <w:tc>
          <w:tcPr>
            <w:tcW w:type="dxa" w:w="2400"/>
            <w:tcMar>
              <w:top w:type="dxa" w:w="40"/>
              <w:left w:type="dxa" w:w="60"/>
              <w:bottom w:type="dxa" w:w="40"/>
              <w:right w:type="dxa" w:w="60"/>
            </w:tcMar>
          </w:tcPr>
          <w:p>
            <w:pPr>
              <w:jc w:val="left"/>
            </w:pPr>
            <w:r>
              <w:rPr>
                <w:rFonts w:ascii="Times New Roman" w:cs="Times New Roman" w:eastAsia="Times New Roman" w:hAnsi="Times New Roman"/>
                <w:b w:val="false"/>
                <w:bCs w:val="false"/>
                <w:sz w:val="16"/>
                <w:szCs w:val="16"/>
              </w:rPr>
              <w:t xml:space="preserve">Weight decay</w:t>
            </w:r>
          </w:p>
        </w:tc>
        <w:tc>
          <w:tcPr>
            <w:tcW w:type="dxa" w:w="2676"/>
            <w:tcMar>
              <w:top w:type="dxa" w:w="40"/>
              <w:left w:type="dxa" w:w="60"/>
              <w:bottom w:type="dxa" w:w="40"/>
              <w:right w:type="dxa" w:w="60"/>
            </w:tcMar>
          </w:tcPr>
          <w:p>
            <w:pPr>
              <w:jc w:val="left"/>
            </w:pPr>
            <w:r>
              <w:rPr>
                <w:rFonts w:ascii="Times New Roman" w:cs="Times New Roman" w:eastAsia="Times New Roman" w:hAnsi="Times New Roman"/>
                <w:b w:val="false"/>
                <w:bCs w:val="false"/>
                <w:sz w:val="16"/>
                <w:szCs w:val="16"/>
              </w:rPr>
              <w:t xml:space="preserve">TBD (e.g., 1e-4)</w:t>
            </w:r>
          </w:p>
        </w:tc>
      </w:tr>
      <w:tr>
        <w:tc>
          <w:tcPr>
            <w:tcW w:type="dxa" w:w="2400"/>
            <w:tcMar>
              <w:top w:type="dxa" w:w="40"/>
              <w:left w:type="dxa" w:w="60"/>
              <w:bottom w:type="dxa" w:w="40"/>
              <w:right w:type="dxa" w:w="60"/>
            </w:tcMar>
          </w:tcPr>
          <w:p>
            <w:pPr>
              <w:jc w:val="left"/>
            </w:pPr>
            <w:r>
              <w:rPr>
                <w:rFonts w:ascii="Times New Roman" w:cs="Times New Roman" w:eastAsia="Times New Roman" w:hAnsi="Times New Roman"/>
                <w:b w:val="false"/>
                <w:bCs w:val="false"/>
                <w:sz w:val="16"/>
                <w:szCs w:val="16"/>
              </w:rPr>
              <w:t xml:space="preserve">Augmentation</w:t>
            </w:r>
          </w:p>
        </w:tc>
        <w:tc>
          <w:tcPr>
            <w:tcW w:type="dxa" w:w="2676"/>
            <w:tcMar>
              <w:top w:type="dxa" w:w="40"/>
              <w:left w:type="dxa" w:w="60"/>
              <w:bottom w:type="dxa" w:w="40"/>
              <w:right w:type="dxa" w:w="60"/>
            </w:tcMar>
          </w:tcPr>
          <w:p>
            <w:pPr>
              <w:jc w:val="left"/>
            </w:pPr>
            <w:r>
              <w:rPr>
                <w:rFonts w:ascii="Times New Roman" w:cs="Times New Roman" w:eastAsia="Times New Roman" w:hAnsi="Times New Roman"/>
                <w:b w:val="false"/>
                <w:bCs w:val="false"/>
                <w:sz w:val="16"/>
                <w:szCs w:val="16"/>
              </w:rPr>
              <w:t xml:space="preserve">Rotation, flip, colour jitter (train only)</w:t>
            </w:r>
          </w:p>
        </w:tc>
      </w:tr>
      <w:tr>
        <w:tc>
          <w:tcPr>
            <w:tcW w:type="dxa" w:w="2400"/>
            <w:tcMar>
              <w:top w:type="dxa" w:w="40"/>
              <w:left w:type="dxa" w:w="60"/>
              <w:bottom w:type="dxa" w:w="40"/>
              <w:right w:type="dxa" w:w="60"/>
            </w:tcMar>
          </w:tcPr>
          <w:p>
            <w:pPr>
              <w:jc w:val="left"/>
            </w:pPr>
            <w:r>
              <w:rPr>
                <w:rFonts w:ascii="Times New Roman" w:cs="Times New Roman" w:eastAsia="Times New Roman" w:hAnsi="Times New Roman"/>
                <w:b w:val="false"/>
                <w:bCs w:val="false"/>
                <w:sz w:val="16"/>
                <w:szCs w:val="16"/>
              </w:rPr>
              <w:t xml:space="preserve">MC dropout passes T</w:t>
            </w:r>
          </w:p>
        </w:tc>
        <w:tc>
          <w:tcPr>
            <w:tcW w:type="dxa" w:w="2676"/>
            <w:tcMar>
              <w:top w:type="dxa" w:w="40"/>
              <w:left w:type="dxa" w:w="60"/>
              <w:bottom w:type="dxa" w:w="40"/>
              <w:right w:type="dxa" w:w="60"/>
            </w:tcMar>
          </w:tcPr>
          <w:p>
            <w:pPr>
              <w:jc w:val="left"/>
            </w:pPr>
            <w:r>
              <w:rPr>
                <w:rFonts w:ascii="Times New Roman" w:cs="Times New Roman" w:eastAsia="Times New Roman" w:hAnsi="Times New Roman"/>
                <w:b w:val="false"/>
                <w:bCs w:val="false"/>
                <w:sz w:val="16"/>
                <w:szCs w:val="16"/>
              </w:rPr>
              <w:t xml:space="preserve">TBD (e.g., 20–50)</w:t>
            </w:r>
          </w:p>
        </w:tc>
      </w:tr>
    </w:tbl>
    <w:p>
      <w:pPr>
        <w:spacing w:after="100" w:before="220"/>
        <w:jc w:val="center"/>
      </w:pPr>
      <w:r>
        <w:rPr>
          <w:rFonts w:ascii="Times New Roman" w:cs="Times New Roman" w:eastAsia="Times New Roman" w:hAnsi="Times New Roman"/>
          <w:b/>
          <w:bCs/>
          <w:color w:val="000000"/>
          <w:sz w:val="20"/>
          <w:szCs w:val="20"/>
        </w:rPr>
        <w:t xml:space="preserve">VI. Experimental Design</w:t>
      </w:r>
    </w:p>
    <w:p>
      <w:pPr>
        <w:spacing w:after="120"/>
        <w:ind w:firstLine="200"/>
        <w:jc w:val="both"/>
      </w:pPr>
      <w:r>
        <w:rPr>
          <w:rFonts w:ascii="Times New Roman" w:cs="Times New Roman" w:eastAsia="Times New Roman" w:hAnsi="Times New Roman"/>
          <w:sz w:val="20"/>
          <w:szCs w:val="20"/>
        </w:rPr>
        <w:t xml:space="preserve">Each comparison below isolates one design choice while holding the remaining pipeline fixed, so that observed differences can be attributed to a single factor rather than to confounded changes in backbone, data split, or training budget. The planned comparisons are: (a) per-backbone baselines directly comparable to [1], [26]–[28]; (b) categorical vs. ordinal loss under matched budget (RQ2); (c) single-frame vs. quality-gated multi-frame selection, using synthetically degraded frame pools since ELPV provides one curated frame per cell (RQ1); (d) with vs. without the quality-gating threshold τ; (e) robustness under simulated blur, noise, brightness, contrast, and compression following the corruption-benchmark methodology of [14] (RQ4); (f) MC dropout vs. deep ensembles on calibration and rejection behaviour (RQ3); (g) an ablation removing quality gating, the ordinal loss, and uncertainty referral in turn; and (h) parameter count, size, and FPS across backbones (RQ5).</w:t>
      </w:r>
    </w:p>
    <w:p>
      <w:pPr>
        <w:spacing w:after="100" w:before="220"/>
        <w:jc w:val="center"/>
      </w:pPr>
      <w:r>
        <w:rPr>
          <w:rFonts w:ascii="Times New Roman" w:cs="Times New Roman" w:eastAsia="Times New Roman" w:hAnsi="Times New Roman"/>
          <w:b/>
          <w:bCs/>
          <w:color w:val="000000"/>
          <w:sz w:val="20"/>
          <w:szCs w:val="20"/>
        </w:rPr>
        <w:t xml:space="preserve">VII. Results</w:t>
      </w:r>
    </w:p>
    <w:p>
      <w:pPr>
        <w:spacing w:after="120"/>
        <w:ind w:firstLine="200"/>
        <w:jc w:val="both"/>
      </w:pPr>
      <w:r>
        <w:rPr>
          <w:rFonts w:ascii="Times New Roman" w:cs="Times New Roman" w:eastAsia="Times New Roman" w:hAnsi="Times New Roman"/>
          <w:sz w:val="20"/>
          <w:szCs w:val="20"/>
        </w:rPr>
        <w:t xml:space="preserve">Quantitative results are not yet available; all entries below are placeholders, to be populated once experimentation on the target split is complete. No numerical values have been invented for either table, and the same reporting convention — [TBD] rather than an estimated or illustrative number — will be used consistently for any additional metric added during experimentation, so that no cell in the final manuscript is ever left ambiguous between a genuine result and a placeholder.</w:t>
      </w:r>
    </w:p>
    <w:p>
      <w:pPr>
        <w:spacing w:after="80" w:before="140"/>
      </w:pPr>
      <w:r>
        <w:rPr>
          <w:rFonts w:ascii="Times New Roman" w:cs="Times New Roman" w:eastAsia="Times New Roman" w:hAnsi="Times New Roman"/>
          <w:i/>
          <w:iCs/>
          <w:color w:val="000000"/>
          <w:sz w:val="20"/>
          <w:szCs w:val="20"/>
        </w:rPr>
        <w:t xml:space="preserve">A. Classification and Severity Performance</w:t>
      </w:r>
    </w:p>
    <w:p>
      <w:pPr>
        <w:spacing w:after="120"/>
        <w:ind w:firstLine="200"/>
        <w:jc w:val="both"/>
      </w:pPr>
      <w:r>
        <w:rPr>
          <w:rFonts w:ascii="Times New Roman" w:cs="Times New Roman" w:eastAsia="Times New Roman" w:hAnsi="Times New Roman"/>
          <w:sz w:val="20"/>
          <w:szCs w:val="20"/>
        </w:rPr>
        <w:t xml:space="preserve">Table IV reports the per-backbone four-class and binary accuracy, together with macro-averaged F1, for the candidate architectures listed in Section IV-C, evaluated on the held-out test split described in Section V-B. These figures are the direct counterparts of the published numbers already summarized in Table I and referenced throughout Section VIII.</w:t>
      </w:r>
    </w:p>
    <w:p>
      <w:pPr>
        <w:spacing w:after="60" w:before="140"/>
        <w:jc w:val="center"/>
      </w:pPr>
      <w:r>
        <w:rPr>
          <w:rFonts w:ascii="Times New Roman" w:cs="Times New Roman" w:eastAsia="Times New Roman" w:hAnsi="Times New Roman"/>
          <w:b/>
          <w:bCs/>
          <w:sz w:val="16"/>
          <w:szCs w:val="16"/>
        </w:rPr>
        <w:t xml:space="preserve">TABLE IV. Per-Backbone Classification Results — [TBD]</w:t>
      </w:r>
    </w:p>
    <w:tbl>
      <w:tblPr>
        <w:tblW w:type="dxa" w:w="5076"/>
        <w:tblBorders>
          <w:top w:val="single" w:color="auto" w:sz="4"/>
          <w:left w:val="single" w:color="auto" w:sz="4"/>
          <w:bottom w:val="single" w:color="auto" w:sz="4"/>
          <w:right w:val="single" w:color="auto" w:sz="4"/>
          <w:insideH w:val="single" w:color="auto" w:sz="4"/>
          <w:insideV w:val="single" w:color="auto" w:sz="4"/>
        </w:tblBorders>
      </w:tblPr>
      <w:tblGrid>
        <w:gridCol w:w="1800"/>
        <w:gridCol w:w="1100"/>
        <w:gridCol w:w="1100"/>
        <w:gridCol w:w="1076"/>
      </w:tblGrid>
      <w:tr>
        <w:trPr>
          <w:tblHeader/>
        </w:trPr>
        <w:tc>
          <w:tcPr>
            <w:tcW w:type="dxa" w:w="1800"/>
            <w:shd w:fill="D9E2F3" w:val="clear"/>
            <w:tcMar>
              <w:top w:type="dxa" w:w="40"/>
              <w:left w:type="dxa" w:w="60"/>
              <w:bottom w:type="dxa" w:w="40"/>
              <w:right w:type="dxa" w:w="60"/>
            </w:tcMar>
          </w:tcPr>
          <w:p>
            <w:pPr>
              <w:jc w:val="left"/>
            </w:pPr>
            <w:r>
              <w:rPr>
                <w:rFonts w:ascii="Times New Roman" w:cs="Times New Roman" w:eastAsia="Times New Roman" w:hAnsi="Times New Roman"/>
                <w:b/>
                <w:bCs/>
                <w:sz w:val="16"/>
                <w:szCs w:val="16"/>
              </w:rPr>
              <w:t xml:space="preserve">Backbone</w:t>
            </w:r>
          </w:p>
        </w:tc>
        <w:tc>
          <w:tcPr>
            <w:tcW w:type="dxa" w:w="1100"/>
            <w:shd w:fill="D9E2F3" w:val="clear"/>
            <w:tcMar>
              <w:top w:type="dxa" w:w="40"/>
              <w:left w:type="dxa" w:w="60"/>
              <w:bottom w:type="dxa" w:w="40"/>
              <w:right w:type="dxa" w:w="60"/>
            </w:tcMar>
          </w:tcPr>
          <w:p>
            <w:pPr>
              <w:jc w:val="left"/>
            </w:pPr>
            <w:r>
              <w:rPr>
                <w:rFonts w:ascii="Times New Roman" w:cs="Times New Roman" w:eastAsia="Times New Roman" w:hAnsi="Times New Roman"/>
                <w:b/>
                <w:bCs/>
                <w:sz w:val="16"/>
                <w:szCs w:val="16"/>
              </w:rPr>
              <w:t xml:space="preserve">4-class Acc.</w:t>
            </w:r>
          </w:p>
        </w:tc>
        <w:tc>
          <w:tcPr>
            <w:tcW w:type="dxa" w:w="1100"/>
            <w:shd w:fill="D9E2F3" w:val="clear"/>
            <w:tcMar>
              <w:top w:type="dxa" w:w="40"/>
              <w:left w:type="dxa" w:w="60"/>
              <w:bottom w:type="dxa" w:w="40"/>
              <w:right w:type="dxa" w:w="60"/>
            </w:tcMar>
          </w:tcPr>
          <w:p>
            <w:pPr>
              <w:jc w:val="left"/>
            </w:pPr>
            <w:r>
              <w:rPr>
                <w:rFonts w:ascii="Times New Roman" w:cs="Times New Roman" w:eastAsia="Times New Roman" w:hAnsi="Times New Roman"/>
                <w:b/>
                <w:bCs/>
                <w:sz w:val="16"/>
                <w:szCs w:val="16"/>
              </w:rPr>
              <w:t xml:space="preserve">Binary Acc.</w:t>
            </w:r>
          </w:p>
        </w:tc>
        <w:tc>
          <w:tcPr>
            <w:tcW w:type="dxa" w:w="1076"/>
            <w:shd w:fill="D9E2F3" w:val="clear"/>
            <w:tcMar>
              <w:top w:type="dxa" w:w="40"/>
              <w:left w:type="dxa" w:w="60"/>
              <w:bottom w:type="dxa" w:w="40"/>
              <w:right w:type="dxa" w:w="60"/>
            </w:tcMar>
          </w:tcPr>
          <w:p>
            <w:pPr>
              <w:jc w:val="left"/>
            </w:pPr>
            <w:r>
              <w:rPr>
                <w:rFonts w:ascii="Times New Roman" w:cs="Times New Roman" w:eastAsia="Times New Roman" w:hAnsi="Times New Roman"/>
                <w:b/>
                <w:bCs/>
                <w:sz w:val="16"/>
                <w:szCs w:val="16"/>
              </w:rPr>
              <w:t xml:space="preserve">Macro-F1</w:t>
            </w:r>
          </w:p>
        </w:tc>
      </w:tr>
      <w:tr>
        <w:tc>
          <w:tcPr>
            <w:tcW w:type="dxa" w:w="1800"/>
            <w:tcMar>
              <w:top w:type="dxa" w:w="40"/>
              <w:left w:type="dxa" w:w="60"/>
              <w:bottom w:type="dxa" w:w="40"/>
              <w:right w:type="dxa" w:w="60"/>
            </w:tcMar>
          </w:tcPr>
          <w:p>
            <w:pPr>
              <w:jc w:val="left"/>
            </w:pPr>
            <w:r>
              <w:rPr>
                <w:rFonts w:ascii="Times New Roman" w:cs="Times New Roman" w:eastAsia="Times New Roman" w:hAnsi="Times New Roman"/>
                <w:b w:val="false"/>
                <w:bCs w:val="false"/>
                <w:sz w:val="16"/>
                <w:szCs w:val="16"/>
              </w:rPr>
              <w:t xml:space="preserve">Custom CNN</w:t>
            </w:r>
          </w:p>
        </w:tc>
        <w:tc>
          <w:tcPr>
            <w:tcW w:type="dxa" w:w="1100"/>
            <w:tcMar>
              <w:top w:type="dxa" w:w="40"/>
              <w:left w:type="dxa" w:w="60"/>
              <w:bottom w:type="dxa" w:w="40"/>
              <w:right w:type="dxa" w:w="60"/>
            </w:tcMar>
          </w:tcPr>
          <w:p>
            <w:pPr>
              <w:jc w:val="left"/>
            </w:pPr>
            <w:r>
              <w:rPr>
                <w:rFonts w:ascii="Times New Roman" w:cs="Times New Roman" w:eastAsia="Times New Roman" w:hAnsi="Times New Roman"/>
                <w:b w:val="false"/>
                <w:bCs w:val="false"/>
                <w:sz w:val="16"/>
                <w:szCs w:val="16"/>
              </w:rPr>
              <w:t xml:space="preserve">[TBD]</w:t>
            </w:r>
          </w:p>
        </w:tc>
        <w:tc>
          <w:tcPr>
            <w:tcW w:type="dxa" w:w="1100"/>
            <w:tcMar>
              <w:top w:type="dxa" w:w="40"/>
              <w:left w:type="dxa" w:w="60"/>
              <w:bottom w:type="dxa" w:w="40"/>
              <w:right w:type="dxa" w:w="60"/>
            </w:tcMar>
          </w:tcPr>
          <w:p>
            <w:pPr>
              <w:jc w:val="left"/>
            </w:pPr>
            <w:r>
              <w:rPr>
                <w:rFonts w:ascii="Times New Roman" w:cs="Times New Roman" w:eastAsia="Times New Roman" w:hAnsi="Times New Roman"/>
                <w:b w:val="false"/>
                <w:bCs w:val="false"/>
                <w:sz w:val="16"/>
                <w:szCs w:val="16"/>
              </w:rPr>
              <w:t xml:space="preserve">[TBD]</w:t>
            </w:r>
          </w:p>
        </w:tc>
        <w:tc>
          <w:tcPr>
            <w:tcW w:type="dxa" w:w="1076"/>
            <w:tcMar>
              <w:top w:type="dxa" w:w="40"/>
              <w:left w:type="dxa" w:w="60"/>
              <w:bottom w:type="dxa" w:w="40"/>
              <w:right w:type="dxa" w:w="60"/>
            </w:tcMar>
          </w:tcPr>
          <w:p>
            <w:pPr>
              <w:jc w:val="left"/>
            </w:pPr>
            <w:r>
              <w:rPr>
                <w:rFonts w:ascii="Times New Roman" w:cs="Times New Roman" w:eastAsia="Times New Roman" w:hAnsi="Times New Roman"/>
                <w:b w:val="false"/>
                <w:bCs w:val="false"/>
                <w:sz w:val="16"/>
                <w:szCs w:val="16"/>
              </w:rPr>
              <w:t xml:space="preserve">[TBD]</w:t>
            </w:r>
          </w:p>
        </w:tc>
      </w:tr>
      <w:tr>
        <w:tc>
          <w:tcPr>
            <w:tcW w:type="dxa" w:w="1800"/>
            <w:tcMar>
              <w:top w:type="dxa" w:w="40"/>
              <w:left w:type="dxa" w:w="60"/>
              <w:bottom w:type="dxa" w:w="40"/>
              <w:right w:type="dxa" w:w="60"/>
            </w:tcMar>
          </w:tcPr>
          <w:p>
            <w:pPr>
              <w:jc w:val="left"/>
            </w:pPr>
            <w:r>
              <w:rPr>
                <w:rFonts w:ascii="Times New Roman" w:cs="Times New Roman" w:eastAsia="Times New Roman" w:hAnsi="Times New Roman"/>
                <w:b w:val="false"/>
                <w:bCs w:val="false"/>
                <w:sz w:val="16"/>
                <w:szCs w:val="16"/>
              </w:rPr>
              <w:t xml:space="preserve">MobileNetV2</w:t>
            </w:r>
          </w:p>
        </w:tc>
        <w:tc>
          <w:tcPr>
            <w:tcW w:type="dxa" w:w="1100"/>
            <w:tcMar>
              <w:top w:type="dxa" w:w="40"/>
              <w:left w:type="dxa" w:w="60"/>
              <w:bottom w:type="dxa" w:w="40"/>
              <w:right w:type="dxa" w:w="60"/>
            </w:tcMar>
          </w:tcPr>
          <w:p>
            <w:pPr>
              <w:jc w:val="left"/>
            </w:pPr>
            <w:r>
              <w:rPr>
                <w:rFonts w:ascii="Times New Roman" w:cs="Times New Roman" w:eastAsia="Times New Roman" w:hAnsi="Times New Roman"/>
                <w:b w:val="false"/>
                <w:bCs w:val="false"/>
                <w:sz w:val="16"/>
                <w:szCs w:val="16"/>
              </w:rPr>
              <w:t xml:space="preserve">[TBD]</w:t>
            </w:r>
          </w:p>
        </w:tc>
        <w:tc>
          <w:tcPr>
            <w:tcW w:type="dxa" w:w="1100"/>
            <w:tcMar>
              <w:top w:type="dxa" w:w="40"/>
              <w:left w:type="dxa" w:w="60"/>
              <w:bottom w:type="dxa" w:w="40"/>
              <w:right w:type="dxa" w:w="60"/>
            </w:tcMar>
          </w:tcPr>
          <w:p>
            <w:pPr>
              <w:jc w:val="left"/>
            </w:pPr>
            <w:r>
              <w:rPr>
                <w:rFonts w:ascii="Times New Roman" w:cs="Times New Roman" w:eastAsia="Times New Roman" w:hAnsi="Times New Roman"/>
                <w:b w:val="false"/>
                <w:bCs w:val="false"/>
                <w:sz w:val="16"/>
                <w:szCs w:val="16"/>
              </w:rPr>
              <w:t xml:space="preserve">[TBD]</w:t>
            </w:r>
          </w:p>
        </w:tc>
        <w:tc>
          <w:tcPr>
            <w:tcW w:type="dxa" w:w="1076"/>
            <w:tcMar>
              <w:top w:type="dxa" w:w="40"/>
              <w:left w:type="dxa" w:w="60"/>
              <w:bottom w:type="dxa" w:w="40"/>
              <w:right w:type="dxa" w:w="60"/>
            </w:tcMar>
          </w:tcPr>
          <w:p>
            <w:pPr>
              <w:jc w:val="left"/>
            </w:pPr>
            <w:r>
              <w:rPr>
                <w:rFonts w:ascii="Times New Roman" w:cs="Times New Roman" w:eastAsia="Times New Roman" w:hAnsi="Times New Roman"/>
                <w:b w:val="false"/>
                <w:bCs w:val="false"/>
                <w:sz w:val="16"/>
                <w:szCs w:val="16"/>
              </w:rPr>
              <w:t xml:space="preserve">[TBD]</w:t>
            </w:r>
          </w:p>
        </w:tc>
      </w:tr>
      <w:tr>
        <w:tc>
          <w:tcPr>
            <w:tcW w:type="dxa" w:w="1800"/>
            <w:tcMar>
              <w:top w:type="dxa" w:w="40"/>
              <w:left w:type="dxa" w:w="60"/>
              <w:bottom w:type="dxa" w:w="40"/>
              <w:right w:type="dxa" w:w="60"/>
            </w:tcMar>
          </w:tcPr>
          <w:p>
            <w:pPr>
              <w:jc w:val="left"/>
            </w:pPr>
            <w:r>
              <w:rPr>
                <w:rFonts w:ascii="Times New Roman" w:cs="Times New Roman" w:eastAsia="Times New Roman" w:hAnsi="Times New Roman"/>
                <w:b w:val="false"/>
                <w:bCs w:val="false"/>
                <w:sz w:val="16"/>
                <w:szCs w:val="16"/>
              </w:rPr>
              <w:t xml:space="preserve">EfficientNet-B0</w:t>
            </w:r>
          </w:p>
        </w:tc>
        <w:tc>
          <w:tcPr>
            <w:tcW w:type="dxa" w:w="1100"/>
            <w:tcMar>
              <w:top w:type="dxa" w:w="40"/>
              <w:left w:type="dxa" w:w="60"/>
              <w:bottom w:type="dxa" w:w="40"/>
              <w:right w:type="dxa" w:w="60"/>
            </w:tcMar>
          </w:tcPr>
          <w:p>
            <w:pPr>
              <w:jc w:val="left"/>
            </w:pPr>
            <w:r>
              <w:rPr>
                <w:rFonts w:ascii="Times New Roman" w:cs="Times New Roman" w:eastAsia="Times New Roman" w:hAnsi="Times New Roman"/>
                <w:b w:val="false"/>
                <w:bCs w:val="false"/>
                <w:sz w:val="16"/>
                <w:szCs w:val="16"/>
              </w:rPr>
              <w:t xml:space="preserve">[TBD]</w:t>
            </w:r>
          </w:p>
        </w:tc>
        <w:tc>
          <w:tcPr>
            <w:tcW w:type="dxa" w:w="1100"/>
            <w:tcMar>
              <w:top w:type="dxa" w:w="40"/>
              <w:left w:type="dxa" w:w="60"/>
              <w:bottom w:type="dxa" w:w="40"/>
              <w:right w:type="dxa" w:w="60"/>
            </w:tcMar>
          </w:tcPr>
          <w:p>
            <w:pPr>
              <w:jc w:val="left"/>
            </w:pPr>
            <w:r>
              <w:rPr>
                <w:rFonts w:ascii="Times New Roman" w:cs="Times New Roman" w:eastAsia="Times New Roman" w:hAnsi="Times New Roman"/>
                <w:b w:val="false"/>
                <w:bCs w:val="false"/>
                <w:sz w:val="16"/>
                <w:szCs w:val="16"/>
              </w:rPr>
              <w:t xml:space="preserve">[TBD]</w:t>
            </w:r>
          </w:p>
        </w:tc>
        <w:tc>
          <w:tcPr>
            <w:tcW w:type="dxa" w:w="1076"/>
            <w:tcMar>
              <w:top w:type="dxa" w:w="40"/>
              <w:left w:type="dxa" w:w="60"/>
              <w:bottom w:type="dxa" w:w="40"/>
              <w:right w:type="dxa" w:w="60"/>
            </w:tcMar>
          </w:tcPr>
          <w:p>
            <w:pPr>
              <w:jc w:val="left"/>
            </w:pPr>
            <w:r>
              <w:rPr>
                <w:rFonts w:ascii="Times New Roman" w:cs="Times New Roman" w:eastAsia="Times New Roman" w:hAnsi="Times New Roman"/>
                <w:b w:val="false"/>
                <w:bCs w:val="false"/>
                <w:sz w:val="16"/>
                <w:szCs w:val="16"/>
              </w:rPr>
              <w:t xml:space="preserve">[TBD]</w:t>
            </w:r>
          </w:p>
        </w:tc>
      </w:tr>
      <w:tr>
        <w:tc>
          <w:tcPr>
            <w:tcW w:type="dxa" w:w="1800"/>
            <w:tcMar>
              <w:top w:type="dxa" w:w="40"/>
              <w:left w:type="dxa" w:w="60"/>
              <w:bottom w:type="dxa" w:w="40"/>
              <w:right w:type="dxa" w:w="60"/>
            </w:tcMar>
          </w:tcPr>
          <w:p>
            <w:pPr>
              <w:jc w:val="left"/>
            </w:pPr>
            <w:r>
              <w:rPr>
                <w:rFonts w:ascii="Times New Roman" w:cs="Times New Roman" w:eastAsia="Times New Roman" w:hAnsi="Times New Roman"/>
                <w:b w:val="false"/>
                <w:bCs w:val="false"/>
                <w:sz w:val="16"/>
                <w:szCs w:val="16"/>
              </w:rPr>
              <w:t xml:space="preserve">ResNet-18/50</w:t>
            </w:r>
          </w:p>
        </w:tc>
        <w:tc>
          <w:tcPr>
            <w:tcW w:type="dxa" w:w="1100"/>
            <w:tcMar>
              <w:top w:type="dxa" w:w="40"/>
              <w:left w:type="dxa" w:w="60"/>
              <w:bottom w:type="dxa" w:w="40"/>
              <w:right w:type="dxa" w:w="60"/>
            </w:tcMar>
          </w:tcPr>
          <w:p>
            <w:pPr>
              <w:jc w:val="left"/>
            </w:pPr>
            <w:r>
              <w:rPr>
                <w:rFonts w:ascii="Times New Roman" w:cs="Times New Roman" w:eastAsia="Times New Roman" w:hAnsi="Times New Roman"/>
                <w:b w:val="false"/>
                <w:bCs w:val="false"/>
                <w:sz w:val="16"/>
                <w:szCs w:val="16"/>
              </w:rPr>
              <w:t xml:space="preserve">[TBD]</w:t>
            </w:r>
          </w:p>
        </w:tc>
        <w:tc>
          <w:tcPr>
            <w:tcW w:type="dxa" w:w="1100"/>
            <w:tcMar>
              <w:top w:type="dxa" w:w="40"/>
              <w:left w:type="dxa" w:w="60"/>
              <w:bottom w:type="dxa" w:w="40"/>
              <w:right w:type="dxa" w:w="60"/>
            </w:tcMar>
          </w:tcPr>
          <w:p>
            <w:pPr>
              <w:jc w:val="left"/>
            </w:pPr>
            <w:r>
              <w:rPr>
                <w:rFonts w:ascii="Times New Roman" w:cs="Times New Roman" w:eastAsia="Times New Roman" w:hAnsi="Times New Roman"/>
                <w:b w:val="false"/>
                <w:bCs w:val="false"/>
                <w:sz w:val="16"/>
                <w:szCs w:val="16"/>
              </w:rPr>
              <w:t xml:space="preserve">[TBD]</w:t>
            </w:r>
          </w:p>
        </w:tc>
        <w:tc>
          <w:tcPr>
            <w:tcW w:type="dxa" w:w="1076"/>
            <w:tcMar>
              <w:top w:type="dxa" w:w="40"/>
              <w:left w:type="dxa" w:w="60"/>
              <w:bottom w:type="dxa" w:w="40"/>
              <w:right w:type="dxa" w:w="60"/>
            </w:tcMar>
          </w:tcPr>
          <w:p>
            <w:pPr>
              <w:jc w:val="left"/>
            </w:pPr>
            <w:r>
              <w:rPr>
                <w:rFonts w:ascii="Times New Roman" w:cs="Times New Roman" w:eastAsia="Times New Roman" w:hAnsi="Times New Roman"/>
                <w:b w:val="false"/>
                <w:bCs w:val="false"/>
                <w:sz w:val="16"/>
                <w:szCs w:val="16"/>
              </w:rPr>
              <w:t xml:space="preserve">[TBD]</w:t>
            </w:r>
          </w:p>
        </w:tc>
      </w:tr>
    </w:tbl>
    <w:p>
      <w:pPr>
        <w:spacing w:after="80" w:before="140"/>
      </w:pPr>
      <w:r>
        <w:rPr>
          <w:rFonts w:ascii="Times New Roman" w:cs="Times New Roman" w:eastAsia="Times New Roman" w:hAnsi="Times New Roman"/>
          <w:i/>
          <w:iCs/>
          <w:color w:val="000000"/>
          <w:sz w:val="20"/>
          <w:szCs w:val="20"/>
        </w:rPr>
        <w:t xml:space="preserve">B. Ablation Study</w:t>
      </w:r>
    </w:p>
    <w:p>
      <w:pPr>
        <w:spacing w:after="60" w:before="140"/>
        <w:jc w:val="center"/>
      </w:pPr>
      <w:r>
        <w:rPr>
          <w:rFonts w:ascii="Times New Roman" w:cs="Times New Roman" w:eastAsia="Times New Roman" w:hAnsi="Times New Roman"/>
          <w:b/>
          <w:bCs/>
          <w:sz w:val="16"/>
          <w:szCs w:val="16"/>
        </w:rPr>
        <w:t xml:space="preserve">TABLE V. Ablation of Proposed Components — [TBD]</w:t>
      </w:r>
    </w:p>
    <w:tbl>
      <w:tblPr>
        <w:tblW w:type="dxa" w:w="5076"/>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900"/>
        <w:gridCol w:w="1076"/>
      </w:tblGrid>
      <w:tr>
        <w:trPr>
          <w:tblHeader/>
        </w:trPr>
        <w:tc>
          <w:tcPr>
            <w:tcW w:type="dxa" w:w="2200"/>
            <w:shd w:fill="D9E2F3" w:val="clear"/>
            <w:tcMar>
              <w:top w:type="dxa" w:w="40"/>
              <w:left w:type="dxa" w:w="60"/>
              <w:bottom w:type="dxa" w:w="40"/>
              <w:right w:type="dxa" w:w="60"/>
            </w:tcMar>
          </w:tcPr>
          <w:p>
            <w:pPr>
              <w:jc w:val="left"/>
            </w:pPr>
            <w:r>
              <w:rPr>
                <w:rFonts w:ascii="Times New Roman" w:cs="Times New Roman" w:eastAsia="Times New Roman" w:hAnsi="Times New Roman"/>
                <w:b/>
                <w:bCs/>
                <w:sz w:val="16"/>
                <w:szCs w:val="16"/>
              </w:rPr>
              <w:t xml:space="preserve">Configuration</w:t>
            </w:r>
          </w:p>
        </w:tc>
        <w:tc>
          <w:tcPr>
            <w:tcW w:type="dxa" w:w="900"/>
            <w:shd w:fill="D9E2F3" w:val="clear"/>
            <w:tcMar>
              <w:top w:type="dxa" w:w="40"/>
              <w:left w:type="dxa" w:w="60"/>
              <w:bottom w:type="dxa" w:w="40"/>
              <w:right w:type="dxa" w:w="60"/>
            </w:tcMar>
          </w:tcPr>
          <w:p>
            <w:pPr>
              <w:jc w:val="left"/>
            </w:pPr>
            <w:r>
              <w:rPr>
                <w:rFonts w:ascii="Times New Roman" w:cs="Times New Roman" w:eastAsia="Times New Roman" w:hAnsi="Times New Roman"/>
                <w:b/>
                <w:bCs/>
                <w:sz w:val="16"/>
                <w:szCs w:val="16"/>
              </w:rPr>
              <w:t xml:space="preserve">Acc.</w:t>
            </w:r>
          </w:p>
        </w:tc>
        <w:tc>
          <w:tcPr>
            <w:tcW w:type="dxa" w:w="900"/>
            <w:shd w:fill="D9E2F3" w:val="clear"/>
            <w:tcMar>
              <w:top w:type="dxa" w:w="40"/>
              <w:left w:type="dxa" w:w="60"/>
              <w:bottom w:type="dxa" w:w="40"/>
              <w:right w:type="dxa" w:w="60"/>
            </w:tcMar>
          </w:tcPr>
          <w:p>
            <w:pPr>
              <w:jc w:val="left"/>
            </w:pPr>
            <w:r>
              <w:rPr>
                <w:rFonts w:ascii="Times New Roman" w:cs="Times New Roman" w:eastAsia="Times New Roman" w:hAnsi="Times New Roman"/>
                <w:b/>
                <w:bCs/>
                <w:sz w:val="16"/>
                <w:szCs w:val="16"/>
              </w:rPr>
              <w:t xml:space="preserve">F1</w:t>
            </w:r>
          </w:p>
        </w:tc>
        <w:tc>
          <w:tcPr>
            <w:tcW w:type="dxa" w:w="1076"/>
            <w:shd w:fill="D9E2F3" w:val="clear"/>
            <w:tcMar>
              <w:top w:type="dxa" w:w="40"/>
              <w:left w:type="dxa" w:w="60"/>
              <w:bottom w:type="dxa" w:w="40"/>
              <w:right w:type="dxa" w:w="60"/>
            </w:tcMar>
          </w:tcPr>
          <w:p>
            <w:pPr>
              <w:jc w:val="left"/>
            </w:pPr>
            <w:r>
              <w:rPr>
                <w:rFonts w:ascii="Times New Roman" w:cs="Times New Roman" w:eastAsia="Times New Roman" w:hAnsi="Times New Roman"/>
                <w:b/>
                <w:bCs/>
                <w:sz w:val="16"/>
                <w:szCs w:val="16"/>
              </w:rPr>
              <w:t xml:space="preserve">ECE</w:t>
            </w:r>
          </w:p>
        </w:tc>
      </w:tr>
      <w:tr>
        <w:tc>
          <w:tcPr>
            <w:tcW w:type="dxa" w:w="2200"/>
            <w:tcMar>
              <w:top w:type="dxa" w:w="40"/>
              <w:left w:type="dxa" w:w="60"/>
              <w:bottom w:type="dxa" w:w="40"/>
              <w:right w:type="dxa" w:w="60"/>
            </w:tcMar>
          </w:tcPr>
          <w:p>
            <w:pPr>
              <w:jc w:val="left"/>
            </w:pPr>
            <w:r>
              <w:rPr>
                <w:rFonts w:ascii="Times New Roman" w:cs="Times New Roman" w:eastAsia="Times New Roman" w:hAnsi="Times New Roman"/>
                <w:b w:val="false"/>
                <w:bCs w:val="false"/>
                <w:sz w:val="16"/>
                <w:szCs w:val="16"/>
              </w:rPr>
              <w:t xml:space="preserve">Single-frame, softmax (baseline)</w:t>
            </w:r>
          </w:p>
        </w:tc>
        <w:tc>
          <w:tcPr>
            <w:tcW w:type="dxa" w:w="900"/>
            <w:tcMar>
              <w:top w:type="dxa" w:w="40"/>
              <w:left w:type="dxa" w:w="60"/>
              <w:bottom w:type="dxa" w:w="40"/>
              <w:right w:type="dxa" w:w="60"/>
            </w:tcMar>
          </w:tcPr>
          <w:p>
            <w:pPr>
              <w:jc w:val="left"/>
            </w:pPr>
            <w:r>
              <w:rPr>
                <w:rFonts w:ascii="Times New Roman" w:cs="Times New Roman" w:eastAsia="Times New Roman" w:hAnsi="Times New Roman"/>
                <w:b w:val="false"/>
                <w:bCs w:val="false"/>
                <w:sz w:val="16"/>
                <w:szCs w:val="16"/>
              </w:rPr>
              <w:t xml:space="preserve">[TBD]</w:t>
            </w:r>
          </w:p>
        </w:tc>
        <w:tc>
          <w:tcPr>
            <w:tcW w:type="dxa" w:w="900"/>
            <w:tcMar>
              <w:top w:type="dxa" w:w="40"/>
              <w:left w:type="dxa" w:w="60"/>
              <w:bottom w:type="dxa" w:w="40"/>
              <w:right w:type="dxa" w:w="60"/>
            </w:tcMar>
          </w:tcPr>
          <w:p>
            <w:pPr>
              <w:jc w:val="left"/>
            </w:pPr>
            <w:r>
              <w:rPr>
                <w:rFonts w:ascii="Times New Roman" w:cs="Times New Roman" w:eastAsia="Times New Roman" w:hAnsi="Times New Roman"/>
                <w:b w:val="false"/>
                <w:bCs w:val="false"/>
                <w:sz w:val="16"/>
                <w:szCs w:val="16"/>
              </w:rPr>
              <w:t xml:space="preserve">[TBD]</w:t>
            </w:r>
          </w:p>
        </w:tc>
        <w:tc>
          <w:tcPr>
            <w:tcW w:type="dxa" w:w="1076"/>
            <w:tcMar>
              <w:top w:type="dxa" w:w="40"/>
              <w:left w:type="dxa" w:w="60"/>
              <w:bottom w:type="dxa" w:w="40"/>
              <w:right w:type="dxa" w:w="60"/>
            </w:tcMar>
          </w:tcPr>
          <w:p>
            <w:pPr>
              <w:jc w:val="left"/>
            </w:pPr>
            <w:r>
              <w:rPr>
                <w:rFonts w:ascii="Times New Roman" w:cs="Times New Roman" w:eastAsia="Times New Roman" w:hAnsi="Times New Roman"/>
                <w:b w:val="false"/>
                <w:bCs w:val="false"/>
                <w:sz w:val="16"/>
                <w:szCs w:val="16"/>
              </w:rPr>
              <w:t xml:space="preserve">[TBD]</w:t>
            </w:r>
          </w:p>
        </w:tc>
      </w:tr>
      <w:tr>
        <w:tc>
          <w:tcPr>
            <w:tcW w:type="dxa" w:w="2200"/>
            <w:tcMar>
              <w:top w:type="dxa" w:w="40"/>
              <w:left w:type="dxa" w:w="60"/>
              <w:bottom w:type="dxa" w:w="40"/>
              <w:right w:type="dxa" w:w="60"/>
            </w:tcMar>
          </w:tcPr>
          <w:p>
            <w:pPr>
              <w:jc w:val="left"/>
            </w:pPr>
            <w:r>
              <w:rPr>
                <w:rFonts w:ascii="Times New Roman" w:cs="Times New Roman" w:eastAsia="Times New Roman" w:hAnsi="Times New Roman"/>
                <w:b w:val="false"/>
                <w:bCs w:val="false"/>
                <w:sz w:val="16"/>
                <w:szCs w:val="16"/>
              </w:rPr>
              <w:t xml:space="preserve">+ quality gating</w:t>
            </w:r>
          </w:p>
        </w:tc>
        <w:tc>
          <w:tcPr>
            <w:tcW w:type="dxa" w:w="900"/>
            <w:tcMar>
              <w:top w:type="dxa" w:w="40"/>
              <w:left w:type="dxa" w:w="60"/>
              <w:bottom w:type="dxa" w:w="40"/>
              <w:right w:type="dxa" w:w="60"/>
            </w:tcMar>
          </w:tcPr>
          <w:p>
            <w:pPr>
              <w:jc w:val="left"/>
            </w:pPr>
            <w:r>
              <w:rPr>
                <w:rFonts w:ascii="Times New Roman" w:cs="Times New Roman" w:eastAsia="Times New Roman" w:hAnsi="Times New Roman"/>
                <w:b w:val="false"/>
                <w:bCs w:val="false"/>
                <w:sz w:val="16"/>
                <w:szCs w:val="16"/>
              </w:rPr>
              <w:t xml:space="preserve">[TBD]</w:t>
            </w:r>
          </w:p>
        </w:tc>
        <w:tc>
          <w:tcPr>
            <w:tcW w:type="dxa" w:w="900"/>
            <w:tcMar>
              <w:top w:type="dxa" w:w="40"/>
              <w:left w:type="dxa" w:w="60"/>
              <w:bottom w:type="dxa" w:w="40"/>
              <w:right w:type="dxa" w:w="60"/>
            </w:tcMar>
          </w:tcPr>
          <w:p>
            <w:pPr>
              <w:jc w:val="left"/>
            </w:pPr>
            <w:r>
              <w:rPr>
                <w:rFonts w:ascii="Times New Roman" w:cs="Times New Roman" w:eastAsia="Times New Roman" w:hAnsi="Times New Roman"/>
                <w:b w:val="false"/>
                <w:bCs w:val="false"/>
                <w:sz w:val="16"/>
                <w:szCs w:val="16"/>
              </w:rPr>
              <w:t xml:space="preserve">[TBD]</w:t>
            </w:r>
          </w:p>
        </w:tc>
        <w:tc>
          <w:tcPr>
            <w:tcW w:type="dxa" w:w="1076"/>
            <w:tcMar>
              <w:top w:type="dxa" w:w="40"/>
              <w:left w:type="dxa" w:w="60"/>
              <w:bottom w:type="dxa" w:w="40"/>
              <w:right w:type="dxa" w:w="60"/>
            </w:tcMar>
          </w:tcPr>
          <w:p>
            <w:pPr>
              <w:jc w:val="left"/>
            </w:pPr>
            <w:r>
              <w:rPr>
                <w:rFonts w:ascii="Times New Roman" w:cs="Times New Roman" w:eastAsia="Times New Roman" w:hAnsi="Times New Roman"/>
                <w:b w:val="false"/>
                <w:bCs w:val="false"/>
                <w:sz w:val="16"/>
                <w:szCs w:val="16"/>
              </w:rPr>
              <w:t xml:space="preserve">[TBD]</w:t>
            </w:r>
          </w:p>
        </w:tc>
      </w:tr>
      <w:tr>
        <w:tc>
          <w:tcPr>
            <w:tcW w:type="dxa" w:w="2200"/>
            <w:tcMar>
              <w:top w:type="dxa" w:w="40"/>
              <w:left w:type="dxa" w:w="60"/>
              <w:bottom w:type="dxa" w:w="40"/>
              <w:right w:type="dxa" w:w="60"/>
            </w:tcMar>
          </w:tcPr>
          <w:p>
            <w:pPr>
              <w:jc w:val="left"/>
            </w:pPr>
            <w:r>
              <w:rPr>
                <w:rFonts w:ascii="Times New Roman" w:cs="Times New Roman" w:eastAsia="Times New Roman" w:hAnsi="Times New Roman"/>
                <w:b w:val="false"/>
                <w:bCs w:val="false"/>
                <w:sz w:val="16"/>
                <w:szCs w:val="16"/>
              </w:rPr>
              <w:t xml:space="preserve">+ ordinal severity</w:t>
            </w:r>
          </w:p>
        </w:tc>
        <w:tc>
          <w:tcPr>
            <w:tcW w:type="dxa" w:w="900"/>
            <w:tcMar>
              <w:top w:type="dxa" w:w="40"/>
              <w:left w:type="dxa" w:w="60"/>
              <w:bottom w:type="dxa" w:w="40"/>
              <w:right w:type="dxa" w:w="60"/>
            </w:tcMar>
          </w:tcPr>
          <w:p>
            <w:pPr>
              <w:jc w:val="left"/>
            </w:pPr>
            <w:r>
              <w:rPr>
                <w:rFonts w:ascii="Times New Roman" w:cs="Times New Roman" w:eastAsia="Times New Roman" w:hAnsi="Times New Roman"/>
                <w:b w:val="false"/>
                <w:bCs w:val="false"/>
                <w:sz w:val="16"/>
                <w:szCs w:val="16"/>
              </w:rPr>
              <w:t xml:space="preserve">[TBD]</w:t>
            </w:r>
          </w:p>
        </w:tc>
        <w:tc>
          <w:tcPr>
            <w:tcW w:type="dxa" w:w="900"/>
            <w:tcMar>
              <w:top w:type="dxa" w:w="40"/>
              <w:left w:type="dxa" w:w="60"/>
              <w:bottom w:type="dxa" w:w="40"/>
              <w:right w:type="dxa" w:w="60"/>
            </w:tcMar>
          </w:tcPr>
          <w:p>
            <w:pPr>
              <w:jc w:val="left"/>
            </w:pPr>
            <w:r>
              <w:rPr>
                <w:rFonts w:ascii="Times New Roman" w:cs="Times New Roman" w:eastAsia="Times New Roman" w:hAnsi="Times New Roman"/>
                <w:b w:val="false"/>
                <w:bCs w:val="false"/>
                <w:sz w:val="16"/>
                <w:szCs w:val="16"/>
              </w:rPr>
              <w:t xml:space="preserve">[TBD]</w:t>
            </w:r>
          </w:p>
        </w:tc>
        <w:tc>
          <w:tcPr>
            <w:tcW w:type="dxa" w:w="1076"/>
            <w:tcMar>
              <w:top w:type="dxa" w:w="40"/>
              <w:left w:type="dxa" w:w="60"/>
              <w:bottom w:type="dxa" w:w="40"/>
              <w:right w:type="dxa" w:w="60"/>
            </w:tcMar>
          </w:tcPr>
          <w:p>
            <w:pPr>
              <w:jc w:val="left"/>
            </w:pPr>
            <w:r>
              <w:rPr>
                <w:rFonts w:ascii="Times New Roman" w:cs="Times New Roman" w:eastAsia="Times New Roman" w:hAnsi="Times New Roman"/>
                <w:b w:val="false"/>
                <w:bCs w:val="false"/>
                <w:sz w:val="16"/>
                <w:szCs w:val="16"/>
              </w:rPr>
              <w:t xml:space="preserve">[TBD]</w:t>
            </w:r>
          </w:p>
        </w:tc>
      </w:tr>
      <w:tr>
        <w:tc>
          <w:tcPr>
            <w:tcW w:type="dxa" w:w="2200"/>
            <w:tcMar>
              <w:top w:type="dxa" w:w="40"/>
              <w:left w:type="dxa" w:w="60"/>
              <w:bottom w:type="dxa" w:w="40"/>
              <w:right w:type="dxa" w:w="60"/>
            </w:tcMar>
          </w:tcPr>
          <w:p>
            <w:pPr>
              <w:jc w:val="left"/>
            </w:pPr>
            <w:r>
              <w:rPr>
                <w:rFonts w:ascii="Times New Roman" w:cs="Times New Roman" w:eastAsia="Times New Roman" w:hAnsi="Times New Roman"/>
                <w:b w:val="false"/>
                <w:bCs w:val="false"/>
                <w:sz w:val="16"/>
                <w:szCs w:val="16"/>
              </w:rPr>
              <w:t xml:space="preserve">Full proposed framework</w:t>
            </w:r>
          </w:p>
        </w:tc>
        <w:tc>
          <w:tcPr>
            <w:tcW w:type="dxa" w:w="900"/>
            <w:tcMar>
              <w:top w:type="dxa" w:w="40"/>
              <w:left w:type="dxa" w:w="60"/>
              <w:bottom w:type="dxa" w:w="40"/>
              <w:right w:type="dxa" w:w="60"/>
            </w:tcMar>
          </w:tcPr>
          <w:p>
            <w:pPr>
              <w:jc w:val="left"/>
            </w:pPr>
            <w:r>
              <w:rPr>
                <w:rFonts w:ascii="Times New Roman" w:cs="Times New Roman" w:eastAsia="Times New Roman" w:hAnsi="Times New Roman"/>
                <w:b w:val="false"/>
                <w:bCs w:val="false"/>
                <w:sz w:val="16"/>
                <w:szCs w:val="16"/>
              </w:rPr>
              <w:t xml:space="preserve">[TBD]</w:t>
            </w:r>
          </w:p>
        </w:tc>
        <w:tc>
          <w:tcPr>
            <w:tcW w:type="dxa" w:w="900"/>
            <w:tcMar>
              <w:top w:type="dxa" w:w="40"/>
              <w:left w:type="dxa" w:w="60"/>
              <w:bottom w:type="dxa" w:w="40"/>
              <w:right w:type="dxa" w:w="60"/>
            </w:tcMar>
          </w:tcPr>
          <w:p>
            <w:pPr>
              <w:jc w:val="left"/>
            </w:pPr>
            <w:r>
              <w:rPr>
                <w:rFonts w:ascii="Times New Roman" w:cs="Times New Roman" w:eastAsia="Times New Roman" w:hAnsi="Times New Roman"/>
                <w:b w:val="false"/>
                <w:bCs w:val="false"/>
                <w:sz w:val="16"/>
                <w:szCs w:val="16"/>
              </w:rPr>
              <w:t xml:space="preserve">[TBD]</w:t>
            </w:r>
          </w:p>
        </w:tc>
        <w:tc>
          <w:tcPr>
            <w:tcW w:type="dxa" w:w="1076"/>
            <w:tcMar>
              <w:top w:type="dxa" w:w="40"/>
              <w:left w:type="dxa" w:w="60"/>
              <w:bottom w:type="dxa" w:w="40"/>
              <w:right w:type="dxa" w:w="60"/>
            </w:tcMar>
          </w:tcPr>
          <w:p>
            <w:pPr>
              <w:jc w:val="left"/>
            </w:pPr>
            <w:r>
              <w:rPr>
                <w:rFonts w:ascii="Times New Roman" w:cs="Times New Roman" w:eastAsia="Times New Roman" w:hAnsi="Times New Roman"/>
                <w:b w:val="false"/>
                <w:bCs w:val="false"/>
                <w:sz w:val="16"/>
                <w:szCs w:val="16"/>
              </w:rPr>
              <w:t xml:space="preserve">[TBD]</w:t>
            </w:r>
          </w:p>
        </w:tc>
      </w:tr>
    </w:tbl>
    <w:p>
      <w:pPr>
        <w:spacing w:after="80" w:before="140"/>
      </w:pPr>
      <w:r>
        <w:rPr>
          <w:rFonts w:ascii="Times New Roman" w:cs="Times New Roman" w:eastAsia="Times New Roman" w:hAnsi="Times New Roman"/>
          <w:i/>
          <w:iCs/>
          <w:color w:val="000000"/>
          <w:sz w:val="20"/>
          <w:szCs w:val="20"/>
        </w:rPr>
        <w:t xml:space="preserve">C. Robustness Under Simulated Degradation</w:t>
      </w:r>
    </w:p>
    <w:p>
      <w:pPr>
        <w:spacing w:after="60" w:before="140"/>
        <w:jc w:val="center"/>
      </w:pPr>
      <w:r>
        <w:rPr>
          <w:rFonts w:ascii="Times New Roman" w:cs="Times New Roman" w:eastAsia="Times New Roman" w:hAnsi="Times New Roman"/>
          <w:b/>
          <w:bCs/>
          <w:sz w:val="16"/>
          <w:szCs w:val="16"/>
        </w:rPr>
        <w:t xml:space="preserve">TABLE VI. Robustness Under Simulated Degradation — [TBD]</w:t>
      </w:r>
    </w:p>
    <w:tbl>
      <w:tblPr>
        <w:tblW w:type="dxa" w:w="5076"/>
        <w:tblBorders>
          <w:top w:val="single" w:color="auto" w:sz="4"/>
          <w:left w:val="single" w:color="auto" w:sz="4"/>
          <w:bottom w:val="single" w:color="auto" w:sz="4"/>
          <w:right w:val="single" w:color="auto" w:sz="4"/>
          <w:insideH w:val="single" w:color="auto" w:sz="4"/>
          <w:insideV w:val="single" w:color="auto" w:sz="4"/>
        </w:tblBorders>
      </w:tblPr>
      <w:tblGrid>
        <w:gridCol w:w="2400"/>
        <w:gridCol w:w="892"/>
        <w:gridCol w:w="892"/>
        <w:gridCol w:w="892"/>
      </w:tblGrid>
      <w:tr>
        <w:trPr>
          <w:tblHeader/>
        </w:trPr>
        <w:tc>
          <w:tcPr>
            <w:tcW w:type="dxa" w:w="2400"/>
            <w:shd w:fill="D9E2F3" w:val="clear"/>
            <w:tcMar>
              <w:top w:type="dxa" w:w="40"/>
              <w:left w:type="dxa" w:w="60"/>
              <w:bottom w:type="dxa" w:w="40"/>
              <w:right w:type="dxa" w:w="60"/>
            </w:tcMar>
          </w:tcPr>
          <w:p>
            <w:pPr>
              <w:jc w:val="left"/>
            </w:pPr>
            <w:r>
              <w:rPr>
                <w:rFonts w:ascii="Times New Roman" w:cs="Times New Roman" w:eastAsia="Times New Roman" w:hAnsi="Times New Roman"/>
                <w:b/>
                <w:bCs/>
                <w:sz w:val="16"/>
                <w:szCs w:val="16"/>
              </w:rPr>
              <w:t xml:space="preserve">Corruption Type</w:t>
            </w:r>
          </w:p>
        </w:tc>
        <w:tc>
          <w:tcPr>
            <w:tcW w:type="dxa" w:w="892"/>
            <w:shd w:fill="D9E2F3" w:val="clear"/>
            <w:tcMar>
              <w:top w:type="dxa" w:w="40"/>
              <w:left w:type="dxa" w:w="60"/>
              <w:bottom w:type="dxa" w:w="40"/>
              <w:right w:type="dxa" w:w="60"/>
            </w:tcMar>
          </w:tcPr>
          <w:p>
            <w:pPr>
              <w:jc w:val="left"/>
            </w:pPr>
            <w:r>
              <w:rPr>
                <w:rFonts w:ascii="Times New Roman" w:cs="Times New Roman" w:eastAsia="Times New Roman" w:hAnsi="Times New Roman"/>
                <w:b/>
                <w:bCs/>
                <w:sz w:val="16"/>
                <w:szCs w:val="16"/>
              </w:rPr>
              <w:t xml:space="preserve">Sev. 1</w:t>
            </w:r>
          </w:p>
        </w:tc>
        <w:tc>
          <w:tcPr>
            <w:tcW w:type="dxa" w:w="892"/>
            <w:shd w:fill="D9E2F3" w:val="clear"/>
            <w:tcMar>
              <w:top w:type="dxa" w:w="40"/>
              <w:left w:type="dxa" w:w="60"/>
              <w:bottom w:type="dxa" w:w="40"/>
              <w:right w:type="dxa" w:w="60"/>
            </w:tcMar>
          </w:tcPr>
          <w:p>
            <w:pPr>
              <w:jc w:val="left"/>
            </w:pPr>
            <w:r>
              <w:rPr>
                <w:rFonts w:ascii="Times New Roman" w:cs="Times New Roman" w:eastAsia="Times New Roman" w:hAnsi="Times New Roman"/>
                <w:b/>
                <w:bCs/>
                <w:sz w:val="16"/>
                <w:szCs w:val="16"/>
              </w:rPr>
              <w:t xml:space="preserve">Sev. 3</w:t>
            </w:r>
          </w:p>
        </w:tc>
        <w:tc>
          <w:tcPr>
            <w:tcW w:type="dxa" w:w="892"/>
            <w:shd w:fill="D9E2F3" w:val="clear"/>
            <w:tcMar>
              <w:top w:type="dxa" w:w="40"/>
              <w:left w:type="dxa" w:w="60"/>
              <w:bottom w:type="dxa" w:w="40"/>
              <w:right w:type="dxa" w:w="60"/>
            </w:tcMar>
          </w:tcPr>
          <w:p>
            <w:pPr>
              <w:jc w:val="left"/>
            </w:pPr>
            <w:r>
              <w:rPr>
                <w:rFonts w:ascii="Times New Roman" w:cs="Times New Roman" w:eastAsia="Times New Roman" w:hAnsi="Times New Roman"/>
                <w:b/>
                <w:bCs/>
                <w:sz w:val="16"/>
                <w:szCs w:val="16"/>
              </w:rPr>
              <w:t xml:space="preserve">Sev. 5</w:t>
            </w:r>
          </w:p>
        </w:tc>
      </w:tr>
      <w:tr>
        <w:tc>
          <w:tcPr>
            <w:tcW w:type="dxa" w:w="2400"/>
            <w:tcMar>
              <w:top w:type="dxa" w:w="40"/>
              <w:left w:type="dxa" w:w="60"/>
              <w:bottom w:type="dxa" w:w="40"/>
              <w:right w:type="dxa" w:w="60"/>
            </w:tcMar>
          </w:tcPr>
          <w:p>
            <w:pPr>
              <w:jc w:val="left"/>
            </w:pPr>
            <w:r>
              <w:rPr>
                <w:rFonts w:ascii="Times New Roman" w:cs="Times New Roman" w:eastAsia="Times New Roman" w:hAnsi="Times New Roman"/>
                <w:b w:val="false"/>
                <w:bCs w:val="false"/>
                <w:sz w:val="16"/>
                <w:szCs w:val="16"/>
              </w:rPr>
              <w:t xml:space="preserve">Gaussian blur</w:t>
            </w:r>
          </w:p>
        </w:tc>
        <w:tc>
          <w:tcPr>
            <w:tcW w:type="dxa" w:w="892"/>
            <w:tcMar>
              <w:top w:type="dxa" w:w="40"/>
              <w:left w:type="dxa" w:w="60"/>
              <w:bottom w:type="dxa" w:w="40"/>
              <w:right w:type="dxa" w:w="60"/>
            </w:tcMar>
          </w:tcPr>
          <w:p>
            <w:pPr>
              <w:jc w:val="left"/>
            </w:pPr>
            <w:r>
              <w:rPr>
                <w:rFonts w:ascii="Times New Roman" w:cs="Times New Roman" w:eastAsia="Times New Roman" w:hAnsi="Times New Roman"/>
                <w:b w:val="false"/>
                <w:bCs w:val="false"/>
                <w:sz w:val="16"/>
                <w:szCs w:val="16"/>
              </w:rPr>
              <w:t xml:space="preserve">[TBD]</w:t>
            </w:r>
          </w:p>
        </w:tc>
        <w:tc>
          <w:tcPr>
            <w:tcW w:type="dxa" w:w="892"/>
            <w:tcMar>
              <w:top w:type="dxa" w:w="40"/>
              <w:left w:type="dxa" w:w="60"/>
              <w:bottom w:type="dxa" w:w="40"/>
              <w:right w:type="dxa" w:w="60"/>
            </w:tcMar>
          </w:tcPr>
          <w:p>
            <w:pPr>
              <w:jc w:val="left"/>
            </w:pPr>
            <w:r>
              <w:rPr>
                <w:rFonts w:ascii="Times New Roman" w:cs="Times New Roman" w:eastAsia="Times New Roman" w:hAnsi="Times New Roman"/>
                <w:b w:val="false"/>
                <w:bCs w:val="false"/>
                <w:sz w:val="16"/>
                <w:szCs w:val="16"/>
              </w:rPr>
              <w:t xml:space="preserve">[TBD]</w:t>
            </w:r>
          </w:p>
        </w:tc>
        <w:tc>
          <w:tcPr>
            <w:tcW w:type="dxa" w:w="892"/>
            <w:tcMar>
              <w:top w:type="dxa" w:w="40"/>
              <w:left w:type="dxa" w:w="60"/>
              <w:bottom w:type="dxa" w:w="40"/>
              <w:right w:type="dxa" w:w="60"/>
            </w:tcMar>
          </w:tcPr>
          <w:p>
            <w:pPr>
              <w:jc w:val="left"/>
            </w:pPr>
            <w:r>
              <w:rPr>
                <w:rFonts w:ascii="Times New Roman" w:cs="Times New Roman" w:eastAsia="Times New Roman" w:hAnsi="Times New Roman"/>
                <w:b w:val="false"/>
                <w:bCs w:val="false"/>
                <w:sz w:val="16"/>
                <w:szCs w:val="16"/>
              </w:rPr>
              <w:t xml:space="preserve">[TBD]</w:t>
            </w:r>
          </w:p>
        </w:tc>
      </w:tr>
      <w:tr>
        <w:tc>
          <w:tcPr>
            <w:tcW w:type="dxa" w:w="2400"/>
            <w:tcMar>
              <w:top w:type="dxa" w:w="40"/>
              <w:left w:type="dxa" w:w="60"/>
              <w:bottom w:type="dxa" w:w="40"/>
              <w:right w:type="dxa" w:w="60"/>
            </w:tcMar>
          </w:tcPr>
          <w:p>
            <w:pPr>
              <w:jc w:val="left"/>
            </w:pPr>
            <w:r>
              <w:rPr>
                <w:rFonts w:ascii="Times New Roman" w:cs="Times New Roman" w:eastAsia="Times New Roman" w:hAnsi="Times New Roman"/>
                <w:b w:val="false"/>
                <w:bCs w:val="false"/>
                <w:sz w:val="16"/>
                <w:szCs w:val="16"/>
              </w:rPr>
              <w:t xml:space="preserve">Additive noise</w:t>
            </w:r>
          </w:p>
        </w:tc>
        <w:tc>
          <w:tcPr>
            <w:tcW w:type="dxa" w:w="892"/>
            <w:tcMar>
              <w:top w:type="dxa" w:w="40"/>
              <w:left w:type="dxa" w:w="60"/>
              <w:bottom w:type="dxa" w:w="40"/>
              <w:right w:type="dxa" w:w="60"/>
            </w:tcMar>
          </w:tcPr>
          <w:p>
            <w:pPr>
              <w:jc w:val="left"/>
            </w:pPr>
            <w:r>
              <w:rPr>
                <w:rFonts w:ascii="Times New Roman" w:cs="Times New Roman" w:eastAsia="Times New Roman" w:hAnsi="Times New Roman"/>
                <w:b w:val="false"/>
                <w:bCs w:val="false"/>
                <w:sz w:val="16"/>
                <w:szCs w:val="16"/>
              </w:rPr>
              <w:t xml:space="preserve">[TBD]</w:t>
            </w:r>
          </w:p>
        </w:tc>
        <w:tc>
          <w:tcPr>
            <w:tcW w:type="dxa" w:w="892"/>
            <w:tcMar>
              <w:top w:type="dxa" w:w="40"/>
              <w:left w:type="dxa" w:w="60"/>
              <w:bottom w:type="dxa" w:w="40"/>
              <w:right w:type="dxa" w:w="60"/>
            </w:tcMar>
          </w:tcPr>
          <w:p>
            <w:pPr>
              <w:jc w:val="left"/>
            </w:pPr>
            <w:r>
              <w:rPr>
                <w:rFonts w:ascii="Times New Roman" w:cs="Times New Roman" w:eastAsia="Times New Roman" w:hAnsi="Times New Roman"/>
                <w:b w:val="false"/>
                <w:bCs w:val="false"/>
                <w:sz w:val="16"/>
                <w:szCs w:val="16"/>
              </w:rPr>
              <w:t xml:space="preserve">[TBD]</w:t>
            </w:r>
          </w:p>
        </w:tc>
        <w:tc>
          <w:tcPr>
            <w:tcW w:type="dxa" w:w="892"/>
            <w:tcMar>
              <w:top w:type="dxa" w:w="40"/>
              <w:left w:type="dxa" w:w="60"/>
              <w:bottom w:type="dxa" w:w="40"/>
              <w:right w:type="dxa" w:w="60"/>
            </w:tcMar>
          </w:tcPr>
          <w:p>
            <w:pPr>
              <w:jc w:val="left"/>
            </w:pPr>
            <w:r>
              <w:rPr>
                <w:rFonts w:ascii="Times New Roman" w:cs="Times New Roman" w:eastAsia="Times New Roman" w:hAnsi="Times New Roman"/>
                <w:b w:val="false"/>
                <w:bCs w:val="false"/>
                <w:sz w:val="16"/>
                <w:szCs w:val="16"/>
              </w:rPr>
              <w:t xml:space="preserve">[TBD]</w:t>
            </w:r>
          </w:p>
        </w:tc>
      </w:tr>
      <w:tr>
        <w:tc>
          <w:tcPr>
            <w:tcW w:type="dxa" w:w="2400"/>
            <w:tcMar>
              <w:top w:type="dxa" w:w="40"/>
              <w:left w:type="dxa" w:w="60"/>
              <w:bottom w:type="dxa" w:w="40"/>
              <w:right w:type="dxa" w:w="60"/>
            </w:tcMar>
          </w:tcPr>
          <w:p>
            <w:pPr>
              <w:jc w:val="left"/>
            </w:pPr>
            <w:r>
              <w:rPr>
                <w:rFonts w:ascii="Times New Roman" w:cs="Times New Roman" w:eastAsia="Times New Roman" w:hAnsi="Times New Roman"/>
                <w:b w:val="false"/>
                <w:bCs w:val="false"/>
                <w:sz w:val="16"/>
                <w:szCs w:val="16"/>
              </w:rPr>
              <w:t xml:space="preserve">Brightness/contrast shift</w:t>
            </w:r>
          </w:p>
        </w:tc>
        <w:tc>
          <w:tcPr>
            <w:tcW w:type="dxa" w:w="892"/>
            <w:tcMar>
              <w:top w:type="dxa" w:w="40"/>
              <w:left w:type="dxa" w:w="60"/>
              <w:bottom w:type="dxa" w:w="40"/>
              <w:right w:type="dxa" w:w="60"/>
            </w:tcMar>
          </w:tcPr>
          <w:p>
            <w:pPr>
              <w:jc w:val="left"/>
            </w:pPr>
            <w:r>
              <w:rPr>
                <w:rFonts w:ascii="Times New Roman" w:cs="Times New Roman" w:eastAsia="Times New Roman" w:hAnsi="Times New Roman"/>
                <w:b w:val="false"/>
                <w:bCs w:val="false"/>
                <w:sz w:val="16"/>
                <w:szCs w:val="16"/>
              </w:rPr>
              <w:t xml:space="preserve">[TBD]</w:t>
            </w:r>
          </w:p>
        </w:tc>
        <w:tc>
          <w:tcPr>
            <w:tcW w:type="dxa" w:w="892"/>
            <w:tcMar>
              <w:top w:type="dxa" w:w="40"/>
              <w:left w:type="dxa" w:w="60"/>
              <w:bottom w:type="dxa" w:w="40"/>
              <w:right w:type="dxa" w:w="60"/>
            </w:tcMar>
          </w:tcPr>
          <w:p>
            <w:pPr>
              <w:jc w:val="left"/>
            </w:pPr>
            <w:r>
              <w:rPr>
                <w:rFonts w:ascii="Times New Roman" w:cs="Times New Roman" w:eastAsia="Times New Roman" w:hAnsi="Times New Roman"/>
                <w:b w:val="false"/>
                <w:bCs w:val="false"/>
                <w:sz w:val="16"/>
                <w:szCs w:val="16"/>
              </w:rPr>
              <w:t xml:space="preserve">[TBD]</w:t>
            </w:r>
          </w:p>
        </w:tc>
        <w:tc>
          <w:tcPr>
            <w:tcW w:type="dxa" w:w="892"/>
            <w:tcMar>
              <w:top w:type="dxa" w:w="40"/>
              <w:left w:type="dxa" w:w="60"/>
              <w:bottom w:type="dxa" w:w="40"/>
              <w:right w:type="dxa" w:w="60"/>
            </w:tcMar>
          </w:tcPr>
          <w:p>
            <w:pPr>
              <w:jc w:val="left"/>
            </w:pPr>
            <w:r>
              <w:rPr>
                <w:rFonts w:ascii="Times New Roman" w:cs="Times New Roman" w:eastAsia="Times New Roman" w:hAnsi="Times New Roman"/>
                <w:b w:val="false"/>
                <w:bCs w:val="false"/>
                <w:sz w:val="16"/>
                <w:szCs w:val="16"/>
              </w:rPr>
              <w:t xml:space="preserve">[TBD]</w:t>
            </w:r>
          </w:p>
        </w:tc>
      </w:tr>
      <w:tr>
        <w:tc>
          <w:tcPr>
            <w:tcW w:type="dxa" w:w="2400"/>
            <w:tcMar>
              <w:top w:type="dxa" w:w="40"/>
              <w:left w:type="dxa" w:w="60"/>
              <w:bottom w:type="dxa" w:w="40"/>
              <w:right w:type="dxa" w:w="60"/>
            </w:tcMar>
          </w:tcPr>
          <w:p>
            <w:pPr>
              <w:jc w:val="left"/>
            </w:pPr>
            <w:r>
              <w:rPr>
                <w:rFonts w:ascii="Times New Roman" w:cs="Times New Roman" w:eastAsia="Times New Roman" w:hAnsi="Times New Roman"/>
                <w:b w:val="false"/>
                <w:bCs w:val="false"/>
                <w:sz w:val="16"/>
                <w:szCs w:val="16"/>
              </w:rPr>
              <w:t xml:space="preserve">JPEG compression</w:t>
            </w:r>
          </w:p>
        </w:tc>
        <w:tc>
          <w:tcPr>
            <w:tcW w:type="dxa" w:w="892"/>
            <w:tcMar>
              <w:top w:type="dxa" w:w="40"/>
              <w:left w:type="dxa" w:w="60"/>
              <w:bottom w:type="dxa" w:w="40"/>
              <w:right w:type="dxa" w:w="60"/>
            </w:tcMar>
          </w:tcPr>
          <w:p>
            <w:pPr>
              <w:jc w:val="left"/>
            </w:pPr>
            <w:r>
              <w:rPr>
                <w:rFonts w:ascii="Times New Roman" w:cs="Times New Roman" w:eastAsia="Times New Roman" w:hAnsi="Times New Roman"/>
                <w:b w:val="false"/>
                <w:bCs w:val="false"/>
                <w:sz w:val="16"/>
                <w:szCs w:val="16"/>
              </w:rPr>
              <w:t xml:space="preserve">[TBD]</w:t>
            </w:r>
          </w:p>
        </w:tc>
        <w:tc>
          <w:tcPr>
            <w:tcW w:type="dxa" w:w="892"/>
            <w:tcMar>
              <w:top w:type="dxa" w:w="40"/>
              <w:left w:type="dxa" w:w="60"/>
              <w:bottom w:type="dxa" w:w="40"/>
              <w:right w:type="dxa" w:w="60"/>
            </w:tcMar>
          </w:tcPr>
          <w:p>
            <w:pPr>
              <w:jc w:val="left"/>
            </w:pPr>
            <w:r>
              <w:rPr>
                <w:rFonts w:ascii="Times New Roman" w:cs="Times New Roman" w:eastAsia="Times New Roman" w:hAnsi="Times New Roman"/>
                <w:b w:val="false"/>
                <w:bCs w:val="false"/>
                <w:sz w:val="16"/>
                <w:szCs w:val="16"/>
              </w:rPr>
              <w:t xml:space="preserve">[TBD]</w:t>
            </w:r>
          </w:p>
        </w:tc>
        <w:tc>
          <w:tcPr>
            <w:tcW w:type="dxa" w:w="892"/>
            <w:tcMar>
              <w:top w:type="dxa" w:w="40"/>
              <w:left w:type="dxa" w:w="60"/>
              <w:bottom w:type="dxa" w:w="40"/>
              <w:right w:type="dxa" w:w="60"/>
            </w:tcMar>
          </w:tcPr>
          <w:p>
            <w:pPr>
              <w:jc w:val="left"/>
            </w:pPr>
            <w:r>
              <w:rPr>
                <w:rFonts w:ascii="Times New Roman" w:cs="Times New Roman" w:eastAsia="Times New Roman" w:hAnsi="Times New Roman"/>
                <w:b w:val="false"/>
                <w:bCs w:val="false"/>
                <w:sz w:val="16"/>
                <w:szCs w:val="16"/>
              </w:rPr>
              <w:t xml:space="preserve">[TBD]</w:t>
            </w:r>
          </w:p>
        </w:tc>
      </w:tr>
    </w:tbl>
    <w:p>
      <w:pPr>
        <w:spacing w:after="120"/>
        <w:ind w:firstLine="200"/>
        <w:jc w:val="both"/>
      </w:pPr>
      <w:r>
        <w:rPr>
          <w:rFonts w:ascii="Times New Roman" w:cs="Times New Roman" w:eastAsia="Times New Roman" w:hAnsi="Times New Roman"/>
          <w:sz w:val="20"/>
          <w:szCs w:val="20"/>
        </w:rPr>
        <w:t xml:space="preserve">Per-backbone computational-efficiency figures (Section VI-h) will be reported in the same tabular format, together with the accuracy–rejection and reliability curves for the uncertainty estimator, in the completed manuscript.</w:t>
      </w:r>
    </w:p>
    <w:p>
      <w:pPr>
        <w:pBdr>
          <w:top w:val="single" w:color="999999" w:sz="4"/>
          <w:bottom w:val="single" w:color="999999" w:sz="4"/>
          <w:left w:val="single" w:color="999999" w:sz="4"/>
          <w:right w:val="single" w:color="999999" w:sz="4"/>
        </w:pBdr>
        <w:spacing w:after="40" w:before="140"/>
        <w:jc w:val="center"/>
      </w:pPr>
      <w:r>
        <w:rPr>
          <w:rFonts w:ascii="Times New Roman" w:cs="Times New Roman" w:eastAsia="Times New Roman" w:hAnsi="Times New Roman"/>
          <w:b/>
          <w:bCs/>
          <w:i/>
          <w:iCs/>
          <w:sz w:val="18"/>
          <w:szCs w:val="18"/>
        </w:rPr>
        <w:t xml:space="preserve">[INSERT FIGURE 4 HERE]</w:t>
      </w:r>
    </w:p>
    <w:p>
      <w:pPr>
        <w:spacing w:after="140"/>
        <w:jc w:val="center"/>
      </w:pPr>
      <w:r>
        <w:rPr>
          <w:rFonts w:ascii="Times New Roman" w:cs="Times New Roman" w:eastAsia="Times New Roman" w:hAnsi="Times New Roman"/>
          <w:i/>
          <w:iCs/>
          <w:sz w:val="16"/>
          <w:szCs w:val="16"/>
        </w:rPr>
        <w:t xml:space="preserve">Fig. 4. [Confusion matrix, robustness curve, and reliability diagram for the best-performing configuration — to be inserted once results are available.]</w:t>
      </w:r>
    </w:p>
    <w:p>
      <w:pPr>
        <w:spacing w:after="100" w:before="220"/>
        <w:jc w:val="center"/>
      </w:pPr>
      <w:r>
        <w:rPr>
          <w:rFonts w:ascii="Times New Roman" w:cs="Times New Roman" w:eastAsia="Times New Roman" w:hAnsi="Times New Roman"/>
          <w:b/>
          <w:bCs/>
          <w:color w:val="000000"/>
          <w:sz w:val="20"/>
          <w:szCs w:val="20"/>
        </w:rPr>
        <w:t xml:space="preserve">VIII. Discussion</w:t>
      </w:r>
    </w:p>
    <w:p>
      <w:pPr>
        <w:spacing w:after="120"/>
        <w:ind w:firstLine="200"/>
        <w:jc w:val="both"/>
      </w:pPr>
      <w:r>
        <w:rPr>
          <w:rFonts w:ascii="Times New Roman" w:cs="Times New Roman" w:eastAsia="Times New Roman" w:hAnsi="Times New Roman"/>
          <w:sz w:val="20"/>
          <w:szCs w:val="20"/>
        </w:rPr>
        <w:t xml:space="preserve">As the experiments in Sections V–VII are not yet complete, this section outlines the interpretive framework that will be used once results are available; it does not present findings of its own.</w:t>
      </w:r>
    </w:p>
    <w:p>
      <w:pPr>
        <w:spacing w:after="80" w:before="140"/>
      </w:pPr>
      <w:r>
        <w:rPr>
          <w:rFonts w:ascii="Times New Roman" w:cs="Times New Roman" w:eastAsia="Times New Roman" w:hAnsi="Times New Roman"/>
          <w:i/>
          <w:iCs/>
          <w:color w:val="000000"/>
          <w:sz w:val="20"/>
          <w:szCs w:val="20"/>
        </w:rPr>
        <w:t xml:space="preserve">A. Severity-Aware and Quality-Aware Components</w:t>
      </w:r>
    </w:p>
    <w:p>
      <w:pPr>
        <w:spacing w:after="120"/>
        <w:ind w:firstLine="200"/>
        <w:jc w:val="both"/>
      </w:pPr>
      <w:r>
        <w:rPr>
          <w:rFonts w:ascii="Times New Roman" w:cs="Times New Roman" w:eastAsia="Times New Roman" w:hAnsi="Times New Roman"/>
          <w:sz w:val="20"/>
          <w:szCs w:val="20"/>
        </w:rPr>
        <w:t xml:space="preserve">Based on the literature in Section II, the ordinal loss is expected to reduce rank error particularly for the minority moderate/mild classes (Table II), where categorical models in [26], [27] show weaker per-class recall (RQ2); a genuinely useful test of this expectation is whether the reduction persists once the class-weighting already used to address imbalance (Section V-C) is also applied to the categorical baseline, so that any observed gain can be attributed to the ordinal formulation itself rather than to imbalance handling. Quality gating is expected to matter most when a non-trivial share of candidate frames is degraded, given the magnitude of the blur-induced collapse reported in [17] (RQ1); the multi-frame ablation in Section VI-c and VI-d is designed specifically to separate the contribution of having multiple candidate frames from the contribution of the quality-scoring function itself.</w:t>
      </w:r>
    </w:p>
    <w:p>
      <w:pPr>
        <w:spacing w:after="80" w:before="140"/>
      </w:pPr>
      <w:r>
        <w:rPr>
          <w:rFonts w:ascii="Times New Roman" w:cs="Times New Roman" w:eastAsia="Times New Roman" w:hAnsi="Times New Roman"/>
          <w:i/>
          <w:iCs/>
          <w:color w:val="000000"/>
          <w:sz w:val="20"/>
          <w:szCs w:val="20"/>
        </w:rPr>
        <w:t xml:space="preserve">B. Reliability, Robustness, and Efficiency</w:t>
      </w:r>
    </w:p>
    <w:p>
      <w:pPr>
        <w:spacing w:after="120"/>
        <w:ind w:firstLine="200"/>
        <w:jc w:val="both"/>
      </w:pPr>
      <w:r>
        <w:rPr>
          <w:rFonts w:ascii="Times New Roman" w:cs="Times New Roman" w:eastAsia="Times New Roman" w:hAnsi="Times New Roman"/>
          <w:sz w:val="20"/>
          <w:szCs w:val="20"/>
        </w:rPr>
        <w:t xml:space="preserve">Temperature scaling is expected to reduce ECE without changing prediction ranking, consistent with [13] (RQ3), since the procedure is a monotonic rescaling of the logits and therefore cannot alter which class receives the highest score; the accuracy–rejection curve is the more informative diagnostic here, as it directly shows whether withholding high-entropy predictions actually improves accuracy on the retained set, which is the property that matters for the referral use case in Section IV-D. No single backbone is expected to dominate uniformly across all corruption types in Table VI-style evaluation, consistent with [14], since different architectures have been shown to trade off robustness to blur against robustness to noise or compression in ways that do not track clean-image accuracy (RQ4); the analysis will therefore report per-corruption-type rankings rather than a single averaged robustness score. The efficiency results (Section VI-h) are intended to be read alongside Table IV, not in isolation, to identify whether any backbone offers a favourable accuracy-per-parameter or accuracy-per-FPS trade-off for constrained deployment such as an on-drone or edge device (RQ5).</w:t>
      </w:r>
    </w:p>
    <w:p>
      <w:pPr>
        <w:spacing w:after="80" w:before="140"/>
      </w:pPr>
      <w:r>
        <w:rPr>
          <w:rFonts w:ascii="Times New Roman" w:cs="Times New Roman" w:eastAsia="Times New Roman" w:hAnsi="Times New Roman"/>
          <w:i/>
          <w:iCs/>
          <w:color w:val="000000"/>
          <w:sz w:val="20"/>
          <w:szCs w:val="20"/>
        </w:rPr>
        <w:t xml:space="preserve">C. Comparison With Existing Literature</w:t>
      </w:r>
    </w:p>
    <w:p>
      <w:pPr>
        <w:spacing w:after="120"/>
        <w:ind w:firstLine="200"/>
        <w:jc w:val="both"/>
      </w:pPr>
      <w:r>
        <w:rPr>
          <w:rFonts w:ascii="Times New Roman" w:cs="Times New Roman" w:eastAsia="Times New Roman" w:hAnsi="Times New Roman"/>
          <w:sz w:val="20"/>
          <w:szCs w:val="20"/>
        </w:rPr>
        <w:t xml:space="preserve">Once available, the obtained accuracies will be reported alongside the published ELPV figures from [1], [26]–[28] (68.36%/73.02% for [26], 96.4% for [27], 98.17%/97.02% for [28]) to contextualize any accuracy cost or benefit of the added severity- and uncertainty-aware components relative to these established baselines. A favourable outcome would be classification accuracy within a small margin of the strongest published figure [28] while additionally providing a calibrated confidence signal and a documented robustness profile that [28] does not report; an unfavourable outcome, in which the added components measurably reduce raw accuracy, will also be reported honestly, since the framework's value is intended to rest on reliability rather than on accuracy alone.</w:t>
      </w:r>
    </w:p>
    <w:p>
      <w:pPr>
        <w:spacing w:after="100" w:before="220"/>
        <w:jc w:val="center"/>
      </w:pPr>
      <w:r>
        <w:rPr>
          <w:rFonts w:ascii="Times New Roman" w:cs="Times New Roman" w:eastAsia="Times New Roman" w:hAnsi="Times New Roman"/>
          <w:b/>
          <w:bCs/>
          <w:color w:val="000000"/>
          <w:sz w:val="20"/>
          <w:szCs w:val="20"/>
        </w:rPr>
        <w:t xml:space="preserve">IX. Explainability Analysis</w:t>
      </w:r>
    </w:p>
    <w:p>
      <w:pPr>
        <w:spacing w:after="80" w:before="140"/>
      </w:pPr>
      <w:r>
        <w:rPr>
          <w:rFonts w:ascii="Times New Roman" w:cs="Times New Roman" w:eastAsia="Times New Roman" w:hAnsi="Times New Roman"/>
          <w:i/>
          <w:iCs/>
          <w:color w:val="000000"/>
          <w:sz w:val="20"/>
          <w:szCs w:val="20"/>
        </w:rPr>
        <w:t xml:space="preserve">A. Explainability Method</w:t>
      </w:r>
    </w:p>
    <w:p>
      <w:pPr>
        <w:spacing w:after="120"/>
        <w:ind w:firstLine="200"/>
        <w:jc w:val="both"/>
      </w:pPr>
      <w:r>
        <w:rPr>
          <w:rFonts w:ascii="Times New Roman" w:cs="Times New Roman" w:eastAsia="Times New Roman" w:hAnsi="Times New Roman"/>
          <w:sz w:val="20"/>
          <w:szCs w:val="20"/>
        </w:rPr>
        <w:t xml:space="preserve">A Grad-CAM-based qualitative analysis is planned for the final selected classifier, to visualize which image regions drive each predicted severity class, applied to the last convolutional block of the chosen backbone. Implementation details will be added once a trained model is available.</w:t>
      </w:r>
    </w:p>
    <w:p>
      <w:pPr>
        <w:spacing w:after="80" w:before="140"/>
      </w:pPr>
      <w:r>
        <w:rPr>
          <w:rFonts w:ascii="Times New Roman" w:cs="Times New Roman" w:eastAsia="Times New Roman" w:hAnsi="Times New Roman"/>
          <w:i/>
          <w:iCs/>
          <w:color w:val="000000"/>
          <w:sz w:val="20"/>
          <w:szCs w:val="20"/>
        </w:rPr>
        <w:t xml:space="preserve">B. Correct Predictions</w:t>
      </w:r>
    </w:p>
    <w:p>
      <w:pPr>
        <w:spacing w:after="120"/>
        <w:ind w:firstLine="200"/>
        <w:jc w:val="both"/>
      </w:pPr>
      <w:r>
        <w:rPr>
          <w:rFonts w:ascii="Times New Roman" w:cs="Times New Roman" w:eastAsia="Times New Roman" w:hAnsi="Times New Roman"/>
          <w:sz w:val="20"/>
          <w:szCs w:val="20"/>
        </w:rPr>
        <w:t xml:space="preserve">For confidently and correctly classified cells, attention maps are expected to localize on the physical defect region (e.g., cracks, disconnected fingers) rather than on background or busbar artefacts; this will be assessed qualitatively rather than quantitatively.</w:t>
      </w:r>
    </w:p>
    <w:p>
      <w:pPr>
        <w:spacing w:after="80" w:before="140"/>
      </w:pPr>
      <w:r>
        <w:rPr>
          <w:rFonts w:ascii="Times New Roman" w:cs="Times New Roman" w:eastAsia="Times New Roman" w:hAnsi="Times New Roman"/>
          <w:i/>
          <w:iCs/>
          <w:color w:val="000000"/>
          <w:sz w:val="20"/>
          <w:szCs w:val="20"/>
        </w:rPr>
        <w:t xml:space="preserve">C. Difficult and Uncertain Predictions</w:t>
      </w:r>
    </w:p>
    <w:p>
      <w:pPr>
        <w:spacing w:after="120"/>
        <w:ind w:firstLine="200"/>
        <w:jc w:val="both"/>
      </w:pPr>
      <w:r>
        <w:rPr>
          <w:rFonts w:ascii="Times New Roman" w:cs="Times New Roman" w:eastAsia="Times New Roman" w:hAnsi="Times New Roman"/>
          <w:sz w:val="20"/>
          <w:szCs w:val="20"/>
        </w:rPr>
        <w:t xml:space="preserve">For predictions flagged with high entropy H(x) (Eq. 5), the same attention maps will be inspected to determine whether uncertainty coincides with visually ambiguous or borderline defect regions, which would support the interpretability of the uncertainty-referral mechanism in Section IV-D. No explainability results are reported here, as this analysis has not yet been performed.</w:t>
      </w:r>
    </w:p>
    <w:p>
      <w:pPr>
        <w:spacing w:after="100" w:before="220"/>
        <w:jc w:val="center"/>
      </w:pPr>
      <w:r>
        <w:rPr>
          <w:rFonts w:ascii="Times New Roman" w:cs="Times New Roman" w:eastAsia="Times New Roman" w:hAnsi="Times New Roman"/>
          <w:b/>
          <w:bCs/>
          <w:color w:val="000000"/>
          <w:sz w:val="20"/>
          <w:szCs w:val="20"/>
        </w:rPr>
        <w:t xml:space="preserve">X. Limitations</w:t>
      </w:r>
    </w:p>
    <w:p>
      <w:pPr>
        <w:spacing w:after="120"/>
        <w:ind w:firstLine="200"/>
        <w:jc w:val="both"/>
      </w:pPr>
      <w:r>
        <w:rPr>
          <w:rFonts w:ascii="Times New Roman" w:cs="Times New Roman" w:eastAsia="Times New Roman" w:hAnsi="Times New Roman"/>
          <w:sz w:val="20"/>
          <w:szCs w:val="20"/>
        </w:rPr>
        <w:t xml:space="preserve">ELPV is a single-source, laboratory-curated dataset with only 123 moderate-class samples (Table II), limiting generalization of the ordinal comparison and of any per-class calibration analysis; a dataset this small also means that reported confidence intervals around any minority-class metric should be treated cautiously. The multi-frame and robustness evaluations (Section VI) are, at present, necessarily based on synthetically degraded ELPV images rather than genuine multi-frame field bursts, since ELPV provides one curated frame per cell; synthetic corruption is a reasonable proxy for, but not a substitute for, field validation, and the relationship between simulated and real-world degradation severity will itself need to be checked once field data becomes available. The maintenance-priority mapping (Section IV-D) is an illustrative decision-support mechanism, not validated against real maintenance outcomes, technician workflows, or industry safety standards, and the YOLO localization stage has not yet been evaluated on live or drone-acquired frames within this study. Finally, computational constraints may limit which candidate backbones and uncertainty estimators — in particular, the more expensive deep-ensemble variant — can be fully evaluated within the project scope; any such constraint will be stated explicitly rather than substituted with partial or estimated figures.</w:t>
      </w:r>
    </w:p>
    <w:p>
      <w:pPr>
        <w:spacing w:after="100" w:before="220"/>
        <w:jc w:val="center"/>
      </w:pPr>
      <w:r>
        <w:rPr>
          <w:rFonts w:ascii="Times New Roman" w:cs="Times New Roman" w:eastAsia="Times New Roman" w:hAnsi="Times New Roman"/>
          <w:b/>
          <w:bCs/>
          <w:color w:val="000000"/>
          <w:sz w:val="20"/>
          <w:szCs w:val="20"/>
        </w:rPr>
        <w:t xml:space="preserve">XI. Conclusion and Future Work</w:t>
      </w:r>
    </w:p>
    <w:p>
      <w:pPr>
        <w:spacing w:after="120"/>
        <w:ind w:firstLine="200"/>
        <w:jc w:val="both"/>
      </w:pPr>
      <w:r>
        <w:rPr>
          <w:rFonts w:ascii="Times New Roman" w:cs="Times New Roman" w:eastAsia="Times New Roman" w:hAnsi="Times New Roman"/>
          <w:sz w:val="20"/>
          <w:szCs w:val="20"/>
        </w:rPr>
        <w:t xml:space="preserve">This paper has specified a severity-aware, uncertainty-guided framework for automated PV inspection that couples quality-gated multi-frame acquisition with an ordinal severity formulation and a calibrated uncertainty estimate feeding a maintenance-priority decision. No individual component is claimed as novel; the contribution is their combination within a single evaluable pipeline and the accompanying experimental and ablation protocol, designed to test whether this combination measurably improves inspection reliability relative to a conventional single-frame, softmax-only baseline. Quantitative results were unavailable at the time of writing and are marked accordingly throughout; completed results and a final discussion of RQ1–RQ5 will be added once experimentation on the target dataset is complete.</w:t>
      </w:r>
    </w:p>
    <w:p>
      <w:pPr>
        <w:spacing w:after="120"/>
        <w:ind w:firstLine="200"/>
        <w:jc w:val="both"/>
      </w:pPr>
      <w:r>
        <w:rPr>
          <w:rFonts w:ascii="Times New Roman" w:cs="Times New Roman" w:eastAsia="Times New Roman" w:hAnsi="Times New Roman"/>
          <w:sz w:val="20"/>
          <w:szCs w:val="20"/>
        </w:rPr>
        <w:t xml:space="preserve">Future work includes replacing synthetic degradation with genuine field- or drone-acquired multi-frame bursts, multimodal fusion of RGB, thermal, and EL imagery in line with directions already flagged in [26], edge deployment of the more compact candidate backbones for on-drone inference, broader cross-site and cross-season environmental validation beyond a single laboratory-curated dataset, and a more exhaustive comparison of MC dropout, deep ensembles, and evidential deep learning for uncertainty estimation.</w:t>
      </w:r>
    </w:p>
    <w:p>
      <w:pPr>
        <w:spacing w:after="100" w:before="220"/>
        <w:jc w:val="center"/>
      </w:pPr>
      <w:r>
        <w:rPr>
          <w:rFonts w:ascii="Times New Roman" w:cs="Times New Roman" w:eastAsia="Times New Roman" w:hAnsi="Times New Roman"/>
          <w:b/>
          <w:bCs/>
          <w:color w:val="000000"/>
          <w:sz w:val="20"/>
          <w:szCs w:val="20"/>
        </w:rPr>
        <w:t xml:space="preserve">Acknowledgment</w:t>
      </w:r>
    </w:p>
    <w:p>
      <w:pPr>
        <w:spacing w:after="120"/>
        <w:ind w:firstLine="200"/>
        <w:jc w:val="both"/>
      </w:pPr>
      <w:r>
        <w:rPr>
          <w:rFonts w:ascii="Times New Roman" w:cs="Times New Roman" w:eastAsia="Times New Roman" w:hAnsi="Times New Roman"/>
          <w:sz w:val="20"/>
          <w:szCs w:val="20"/>
        </w:rPr>
        <w:t xml:space="preserve">[Funding source, institutional support, and any dataset-access or supervisory acknowledgments to be added once finalized.]</w:t>
      </w:r>
    </w:p>
    <w:p>
      <w:pPr>
        <w:spacing w:after="100" w:before="220"/>
        <w:jc w:val="center"/>
      </w:pPr>
      <w:r>
        <w:rPr>
          <w:rFonts w:ascii="Times New Roman" w:cs="Times New Roman" w:eastAsia="Times New Roman" w:hAnsi="Times New Roman"/>
          <w:b/>
          <w:bCs/>
          <w:color w:val="000000"/>
          <w:sz w:val="20"/>
          <w:szCs w:val="20"/>
        </w:rPr>
        <w:t xml:space="preserve">References</w:t>
      </w:r>
    </w:p>
    <w:p>
      <w:pPr>
        <w:spacing w:after="60"/>
        <w:ind w:left="200" w:hanging="200"/>
        <w:jc w:val="both"/>
      </w:pPr>
      <w:r>
        <w:rPr>
          <w:rFonts w:ascii="Times New Roman" w:cs="Times New Roman" w:eastAsia="Times New Roman" w:hAnsi="Times New Roman"/>
          <w:sz w:val="16"/>
          <w:szCs w:val="16"/>
        </w:rPr>
        <w:t xml:space="preserve">[1] S. Deitsch et al., "Automatic classification of defective photovoltaic module cells in electroluminescence images," Solar Energy, vol. 185, pp. 455–468, 2019.</w:t>
      </w:r>
    </w:p>
    <w:p>
      <w:pPr>
        <w:spacing w:after="60"/>
        <w:ind w:left="200" w:hanging="200"/>
        <w:jc w:val="both"/>
      </w:pPr>
      <w:r>
        <w:rPr>
          <w:rFonts w:ascii="Times New Roman" w:cs="Times New Roman" w:eastAsia="Times New Roman" w:hAnsi="Times New Roman"/>
          <w:sz w:val="16"/>
          <w:szCs w:val="16"/>
        </w:rPr>
        <w:t xml:space="preserve">[2] C. Buerhop-Lutz et al., "A benchmark for visual identification of defective solar cells in EL imagery," in Proc. EU PVSEC, 2018, pp. 1287–1289.</w:t>
      </w:r>
    </w:p>
    <w:p>
      <w:pPr>
        <w:spacing w:after="60"/>
        <w:ind w:left="200" w:hanging="200"/>
        <w:jc w:val="both"/>
      </w:pPr>
      <w:r>
        <w:rPr>
          <w:rFonts w:ascii="Times New Roman" w:cs="Times New Roman" w:eastAsia="Times New Roman" w:hAnsi="Times New Roman"/>
          <w:sz w:val="16"/>
          <w:szCs w:val="16"/>
        </w:rPr>
        <w:t xml:space="preserve">[3] U. Hijjawi, S. Lakshminarayana, T. Xu, G. P. M. Fierro, and M. Rahman, "A review of automated solar PV defect detection systems," Solar Energy, vol. 266, 2023.</w:t>
      </w:r>
    </w:p>
    <w:p>
      <w:pPr>
        <w:spacing w:after="60"/>
        <w:ind w:left="200" w:hanging="200"/>
        <w:jc w:val="both"/>
      </w:pPr>
      <w:r>
        <w:rPr>
          <w:rFonts w:ascii="Times New Roman" w:cs="Times New Roman" w:eastAsia="Times New Roman" w:hAnsi="Times New Roman"/>
          <w:sz w:val="16"/>
          <w:szCs w:val="16"/>
        </w:rPr>
        <w:t xml:space="preserve">[4] S. Bordihn, A. Fladung, J. Schlipf, and M. Köntges, "ML-based identification of field-operation caused PV panel failures in EL images," IEEE J. Photovolt., vol. 12, no. 3, pp. 827–832, 2022.</w:t>
      </w:r>
    </w:p>
    <w:p>
      <w:pPr>
        <w:spacing w:after="60"/>
        <w:ind w:left="200" w:hanging="200"/>
        <w:jc w:val="both"/>
      </w:pPr>
      <w:r>
        <w:rPr>
          <w:rFonts w:ascii="Times New Roman" w:cs="Times New Roman" w:eastAsia="Times New Roman" w:hAnsi="Times New Roman"/>
          <w:sz w:val="16"/>
          <w:szCs w:val="16"/>
        </w:rPr>
        <w:t xml:space="preserve">[5] Z. Meng et al., "Defect object detection algorithm for EL image defects of PV modules based on deep learning," Energy Sci. Eng., vol. 10, no. 3, pp. 800–813, 2022.</w:t>
      </w:r>
    </w:p>
    <w:p>
      <w:pPr>
        <w:spacing w:after="60"/>
        <w:ind w:left="200" w:hanging="200"/>
        <w:jc w:val="both"/>
      </w:pPr>
      <w:r>
        <w:rPr>
          <w:rFonts w:ascii="Times New Roman" w:cs="Times New Roman" w:eastAsia="Times New Roman" w:hAnsi="Times New Roman"/>
          <w:sz w:val="16"/>
          <w:szCs w:val="16"/>
        </w:rPr>
        <w:t xml:space="preserve">[6] Y. Cao et al., "Improved YOLOv8-GD deep learning model for defect detection in EL images of solar PV modules," Eng. Appl. Artif. Intell., vol. 131, 2024.</w:t>
      </w:r>
    </w:p>
    <w:p>
      <w:pPr>
        <w:spacing w:after="60"/>
        <w:ind w:left="200" w:hanging="200"/>
        <w:jc w:val="both"/>
      </w:pPr>
      <w:r>
        <w:rPr>
          <w:rFonts w:ascii="Times New Roman" w:cs="Times New Roman" w:eastAsia="Times New Roman" w:hAnsi="Times New Roman"/>
          <w:sz w:val="16"/>
          <w:szCs w:val="16"/>
        </w:rPr>
        <w:t xml:space="preserve">[7] J. Zhu et al., "C2DEM-YOLO: improved YOLOv8 for defect detection of PV cell modules in EL image," Nondestruct. Test. Eval., vol. 40, no. 1, pp. 309–331, 2024.</w:t>
      </w:r>
    </w:p>
    <w:p>
      <w:pPr>
        <w:spacing w:after="60"/>
        <w:ind w:left="200" w:hanging="200"/>
        <w:jc w:val="both"/>
      </w:pPr>
      <w:r>
        <w:rPr>
          <w:rFonts w:ascii="Times New Roman" w:cs="Times New Roman" w:eastAsia="Times New Roman" w:hAnsi="Times New Roman"/>
          <w:sz w:val="16"/>
          <w:szCs w:val="16"/>
        </w:rPr>
        <w:t xml:space="preserve">[8] Q. Liu, M. Liu, C. Wang, and Q. M. J. Wu, "An efficient CNN-based detector for PV module cells defect detection in EL images," Solar Energy, vol. 267, 2024.</w:t>
      </w:r>
    </w:p>
    <w:p>
      <w:pPr>
        <w:spacing w:after="60"/>
        <w:ind w:left="200" w:hanging="200"/>
        <w:jc w:val="both"/>
      </w:pPr>
      <w:r>
        <w:rPr>
          <w:rFonts w:ascii="Times New Roman" w:cs="Times New Roman" w:eastAsia="Times New Roman" w:hAnsi="Times New Roman"/>
          <w:sz w:val="16"/>
          <w:szCs w:val="16"/>
        </w:rPr>
        <w:t xml:space="preserve">[9] H. Acikgoz, D. Korkmaz, C. Bal, R. Coteli, and B. Dandil, "PVEL-ViT: Adaptive token selective ViT for PV cell defect classification in EL imaging," Appl. Soft Comput., vol. 201, 2026.</w:t>
      </w:r>
    </w:p>
    <w:p>
      <w:pPr>
        <w:spacing w:after="60"/>
        <w:ind w:left="200" w:hanging="200"/>
        <w:jc w:val="both"/>
      </w:pPr>
      <w:r>
        <w:rPr>
          <w:rFonts w:ascii="Times New Roman" w:cs="Times New Roman" w:eastAsia="Times New Roman" w:hAnsi="Times New Roman"/>
          <w:sz w:val="16"/>
          <w:szCs w:val="16"/>
        </w:rPr>
        <w:t xml:space="preserve">[10] P. Zhou, H. Fang, and G. Wu, "PDeT: A progressive deformable transformer for PV panel defect segmentation," Sensors, vol. 24, no. 21, 2024.</w:t>
      </w:r>
    </w:p>
    <w:p>
      <w:pPr>
        <w:spacing w:after="60"/>
        <w:ind w:left="200" w:hanging="200"/>
        <w:jc w:val="both"/>
      </w:pPr>
      <w:r>
        <w:rPr>
          <w:rFonts w:ascii="Times New Roman" w:cs="Times New Roman" w:eastAsia="Times New Roman" w:hAnsi="Times New Roman"/>
          <w:sz w:val="16"/>
          <w:szCs w:val="16"/>
        </w:rPr>
        <w:t xml:space="preserve">[11] Y. Gal and Z. Ghahramani, "Dropout as a Bayesian approximation," in Proc. ICML, PMLR vol. 48, 2016, pp. 1050–1059.</w:t>
      </w:r>
    </w:p>
    <w:p>
      <w:pPr>
        <w:spacing w:after="60"/>
        <w:ind w:left="200" w:hanging="200"/>
        <w:jc w:val="both"/>
      </w:pPr>
      <w:r>
        <w:rPr>
          <w:rFonts w:ascii="Times New Roman" w:cs="Times New Roman" w:eastAsia="Times New Roman" w:hAnsi="Times New Roman"/>
          <w:sz w:val="16"/>
          <w:szCs w:val="16"/>
        </w:rPr>
        <w:t xml:space="preserve">[12] B. Lakshminarayanan, A. Pritzel, and C. Blundell, "Simple and scalable predictive uncertainty estimation using deep ensembles," in Proc. NeurIPS, 2017.</w:t>
      </w:r>
    </w:p>
    <w:p>
      <w:pPr>
        <w:spacing w:after="60"/>
        <w:ind w:left="200" w:hanging="200"/>
        <w:jc w:val="both"/>
      </w:pPr>
      <w:r>
        <w:rPr>
          <w:rFonts w:ascii="Times New Roman" w:cs="Times New Roman" w:eastAsia="Times New Roman" w:hAnsi="Times New Roman"/>
          <w:sz w:val="16"/>
          <w:szCs w:val="16"/>
        </w:rPr>
        <w:t xml:space="preserve">[13] C. Guo, G. Pleiss, Y. Sun, and K. Q. Weinberger, "On calibration of modern neural networks," in Proc. ICML, PMLR vol. 70, 2017, pp. 1321–1330.</w:t>
      </w:r>
    </w:p>
    <w:p>
      <w:pPr>
        <w:spacing w:after="60"/>
        <w:ind w:left="200" w:hanging="200"/>
        <w:jc w:val="both"/>
      </w:pPr>
      <w:r>
        <w:rPr>
          <w:rFonts w:ascii="Times New Roman" w:cs="Times New Roman" w:eastAsia="Times New Roman" w:hAnsi="Times New Roman"/>
          <w:sz w:val="16"/>
          <w:szCs w:val="16"/>
        </w:rPr>
        <w:t xml:space="preserve">[14] D. Hendrycks and T. Dietterich, "Benchmarking neural network robustness to common corruptions and perturbations," in Proc. ICLR, 2019.</w:t>
      </w:r>
    </w:p>
    <w:p>
      <w:pPr>
        <w:spacing w:after="60"/>
        <w:ind w:left="200" w:hanging="200"/>
        <w:jc w:val="both"/>
      </w:pPr>
      <w:r>
        <w:rPr>
          <w:rFonts w:ascii="Times New Roman" w:cs="Times New Roman" w:eastAsia="Times New Roman" w:hAnsi="Times New Roman"/>
          <w:sz w:val="16"/>
          <w:szCs w:val="16"/>
        </w:rPr>
        <w:t xml:space="preserve">[15] W. Cao, V. Mirjalili, and S. Raschka, "Rank consistent ordinal regression for neural networks with application to age estimation," Pattern Recognit. Lett., vol. 140, pp. 325–331, 2020.</w:t>
      </w:r>
    </w:p>
    <w:p>
      <w:pPr>
        <w:spacing w:after="60"/>
        <w:ind w:left="200" w:hanging="200"/>
        <w:jc w:val="both"/>
      </w:pPr>
      <w:r>
        <w:rPr>
          <w:rFonts w:ascii="Times New Roman" w:cs="Times New Roman" w:eastAsia="Times New Roman" w:hAnsi="Times New Roman"/>
          <w:sz w:val="16"/>
          <w:szCs w:val="16"/>
        </w:rPr>
        <w:t xml:space="preserve">[16] X. Shi, W. Cao, and S. Raschka, "Deep neural networks for rank-consistent ordinal regression based on conditional probabilities," Pattern Anal. Appl., 2023.</w:t>
      </w:r>
    </w:p>
    <w:p>
      <w:pPr>
        <w:spacing w:after="60"/>
        <w:ind w:left="200" w:hanging="200"/>
        <w:jc w:val="both"/>
      </w:pPr>
      <w:r>
        <w:rPr>
          <w:rFonts w:ascii="Times New Roman" w:cs="Times New Roman" w:eastAsia="Times New Roman" w:hAnsi="Times New Roman"/>
          <w:sz w:val="16"/>
          <w:szCs w:val="16"/>
        </w:rPr>
        <w:t xml:space="preserve">[17] C. Lee, D. Kim, and D. Kim, "Optimizing deep learning-based crack detection using NR-IQA in a mobile tunnel scanning system," Sensors, vol. 25, no. 17, 2025.</w:t>
      </w:r>
    </w:p>
    <w:p>
      <w:pPr>
        <w:spacing w:after="60"/>
        <w:ind w:left="200" w:hanging="200"/>
        <w:jc w:val="both"/>
      </w:pPr>
      <w:r>
        <w:rPr>
          <w:rFonts w:ascii="Times New Roman" w:cs="Times New Roman" w:eastAsia="Times New Roman" w:hAnsi="Times New Roman"/>
          <w:sz w:val="16"/>
          <w:szCs w:val="16"/>
        </w:rPr>
        <w:t xml:space="preserve">[18] "Intelligent maintenance approaches for improving PV system performance and reliability," Solar RRL, 2025, doi:10.1002/solr.202500289.</w:t>
      </w:r>
    </w:p>
    <w:p>
      <w:pPr>
        <w:spacing w:after="60"/>
        <w:ind w:left="200" w:hanging="200"/>
        <w:jc w:val="both"/>
      </w:pPr>
      <w:r>
        <w:rPr>
          <w:rFonts w:ascii="Times New Roman" w:cs="Times New Roman" w:eastAsia="Times New Roman" w:hAnsi="Times New Roman"/>
          <w:sz w:val="16"/>
          <w:szCs w:val="16"/>
        </w:rPr>
        <w:t xml:space="preserve">[19] R. V. Vichare and S. R. Gaikwad, "AI-based predictive maintenance of solar PV systems: a comprehensive review," Energy Informatics, vol. 8, no. 1, 2025.</w:t>
      </w:r>
    </w:p>
    <w:p>
      <w:pPr>
        <w:spacing w:after="60"/>
        <w:ind w:left="200" w:hanging="200"/>
        <w:jc w:val="both"/>
      </w:pPr>
      <w:r>
        <w:rPr>
          <w:rFonts w:ascii="Times New Roman" w:cs="Times New Roman" w:eastAsia="Times New Roman" w:hAnsi="Times New Roman"/>
          <w:sz w:val="16"/>
          <w:szCs w:val="16"/>
        </w:rPr>
        <w:t xml:space="preserve">[20] Y. Ledmaoui, A. El Maghraoui, M. El Aroussi, and R. Saadane, "Review of recent advances in predictive maintenance and cybersecurity for solar plants," Sensors, vol. 25, no. 1, 2025.</w:t>
      </w:r>
    </w:p>
    <w:p>
      <w:pPr>
        <w:spacing w:after="60"/>
        <w:ind w:left="200" w:hanging="200"/>
        <w:jc w:val="both"/>
      </w:pPr>
      <w:r>
        <w:rPr>
          <w:rFonts w:ascii="Times New Roman" w:cs="Times New Roman" w:eastAsia="Times New Roman" w:hAnsi="Times New Roman"/>
          <w:sz w:val="16"/>
          <w:szCs w:val="16"/>
        </w:rPr>
        <w:t xml:space="preserve">[21] A. Krizhevsky, I. Sutskever, and G. E. Hinton, "ImageNet classification with deep CNNs," in Proc. NeurIPS, 2012, pp. 1097–1105.</w:t>
      </w:r>
    </w:p>
    <w:p>
      <w:pPr>
        <w:spacing w:after="60"/>
        <w:ind w:left="200" w:hanging="200"/>
        <w:jc w:val="both"/>
      </w:pPr>
      <w:r>
        <w:rPr>
          <w:rFonts w:ascii="Times New Roman" w:cs="Times New Roman" w:eastAsia="Times New Roman" w:hAnsi="Times New Roman"/>
          <w:sz w:val="16"/>
          <w:szCs w:val="16"/>
        </w:rPr>
        <w:t xml:space="preserve">[22] K. He, X. Zhang, S. Ren, and J. Sun, "Deep residual learning for image recognition," in Proc. CVPR, 2016, pp. 770–778.</w:t>
      </w:r>
    </w:p>
    <w:p>
      <w:pPr>
        <w:spacing w:after="60"/>
        <w:ind w:left="200" w:hanging="200"/>
        <w:jc w:val="both"/>
      </w:pPr>
      <w:r>
        <w:rPr>
          <w:rFonts w:ascii="Times New Roman" w:cs="Times New Roman" w:eastAsia="Times New Roman" w:hAnsi="Times New Roman"/>
          <w:sz w:val="16"/>
          <w:szCs w:val="16"/>
        </w:rPr>
        <w:t xml:space="preserve">[23] M. Tan and Q. Le, "EfficientNet: rethinking model scaling for CNNs," in Proc. ICML, 2019.</w:t>
      </w:r>
    </w:p>
    <w:p>
      <w:pPr>
        <w:spacing w:after="60"/>
        <w:ind w:left="200" w:hanging="200"/>
        <w:jc w:val="both"/>
      </w:pPr>
      <w:r>
        <w:rPr>
          <w:rFonts w:ascii="Times New Roman" w:cs="Times New Roman" w:eastAsia="Times New Roman" w:hAnsi="Times New Roman"/>
          <w:sz w:val="16"/>
          <w:szCs w:val="16"/>
        </w:rPr>
        <w:t xml:space="preserve">[24] A. Dosovitskiy et al., "An image is worth 16x16 words: transformers for image recognition at scale," in Proc. ICLR, 2021.</w:t>
      </w:r>
    </w:p>
    <w:p>
      <w:pPr>
        <w:spacing w:after="60"/>
        <w:ind w:left="200" w:hanging="200"/>
        <w:jc w:val="both"/>
      </w:pPr>
      <w:r>
        <w:rPr>
          <w:rFonts w:ascii="Times New Roman" w:cs="Times New Roman" w:eastAsia="Times New Roman" w:hAnsi="Times New Roman"/>
          <w:sz w:val="16"/>
          <w:szCs w:val="16"/>
        </w:rPr>
        <w:t xml:space="preserve">[25] J. Redmon and A. Farhadi, "YOLOv3: an incremental improvement," arXiv:1804.02767, 2018.</w:t>
      </w:r>
    </w:p>
    <w:p>
      <w:pPr>
        <w:spacing w:after="60"/>
        <w:ind w:left="200" w:hanging="200"/>
        <w:jc w:val="both"/>
      </w:pPr>
      <w:r>
        <w:rPr>
          <w:rFonts w:ascii="Times New Roman" w:cs="Times New Roman" w:eastAsia="Times New Roman" w:hAnsi="Times New Roman"/>
          <w:sz w:val="16"/>
          <w:szCs w:val="16"/>
        </w:rPr>
        <w:t xml:space="preserve">[26] H. Tella et al., "Solar photovoltaic panel cells defects classification using deep learning ensemble methods," Case Stud. Therm. Eng., vol. 66, 2025.</w:t>
      </w:r>
    </w:p>
    <w:p>
      <w:pPr>
        <w:spacing w:after="60"/>
        <w:ind w:left="200" w:hanging="200"/>
        <w:jc w:val="both"/>
      </w:pPr>
      <w:r>
        <w:rPr>
          <w:rFonts w:ascii="Times New Roman" w:cs="Times New Roman" w:eastAsia="Times New Roman" w:hAnsi="Times New Roman"/>
          <w:sz w:val="16"/>
          <w:szCs w:val="16"/>
        </w:rPr>
        <w:t xml:space="preserve">[27] S. Sudervel alagu sabarigiri, R. Muthueshwaran, E. Mariappan, and M. Kaliappan, "Solar panel defect classification using deep learning, transformer architectures, and hybrid ML models," Int. J. Eng. Develop. Res., vol. 14, no. 2, pp. 712–721, 2026.</w:t>
      </w:r>
    </w:p>
    <w:p>
      <w:pPr>
        <w:spacing w:after="60"/>
        <w:ind w:left="200" w:hanging="200"/>
        <w:jc w:val="both"/>
      </w:pPr>
      <w:r>
        <w:rPr>
          <w:rFonts w:ascii="Times New Roman" w:cs="Times New Roman" w:eastAsia="Times New Roman" w:hAnsi="Times New Roman"/>
          <w:sz w:val="16"/>
          <w:szCs w:val="16"/>
        </w:rPr>
        <w:t xml:space="preserve">[28] F. Demir, "Enhancing defect classification in solar panels with EL imaging and advanced ML strategies," IEEE Access, vol. 13, pp. 58481–58495, 2025.</w:t>
      </w:r>
    </w:p>
    <w:sectPr>
      <w:type w:val="continuous"/>
      <w:pgSz w:w="12240" w:h="15840" w:orient="portrait"/>
      <w:pgMar w:top="1080" w:right="900" w:bottom="1080" w:left="900" w:header="708" w:footer="708" w:gutter="0"/>
      <w:pgNumType/>
      <w:cols w:space="288" w:num="2"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2026-09-10T04:46:59.197Z</dcterms:created>
  <dcterms:modified xsi:type="dcterms:W3CDTF">2026-09-10T04:46:59.197Z</dcterms:modified>
</cp:coreProperties>
</file>

<file path=docProps/custom.xml><?xml version="1.0" encoding="utf-8"?>
<Properties xmlns="http://schemas.openxmlformats.org/officeDocument/2006/custom-properties" xmlns:vt="http://schemas.openxmlformats.org/officeDocument/2006/docPropsVTypes"/>
</file>