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B41A" w14:textId="77777777">
      <w:pPr>
        <w:spacing w:after="200"/>
      </w:pPr>
      <w:r>
        <w:rPr>
          <w:rFonts w:ascii="Times New Roman" w:hAnsi="Times New Roman" w:cs="Times New Roman"/>
          <w:b/>
          <w:bCs/>
          <w:sz w:val="28"/>
          <w:szCs w:val="28"/>
        </w:rPr>
        <w:t>Supplementary Material</w:t>
      </w:r>
    </w:p>
    <w:p w14:paraId="7B0A05D6" w14:textId="77777777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 strategy governs apparent machine-learning performance in metal-oxide nanoparticle cytotoxicity prediction</w:t>
      </w:r>
    </w:p>
    <w:p w14:paraId="4A8ECC04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S1a. </w:t>
      </w:r>
      <w:r>
        <w:rPr>
          <w:rFonts w:ascii="Times New Roman" w:hAnsi="Times New Roman" w:cs="Times New Roman"/>
          <w:sz w:val="24"/>
          <w:szCs w:val="24"/>
        </w:rPr>
        <w:t>Permutation null distribution of the leave-one-oxide-out MCC for the XGBoost model (1,000 label permutations). The observed XGBoost MCC (solid line) lay near the lower tail of the null distribution (dashed lines); the two-sided permutation test did not cross the conventional 0.05 threshold (p = 0.062).</w:t>
      </w:r>
    </w:p>
    <w:p w14:paraId="6335973C" w14:textId="77777777">
      <w:pPr>
        <w:spacing w:before="80" w:after="8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69F1FD" wp14:editId="2975290A">
            <wp:extent cx="409575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B436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Figure S1b. Permutation null distribution of the leave-one-oxide-out MCC for the multilayer perceptron (1,000 label permutations). The observed value (solid line, +0.166) lies outside the displayed 95% interval of the empirical permutation null (dashed lines), consistent with the two-sided permutation p = 0.004. This supports a modest positive signal under the specified global-label permutation analysis; it does not by itself establish broad material-level transferability.</w:t>
      </w:r>
      <w:r>
        <w:rPr>
          <w:rFonts w:ascii="Times New Roman" w:hAnsi="Times New Roman" w:cs="Times New Roman"/>
          <w:sz w:val="24"/>
          <w:szCs w:val="24"/>
        </w:rPr>
      </w:r>
    </w:p>
    <w:p w14:paraId="4EC9462C" w14:textId="77777777">
      <w:pPr>
        <w:spacing w:before="80" w:after="8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B42BF8" wp14:editId="31077993">
            <wp:extent cx="4095750" cy="2956283"/>
            <wp:effectExtent l="0" t="0" r="0" b="0"/>
            <wp:docPr id="164480337" name="Picture 16448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D590" w14:textId="77777777"/>
    <w:p w14:paraId="012EA50C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S2. </w:t>
      </w:r>
      <w:r>
        <w:rPr>
          <w:rFonts w:ascii="Times New Roman" w:hAnsi="Times New Roman" w:cs="Times New Roman"/>
          <w:sz w:val="24"/>
          <w:szCs w:val="24"/>
        </w:rPr>
        <w:t xml:space="preserve">Per-oxide leave-one-oxide-out performance (full XGBoost model), with sample size (n) and number of cytotoxic instances annotated for each held-out oxide. Al₂O₃ and Fe₂O₃ folds are undefined (hatched) because the held-out set contains no cytotoxic instances. Per-oxide fold values are shown for transparency and are not interpreted or ranked against one another.</w:t>
      </w:r>
    </w:p>
    <w:p w14:paraId="0D0986F2" w14:textId="1F1C7A2F">
      <w:pPr>
        <w:spacing w:before="80" w:after="8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CFC3E3" wp14:editId="6B9A99E1">
            <wp:extent cx="4191000" cy="3038475"/>
            <wp:effectExtent l="0" t="0" r="0" b="0"/>
            <wp:docPr id="975326051" name="Picture 975326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B905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S3. </w:t>
      </w:r>
      <w:r>
        <w:rPr>
          <w:rFonts w:ascii="Times New Roman" w:hAnsi="Times New Roman" w:cs="Times New Roman"/>
          <w:sz w:val="24"/>
          <w:szCs w:val="24"/>
        </w:rPr>
        <w:t xml:space="preserve">Effect of training-set material diversity on leave-one-oxide-out (LOMO) performance. Mean MCC is shown for the random forest and XGBoost as a function of the number of oxide classes included in the training set (2, 3, or 4 of the remaining oxides); shaded regions indicate variability across different oxide-class combinations (±1 SD). Although increasing material diversity was associated with improved mean performance, substantial variability remained—the bands span zero and rest on few combinations (only three oxides, ZnO, TiO₂, and CuO, provide defined test folds)—so this trend should be regarded as suggestive rather than statistically established, indicating that benchmark composition strongly influences apparent cross-material generalization.</w:t>
      </w:r>
    </w:p>
    <w:p w14:paraId="01E8DD1F" w14:textId="77777777">
      <w:pPr>
        <w:spacing w:before="80" w:after="8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0E3258" wp14:editId="2CAE1923">
            <wp:extent cx="4191000" cy="2943225"/>
            <wp:effectExtent l="0" t="0" r="0" b="0"/>
            <wp:docPr id="178476957" name="Picture 178476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9BBE" w14:textId="77777777"/>
    <w:p w14:paraId="509EABAE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S1. Validation-strategy curve. Random five-fold and leave-one-oxide-out (LOMO) MCC at nine duplication levels, with the validation-strategy gap defined as k-fold minus LOMO. Underlies Figure 1.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3"/>
        <w:gridCol w:w="1385"/>
        <w:gridCol w:w="1676"/>
        <w:gridCol w:w="1745"/>
        <w:gridCol w:w="1835"/>
      </w:tblGrid>
      <w:tr w14:paraId="7432479D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D1304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Duplicated fraction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F745E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Rows (n)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013FE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k-fold MCC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BA294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LOMO MCC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90786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Validation-strategy gap</w:t>
            </w:r>
          </w:p>
        </w:tc>
      </w:tr>
      <w:tr w14:paraId="719A0F5D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24B1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8AC1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FDC2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0.612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DBB8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−0.116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0117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0.727</w:t>
            </w:r>
          </w:p>
        </w:tc>
      </w:tr>
      <w:tr w14:paraId="4FEA2EC4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C518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093D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56DB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0.674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FA715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−0.109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985A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0.783</w:t>
            </w:r>
          </w:p>
        </w:tc>
      </w:tr>
      <w:tr w14:paraId="50558801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0E4C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57C6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437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1B07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0.736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C930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−0.117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1A22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0.853</w:t>
            </w:r>
          </w:p>
        </w:tc>
      </w:tr>
      <w:tr w14:paraId="5B1A0CAD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F7B2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4A3D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E681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0.707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D07C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−0.133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08F6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0.839</w:t>
            </w:r>
          </w:p>
        </w:tc>
      </w:tr>
      <w:tr w14:paraId="6A705280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533C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FEE1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F082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0.702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7D75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−0.096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D2064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0.798</w:t>
            </w:r>
          </w:p>
        </w:tc>
      </w:tr>
      <w:tr w14:paraId="41DF8920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9DED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72FA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D020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0.746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2810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−0.123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CF13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0.869</w:t>
            </w:r>
          </w:p>
        </w:tc>
      </w:tr>
      <w:tr w14:paraId="6D90EE62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C73E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7589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F1D8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0.758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CC17A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−0.142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71B5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0.899</w:t>
            </w:r>
          </w:p>
        </w:tc>
      </w:tr>
      <w:tr w14:paraId="7056FB6B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629B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A9AD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3B3E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0.796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87CE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−0.081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D872A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0.877</w:t>
            </w:r>
          </w:p>
        </w:tc>
      </w:tr>
      <w:tr w14:paraId="59518441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83BA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6135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582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1EDD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0.807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E322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64B4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0.910</w:t>
            </w:r>
          </w:p>
        </w:tc>
      </w:tr>
    </w:tbl>
    <w:p w14:paraId="274B9FAF" w14:textId="77777777">
      <w:pPr>
        <w:spacing w:before="80" w:after="80"/>
      </w:pPr>
      <w:r>
        <w:rPr>
          <w:rFonts w:ascii="Times New Roman" w:hAnsi="Times New Roman" w:cs="Times New Roman"/>
          <w:i/>
          <w:iCs/>
          <w:sz w:val="18"/>
          <w:szCs w:val="18"/>
        </w:rPr>
        <w:t>Regression of validation-strategy gap on duplicated fraction: slope 0.261, intercept 0.755, R² = 0.817 (n = 9 points). Because the duplication levels are generated from the same deduplicated dataset and are not independent, this regression is a descriptive summary rather than an inferential test.</w:t>
      </w:r>
    </w:p>
    <w:p w14:paraId="1B39CFE6" w14:textId="77777777"/>
    <w:p w14:paraId="13E95D6F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S2. </w:t>
      </w:r>
      <w:r>
        <w:rPr>
          <w:rFonts w:ascii="Times New Roman" w:hAnsi="Times New Roman" w:cs="Times New Roman"/>
          <w:sz w:val="24"/>
          <w:szCs w:val="24"/>
        </w:rPr>
        <w:t>Multi-seed stability. LOMO MCC for each classifier across eight random seeds, with per-model standard deviation (SD). Underlies Figure 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"/>
        <w:gridCol w:w="1354"/>
        <w:gridCol w:w="2470"/>
        <w:gridCol w:w="1842"/>
        <w:gridCol w:w="1562"/>
        <w:gridCol w:w="1110"/>
      </w:tblGrid>
      <w:tr w14:paraId="7A3CCC0B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22B9C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Seed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FFA08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LogReg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7D035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Random forest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B7027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SVM (RBF)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A350D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XGBoost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205FF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MLP</w:t>
            </w:r>
          </w:p>
        </w:tc>
      </w:tr>
      <w:tr w14:paraId="16002269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CBBF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45AE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0.034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158F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−0.116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FDDC4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B8BB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B80F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0.166</w:t>
            </w:r>
          </w:p>
        </w:tc>
      </w:tr>
      <w:tr w14:paraId="58C7E5D5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4C82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E2D05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0.034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1F7E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−0.058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01FA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B0F2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0271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0.204</w:t>
            </w:r>
          </w:p>
        </w:tc>
      </w:tr>
      <w:tr w14:paraId="475FF3B0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905B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D993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0.034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CD63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0.147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2A4A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3FFC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9207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0.277</w:t>
            </w:r>
          </w:p>
        </w:tc>
      </w:tr>
      <w:tr w14:paraId="3D6E0871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47B15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2ADCA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0.034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2246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−0.048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C682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471F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5F53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0.064</w:t>
            </w:r>
          </w:p>
        </w:tc>
      </w:tr>
      <w:tr w14:paraId="475E34CB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6A46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CE21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0.034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AB02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−0.046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47E3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9F63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782B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0.130</w:t>
            </w:r>
          </w:p>
        </w:tc>
      </w:tr>
      <w:tr w14:paraId="1B911FA6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C1DD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0E57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0.034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000D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−0.036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C0BB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9873A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5948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0.083</w:t>
            </w:r>
          </w:p>
        </w:tc>
      </w:tr>
      <w:tr w14:paraId="54FFCBCD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7D3C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48D8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0.034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54C4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0.228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C257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6591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4A1C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0.130</w:t>
            </w:r>
          </w:p>
        </w:tc>
      </w:tr>
      <w:tr w14:paraId="24CBD376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A564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99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BF33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0.034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DC17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−0.031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3FF9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2473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3A5C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0.125</w:t>
            </w:r>
          </w:p>
        </w:tc>
      </w:tr>
      <w:tr w14:paraId="5F7D7804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C0C5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SD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2417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6669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0.110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AB26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BFE4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7AFB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0.064</w:t>
            </w:r>
          </w:p>
        </w:tc>
      </w:tr>
    </w:tbl>
    <w:p w14:paraId="6B721E8C" w14:textId="77777777">
      <w:pPr>
        <w:spacing w:before="80" w:after="80"/>
        <w:rPr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 xml:space="preserve">Three classifiers (logistic regression, SVM, XGBoost) are seed-invariant (SD ≈ 0). The multilayer perceptron remains positive at every seed (+0.064 to +0.277) but varies more than fourfold in magnitude (SD 0.064). The random forest changes sign across seeds (−0.116 to +0.228, SD 0.110), centring near zero.</w:t>
      </w:r>
    </w:p>
    <w:p w14:paraId="21705A0B" w14:textId="77777777">
      <w:pPr>
        <w:spacing w:before="80" w:after="80"/>
        <w:rPr>
          <w:i/>
          <w:iCs/>
          <w:sz w:val="18"/>
          <w:szCs w:val="18"/>
        </w:rPr>
      </w:pPr>
    </w:p>
    <w:p w14:paraId="6CC914E2" w14:textId="77777777">
      <w:pPr>
        <w:spacing w:before="80" w:after="80"/>
        <w:rPr>
          <w:i/>
          <w:iCs/>
          <w:sz w:val="18"/>
          <w:szCs w:val="18"/>
        </w:rPr>
      </w:pPr>
    </w:p>
    <w:p w14:paraId="35960BAD" w14:textId="77777777">
      <w:pPr>
        <w:spacing w:before="80" w:after="80"/>
        <w:rPr>
          <w:i/>
          <w:iCs/>
          <w:sz w:val="18"/>
          <w:szCs w:val="18"/>
        </w:rPr>
      </w:pPr>
    </w:p>
    <w:p w14:paraId="45D9D644" w14:textId="77777777">
      <w:pPr>
        <w:spacing w:before="80" w:after="80"/>
        <w:rPr>
          <w:i/>
          <w:iCs/>
          <w:sz w:val="18"/>
          <w:szCs w:val="18"/>
        </w:rPr>
      </w:pPr>
    </w:p>
    <w:p w14:paraId="34D4F938" w14:textId="77777777">
      <w:pPr>
        <w:spacing w:before="80" w:after="80"/>
        <w:rPr>
          <w:i/>
          <w:iCs/>
          <w:sz w:val="18"/>
          <w:szCs w:val="18"/>
        </w:rPr>
      </w:pPr>
    </w:p>
    <w:p w14:paraId="14AA7F2B" w14:textId="77777777">
      <w:pPr>
        <w:spacing w:before="80" w:after="80"/>
        <w:rPr>
          <w:i/>
          <w:iCs/>
          <w:sz w:val="18"/>
          <w:szCs w:val="18"/>
        </w:rPr>
      </w:pPr>
    </w:p>
    <w:p w14:paraId="21C50889" w14:textId="77777777">
      <w:pPr>
        <w:spacing w:before="80" w:after="80"/>
        <w:rPr>
          <w:i/>
          <w:iCs/>
          <w:sz w:val="18"/>
          <w:szCs w:val="18"/>
        </w:rPr>
      </w:pPr>
    </w:p>
    <w:p w14:paraId="580FF35A" w14:textId="77777777">
      <w:pPr>
        <w:spacing w:before="80" w:after="80"/>
      </w:pPr>
    </w:p>
    <w:p w14:paraId="140ACCAF" w14:textId="77777777"/>
    <w:p w14:paraId="21349854" w14:textId="77777777"/>
    <w:p w14:paraId="79C48762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S3. </w:t>
      </w:r>
      <w:r>
        <w:rPr>
          <w:rFonts w:ascii="Times New Roman" w:hAnsi="Times New Roman" w:cs="Times New Roman"/>
          <w:sz w:val="24"/>
          <w:szCs w:val="24"/>
        </w:rPr>
        <w:t>Feature-set decomposition under LOMO (XGBoost). MCC with 95% bootstrap CIs for the full descriptor set, dose only, and descriptors excluding dose.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0"/>
        <w:gridCol w:w="1805"/>
        <w:gridCol w:w="2387"/>
        <w:gridCol w:w="1432"/>
      </w:tblGrid>
      <w:tr w14:paraId="23C40691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AB5A3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Feature set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6EB94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LOMO MCC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883E7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95% CI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90790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95% CI spans zero</w:t>
            </w:r>
          </w:p>
        </w:tc>
      </w:tr>
      <w:tr w14:paraId="43C50A5D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CA7B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Full descriptor set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A01E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8A5A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[−0.182, −0.009]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7FF9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34DA26D3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B68B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Dose only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C8FD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−0.164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70BD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[−0.221, −0.084]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DFDB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6CB227FF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036F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Descriptors excluding dose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A1C3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−0.146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94C6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[−0.178, −0.114]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6323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</w:tbl>
    <w:p w14:paraId="09B559AD" w14:textId="77777777">
      <w:pPr>
        <w:spacing w:before="80" w:after="80"/>
      </w:pPr>
      <w:r>
        <w:rPr>
          <w:rFonts w:ascii="Times New Roman" w:hAnsi="Times New Roman" w:cs="Times New Roman"/>
          <w:i/>
          <w:iCs/>
          <w:sz w:val="18"/>
          <w:szCs w:val="18"/>
        </w:rPr>
        <w:t>All three XGBoost feature-set configurations produced negative pooled LOMO MCCs. The dose-only row refers to XGBoost fitted on the dose descriptor alone, which is not the same as the single-variable dose-threshold comparator of Section 3.2: that comparator selects a cut maximizing training-partition MCC and applies it directly, rather than fitting a flexible model to one feature. The two analyses are therefore mechanistically and statistically distinct and should not be interpreted as the same model.</w:t>
      </w:r>
    </w:p>
    <w:p w14:paraId="0D3DF507" w14:textId="77777777"/>
    <w:p w14:paraId="7EBE469B" w14:textId="77777777">
      <w:pPr>
        <w:spacing w:before="80" w:after="80"/>
        <w:rPr>
          <w:i/>
          <w:iCs/>
          <w:sz w:val="18"/>
          <w:szCs w:val="18"/>
        </w:rPr>
      </w:pPr>
    </w:p>
    <w:p w14:paraId="10DE4569" w14:textId="77777777">
      <w:pPr>
        <w:spacing w:before="80" w:after="80"/>
        <w:rPr>
          <w:i/>
          <w:iCs/>
          <w:sz w:val="18"/>
          <w:szCs w:val="18"/>
        </w:rPr>
      </w:pPr>
    </w:p>
    <w:p w14:paraId="7E73D06C" w14:textId="77777777">
      <w:pPr>
        <w:spacing w:before="80" w:after="80"/>
        <w:rPr>
          <w:i/>
          <w:iCs/>
          <w:sz w:val="18"/>
          <w:szCs w:val="18"/>
        </w:rPr>
      </w:pPr>
    </w:p>
    <w:p w14:paraId="43DF5578" w14:textId="77777777">
      <w:pPr>
        <w:spacing w:before="80" w:after="80"/>
        <w:rPr>
          <w:i/>
          <w:iCs/>
          <w:sz w:val="18"/>
          <w:szCs w:val="18"/>
        </w:rPr>
      </w:pPr>
    </w:p>
    <w:p w14:paraId="228A9529" w14:textId="77777777">
      <w:pPr>
        <w:spacing w:before="80" w:after="80"/>
        <w:rPr>
          <w:i/>
          <w:iCs/>
          <w:sz w:val="18"/>
          <w:szCs w:val="18"/>
        </w:rPr>
      </w:pPr>
    </w:p>
    <w:p w14:paraId="570460FC" w14:textId="77777777">
      <w:pPr>
        <w:spacing w:before="80" w:after="80"/>
        <w:rPr>
          <w:i/>
          <w:iCs/>
          <w:sz w:val="18"/>
          <w:szCs w:val="18"/>
        </w:rPr>
      </w:pPr>
    </w:p>
    <w:p w14:paraId="2E0AA5E7" w14:textId="77777777">
      <w:pPr>
        <w:spacing w:before="80" w:after="80"/>
        <w:rPr>
          <w:i/>
          <w:iCs/>
          <w:sz w:val="18"/>
          <w:szCs w:val="18"/>
        </w:rPr>
      </w:pPr>
    </w:p>
    <w:p w14:paraId="24A9075E" w14:textId="77777777">
      <w:pPr>
        <w:spacing w:before="80" w:after="80"/>
      </w:pPr>
    </w:p>
    <w:p w14:paraId="50D78793" w14:textId="77777777"/>
    <w:p w14:paraId="7778F00F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S4. </w:t>
      </w:r>
      <w:r>
        <w:rPr>
          <w:rFonts w:ascii="Times New Roman" w:hAnsi="Times New Roman" w:cs="Times New Roman"/>
          <w:sz w:val="24"/>
          <w:szCs w:val="24"/>
        </w:rPr>
        <w:t>Hyperparameter sensitivity. LOMO MCC (with 95% percentile-bootstrap CI) across a small grid of reasonable settings for the random forest, support vector machine, and multilayer perceptron.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5"/>
        <w:gridCol w:w="3672"/>
        <w:gridCol w:w="1223"/>
        <w:gridCol w:w="1617"/>
        <w:gridCol w:w="1357"/>
      </w:tblGrid>
      <w:tr w14:paraId="49D9E9C0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E7199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8E80D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B2318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LOMO MCC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E50E6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95% CI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240B9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 excludes 0</w:t>
            </w:r>
          </w:p>
        </w:tc>
      </w:tr>
      <w:tr w14:paraId="512A591B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93DF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Random forest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C31E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n_estimators=100, max_depth=None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37C0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−0.116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AF8B4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[−0.192, −0.033]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4068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 (below 0)</w:t>
            </w:r>
          </w:p>
        </w:tc>
      </w:tr>
      <w:tr w14:paraId="524E9151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93D5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Random forest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33F5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n_estimators=300, max_depth=None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10B46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−0.055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A5825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[−0.148, +0.045]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4438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5C7DF886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9A805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Random forest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F884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n_estimators=300, max_depth=5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B078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−0.055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D48E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[−0.146, +0.046]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34F1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363CC662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41E5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Random forest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D04D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n_estimators=500, max_depth=10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0658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−0.089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3E4A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[−0.172, +0.003]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8AB9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7A47D676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36C5A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Random forest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08ED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n_estimators=300, min_samples_leaf=5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589C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−0.070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37AC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[−0.141, +0.021]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AC65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6D18C3E8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B6B9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SVM (RBF)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A9FE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C=0.1, gamma=scale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4141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292CA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[0.000, 0.000]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6153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584F4E22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08ED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SVM (RBF)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3EBB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C=1, gamma=scale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7057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906B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[−0.133, −0.075]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255B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 (below 0)</w:t>
            </w:r>
          </w:p>
        </w:tc>
      </w:tr>
      <w:tr w14:paraId="70639F76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5437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SVM (RBF)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A399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C=10, gamma=scale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1594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−0.017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C0FA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[−0.106, +0.081]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15F5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3DDB8A12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972A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SVM (RBF)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0ED4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C=1, gamma=0.1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A960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9719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[−0.135, −0.075]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8784A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 (below 0)</w:t>
            </w:r>
          </w:p>
        </w:tc>
      </w:tr>
      <w:tr w14:paraId="30EC3518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CB08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SVM (RBF)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DED2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C=10, gamma=0.01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012D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−0.014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0816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[−0.105, +0.088]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0189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</w:tr>
      <w:tr w14:paraId="7072F0C5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DA43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MLP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1012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hidden=(50,), alpha=1e-4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54FA4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+0.205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D1BB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[+0.087, +0.318]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C62B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 (above 0)</w:t>
            </w:r>
          </w:p>
        </w:tc>
      </w:tr>
      <w:tr w14:paraId="247DB9D3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BB8E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MLP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1D2E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hidden=(100,), alpha=1e-4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3F4D5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+0.166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442D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[+0.052, +0.279]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59D3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 (above 0)</w:t>
            </w:r>
          </w:p>
        </w:tc>
      </w:tr>
      <w:tr w14:paraId="0F54AF29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EA1E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MLP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5007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hidden=(100,50), alpha=1e-4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0ADC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+0.277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67FA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[+0.167, +0.391]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B3E6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 (above 0)</w:t>
            </w:r>
          </w:p>
        </w:tc>
      </w:tr>
      <w:tr w14:paraId="0A39D3CF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079E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MLP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1941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hidden=(100,), alpha=1e-2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B3C4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+0.170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353C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[+0.054, +0.285]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265D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 (above 0)</w:t>
            </w:r>
          </w:p>
        </w:tc>
      </w:tr>
      <w:tr w14:paraId="66D294A1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F527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MLP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C584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hidden=(100,), alpha=1.0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397F4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+0.210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91E4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[+0.089, +0.336]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BF4F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 (above 0)</w:t>
            </w:r>
          </w:p>
        </w:tc>
      </w:tr>
    </w:tbl>
    <w:p w14:paraId="379CD4F5" w14:textId="77777777">
      <w:pPr>
        <w:spacing w:before="80" w:after="80"/>
      </w:pPr>
      <w:r>
        <w:rPr>
          <w:rFonts w:ascii="Times New Roman" w:hAnsi="Times New Roman" w:cs="Times New Roman"/>
          <w:i/>
          <w:iCs/>
          <w:sz w:val="18"/>
          <w:szCs w:val="18"/>
        </w:rPr>
        <w:t>Across the tested hyperparameter settings, random-forest and support-vector-machine pooled LOMO MCC values remained non-positive, whereas multilayer-perceptron MCC values remained positive (+0.166 to +0.277). No tested configuration reached the dose-threshold comparator of 0.410. This is a descriptive sensitivity analysis, not a model-selection procedure; the highest tested MLP value therefore does not replace the prespecified primary MLP result of 0.166.</w:t>
      </w:r>
    </w:p>
    <w:p w14:paraId="16A28722" w14:textId="77777777"/>
    <w:p w14:paraId="7426EBCE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S5. </w:t>
      </w:r>
      <w:r>
        <w:rPr>
          <w:rFonts w:ascii="Times New Roman" w:hAnsi="Times New Roman" w:cs="Times New Roman"/>
          <w:sz w:val="24"/>
          <w:szCs w:val="24"/>
        </w:rPr>
        <w:t xml:space="preserve">Permutation test results. Observed leave-one-oxide-out (LOMO) MCC against the label-permutation null distribution (1,000 permutations) for the two models selected for permutation testing: XGBoost (a representative high-capacity model whose point estimate sat below zero) and the multilayer perceptron (the only model with an interval above zero). Underlies Figures S1a and S1b.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"/>
        <w:gridCol w:w="2324"/>
        <w:gridCol w:w="1207"/>
        <w:gridCol w:w="1869"/>
        <w:gridCol w:w="1397"/>
        <w:gridCol w:w="1533"/>
      </w:tblGrid>
      <w:tr w14:paraId="655CE127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1307B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D8EDD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Observed LOMO MCC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E8643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Null mean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160E0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Null 95% interval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E557A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Two-sided 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21CEF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Permutations</w:t>
            </w:r>
          </w:p>
        </w:tc>
      </w:tr>
      <w:tr w14:paraId="6C649053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6775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XGBoost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C830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−0.105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C195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−0.002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3BD25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[−0.101, +0.119]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C1F4B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0.062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9349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1,000</w:t>
            </w:r>
          </w:p>
        </w:tc>
      </w:tr>
      <w:tr w14:paraId="29B30170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1B4D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MLP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288BA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+0.166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3F00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−0.003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C400C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[−0.102, +0.102]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1C2D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0.004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DB12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1,000</w:t>
            </w:r>
          </w:p>
        </w:tc>
      </w:tr>
    </w:tbl>
    <w:p w14:paraId="534AE35A" w14:textId="77777777">
      <w:pPr>
        <w:spacing w:before="80" w:after="80"/>
      </w:pPr>
      <w:r>
        <w:rPr>
          <w:rFonts w:ascii="Times New Roman" w:hAnsi="Times New Roman" w:cs="Times New Roman"/>
          <w:i/>
          <w:iCs/>
          <w:sz w:val="18"/>
          <w:szCs w:val="18"/>
        </w:rPr>
        <w:t>The XGBoost observed score lay near the lower tail of its empirical permutation distribution (p = 0.062). The multilayer perceptron observed score was separated from its empirical permutation null under the specified global-label permutation analysis (p = 0.004), supporting a modest positive signal under that analysis. These permutation results should not be interpreted as exact material-level inferential tests because global label shuffling does not preserve oxide-specific outcome prevalence. The MLP result remains below the dose-threshold comparator in the main analysis.</w:t>
      </w:r>
    </w:p>
    <w:p w14:paraId="7B00E057" w14:textId="77777777"/>
    <w:p w14:paraId="3B952309" w14:textId="77777777"/>
    <w:p w14:paraId="077F2B18" w14:textId="77777777"/>
    <w:p w14:paraId="357273C0" w14:textId="77777777"/>
    <w:p w14:paraId="6A06FBDF" w14:textId="77777777"/>
    <w:p w14:paraId="059092DB" w14:textId="77777777"/>
    <w:p w14:paraId="452937DD" w14:textId="77777777"/>
    <w:p w14:paraId="1132C84F" w14:textId="77777777"/>
    <w:p w14:paraId="4FD544F0" w14:textId="77777777"/>
    <w:p w14:paraId="1B366F88" w14:textId="77777777"/>
    <w:p w14:paraId="6BAB51FA" w14:textId="77777777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S6. </w:t>
      </w:r>
      <w:r>
        <w:rPr>
          <w:rFonts w:ascii="Times New Roman" w:hAnsi="Times New Roman" w:cs="Times New Roman"/>
          <w:sz w:val="24"/>
          <w:szCs w:val="24"/>
        </w:rPr>
        <w:t>Software environment. Python and package versions used for all analyses. A fixed random seed (42) was used for the primary analysis, with eight seeds {0, 1, 2, 3, 7, 13, 42, 99} for the stability assessment.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3"/>
        <w:gridCol w:w="4041"/>
      </w:tblGrid>
      <w:tr w14:paraId="1A4AADED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4E513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Software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4CA1D" w14:textId="7777777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Version</w:t>
            </w:r>
          </w:p>
        </w:tc>
      </w:tr>
      <w:tr w14:paraId="4D53F69E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F2C72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8F8F8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3.12.9</w:t>
            </w:r>
          </w:p>
        </w:tc>
      </w:tr>
      <w:tr w14:paraId="5FE54680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8F1E7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scikit-learn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4FC7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1.8.0</w:t>
            </w:r>
          </w:p>
        </w:tc>
      </w:tr>
      <w:tr w14:paraId="0EA9DD33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E9954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XGBoost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D1CE3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3.2.0</w:t>
            </w:r>
          </w:p>
        </w:tc>
      </w:tr>
      <w:tr w14:paraId="5C61C50F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7B1DD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F37F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2.4.5</w:t>
            </w:r>
          </w:p>
        </w:tc>
      </w:tr>
      <w:tr w14:paraId="56878CE1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1A63E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pandas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3718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3.0.3</w:t>
            </w:r>
          </w:p>
        </w:tc>
      </w:tr>
      <w:tr w14:paraId="043ED692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47419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SciPy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6AD2F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1.17.1</w:t>
            </w:r>
          </w:p>
        </w:tc>
      </w:tr>
      <w:tr w14:paraId="2CB6D408" w14:textId="77777777"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A4121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matplotlib</w:t>
            </w:r>
          </w:p>
        </w:tc>
        <w:tc>
          <w:tcPr>
            <w:tcW w:w="0" w:type="auto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181A0" w14:textId="77777777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3.10.9</w:t>
            </w:r>
          </w:p>
        </w:tc>
      </w:tr>
    </w:tbl>
    <w:p w14:paraId="7CF108F3" w14:textId="77777777">
      <w:pPr>
        <w:spacing w:before="80" w:after="80"/>
      </w:pPr>
      <w:r>
        <w:rPr>
          <w:rFonts w:ascii="Times New Roman" w:hAnsi="Times New Roman" w:cs="Times New Roman"/>
          <w:i/>
          <w:iCs/>
          <w:sz w:val="18"/>
          <w:szCs w:val="18"/>
        </w:rPr>
        <w:t>Versions are pinned in requirements.txt in the analysis code repository. Deterministic results reproduce exactly on this environment; the random forest and multilayer perceptron use internal randomness and reproduce on the pinned environment.</w:t>
      </w:r>
    </w:p>
    <w:p w14:paraId="45F14E82" w14:textId="77777777"/>
    <w:p w14:paraId="555DB15C" w14:textId="77777777">
      <w:pPr>
        <w:spacing w:before="8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All values are reproducible from the analysis code (https://github.com/Ramesh2217/MONP-nanotox-audit; fixed seed 42, pinned software versions in requirements.txt). Deterministic results reproduce exactly; the random forest and multilayer perceptron use internal randomness and reproduce on the pinned environment. The MLP permutation test used 1,000 label permutations (observed MCC +0.166; null mean −0.003; two-sided p = 0.004).</w:t>
      </w:r>
    </w:p>
    <w:sectPr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72C"/>
    <w:multiLevelType w:val="hybridMultilevel"/>
    <w:tmpl w:val="D17C3ADC"/>
    <w:lvl w:ilvl="0" w:tplc="5A8C0A5C">
      <w:start w:val="1"/>
      <w:numFmt w:val="bullet"/>
      <w:lvlText w:val="●"/>
      <w:lvlJc w:val="left"/>
      <w:pPr>
        <w:ind w:left="720" w:hanging="360"/>
      </w:pPr>
    </w:lvl>
    <w:lvl w:ilvl="1" w:tplc="B296A05E">
      <w:start w:val="1"/>
      <w:numFmt w:val="bullet"/>
      <w:lvlText w:val="○"/>
      <w:lvlJc w:val="left"/>
      <w:pPr>
        <w:ind w:left="1440" w:hanging="360"/>
      </w:pPr>
    </w:lvl>
    <w:lvl w:ilvl="2" w:tplc="DCF8D930">
      <w:start w:val="1"/>
      <w:numFmt w:val="bullet"/>
      <w:lvlText w:val="■"/>
      <w:lvlJc w:val="left"/>
      <w:pPr>
        <w:ind w:left="2160" w:hanging="360"/>
      </w:pPr>
    </w:lvl>
    <w:lvl w:ilvl="3" w:tplc="B1F6C4E0">
      <w:start w:val="1"/>
      <w:numFmt w:val="bullet"/>
      <w:lvlText w:val="●"/>
      <w:lvlJc w:val="left"/>
      <w:pPr>
        <w:ind w:left="2880" w:hanging="360"/>
      </w:pPr>
    </w:lvl>
    <w:lvl w:ilvl="4" w:tplc="534C1896">
      <w:start w:val="1"/>
      <w:numFmt w:val="bullet"/>
      <w:lvlText w:val="○"/>
      <w:lvlJc w:val="left"/>
      <w:pPr>
        <w:ind w:left="3600" w:hanging="360"/>
      </w:pPr>
    </w:lvl>
    <w:lvl w:ilvl="5" w:tplc="834438AE">
      <w:start w:val="1"/>
      <w:numFmt w:val="bullet"/>
      <w:lvlText w:val="■"/>
      <w:lvlJc w:val="left"/>
      <w:pPr>
        <w:ind w:left="4320" w:hanging="360"/>
      </w:pPr>
    </w:lvl>
    <w:lvl w:ilvl="6" w:tplc="F6E078E4">
      <w:start w:val="1"/>
      <w:numFmt w:val="bullet"/>
      <w:lvlText w:val="●"/>
      <w:lvlJc w:val="left"/>
      <w:pPr>
        <w:ind w:left="5040" w:hanging="360"/>
      </w:pPr>
    </w:lvl>
    <w:lvl w:ilvl="7" w:tplc="3348DB86">
      <w:start w:val="1"/>
      <w:numFmt w:val="bullet"/>
      <w:lvlText w:val="●"/>
      <w:lvlJc w:val="left"/>
      <w:pPr>
        <w:ind w:left="5760" w:hanging="360"/>
      </w:pPr>
    </w:lvl>
    <w:lvl w:ilvl="8" w:tplc="27205F8C">
      <w:start w:val="1"/>
      <w:numFmt w:val="bullet"/>
      <w:lvlText w:val="●"/>
      <w:lvlJc w:val="left"/>
      <w:pPr>
        <w:ind w:left="6480" w:hanging="360"/>
      </w:pPr>
    </w:lvl>
  </w:abstractNum>
  <w:num w:numId="1" w16cid:durableId="87317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0DD"/>
    <w:rsid w:val="00655D99"/>
    <w:rsid w:val="00795A37"/>
    <w:rsid w:val="00B060DD"/>
    <w:rsid w:val="00B17C92"/>
    <w:rsid w:val="00DA09A3"/>
    <w:rsid w:val="00D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6455"/>
  <w15:docId w15:val="{26BCD069-0A17-478D-8964-9E86FEEF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1322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2026-06-27T10:05:00Z</dcterms:created>
  <dcterms:modified xsi:type="dcterms:W3CDTF">2026-06-27T10:08:00Z</dcterms:modified>
</cp:coreProperties>
</file>