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0B41A" w14:textId="77777777" w:rsidR="00B060DD" w:rsidRDefault="00000000">
      <w:pPr>
        <w:spacing w:after="200"/>
      </w:pPr>
      <w:r>
        <w:rPr>
          <w:b/>
          <w:bCs/>
          <w:sz w:val="28"/>
          <w:szCs w:val="28"/>
        </w:rPr>
        <w:t>Supplementary Material</w:t>
      </w:r>
    </w:p>
    <w:p w14:paraId="7B0A05D6" w14:textId="77777777" w:rsidR="00B060DD" w:rsidRPr="00DA09A3" w:rsidRDefault="00000000" w:rsidP="00DA09A3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Apparent machine-learning performance in a metal-oxide nanoparticle cytotoxicity benchmark is driven by validation strategy and duplicate records</w:t>
      </w:r>
    </w:p>
    <w:p w14:paraId="4A8ECC04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S1a. </w:t>
      </w:r>
      <w:r>
        <w:rPr>
          <w:rFonts w:ascii="Times New Roman" w:hAnsi="Times New Roman" w:cs="Times New Roman"/>
        </w:rPr>
        <w:t xml:space="preserve">Permutation null distribution of the leave-one-oxide-out MCC for the XGBoost model (1,000 label permutations). The observed value (solid line) lies within the 95% interval of the null distribution (dashed lines), consistent with the two-sided permutation p = 0.062.</w:t>
      </w:r>
    </w:p>
    <w:p w14:paraId="6335973C" w14:textId="77777777" w:rsidR="00B060D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0669F1FD" wp14:editId="2975290A">
            <wp:extent cx="4095750" cy="2952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B436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S1b. </w:t>
      </w:r>
      <w:r>
        <w:rPr>
          <w:rFonts w:ascii="Times New Roman" w:hAnsi="Times New Roman" w:cs="Times New Roman"/>
        </w:rPr>
        <w:t xml:space="preserve">Permutation null distribution of the leave-one-oxide-out MCC for the multilayer perceptron (1,000 label permutations). The observed value (solid line, +0.166) lies well outside the 95% interval of the null distribution (dashed lines), consistent with the two-sided permutation p = 0.004. Unlike the XGBoost case (Figure S1a), the multilayer perceptron's observed score is clearly distinguishable from chance.</w:t>
      </w:r>
    </w:p>
    <w:p w14:paraId="4EC9462C" w14:textId="77777777" w:rsidR="00B060D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0EB42BF8" wp14:editId="31077993">
            <wp:extent cx="4095750" cy="2952750"/>
            <wp:effectExtent l="0" t="0" r="0" b="0"/>
            <wp:docPr id="164480337" name="Picture 164480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D590" w14:textId="77777777" w:rsidR="00B060DD" w:rsidRDefault="00B060DD"/>
    <w:p w14:paraId="012EA50C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S2. </w:t>
      </w:r>
      <w:r>
        <w:rPr>
          <w:rFonts w:ascii="Times New Roman" w:hAnsi="Times New Roman" w:cs="Times New Roman"/>
        </w:rPr>
        <w:t xml:space="preserve">Per-oxide leave-one-oxide-out performance (full XGBoost model), with sample size (n) and number of cytotoxic instances annotated for each held-out oxide. Al₂O₃ and Fe₂O₃ folds are undefined (hatched) because the held-out set contains no cytotoxic instances. Per-oxide fold values are shown for transparency and are not interpreted or ranked against one another.</w:t>
      </w:r>
    </w:p>
    <w:p w14:paraId="0D0986F2" w14:textId="1F1C7A2F" w:rsidR="00B060DD" w:rsidRDefault="00000000" w:rsidP="00DA09A3">
      <w:pPr>
        <w:spacing w:before="80" w:after="80"/>
        <w:jc w:val="center"/>
      </w:pPr>
      <w:r>
        <w:rPr>
          <w:noProof/>
        </w:rPr>
        <w:drawing>
          <wp:inline distT="0" distB="0" distL="0" distR="0" wp14:anchorId="06CFC3E3" wp14:editId="6B9A99E1">
            <wp:extent cx="4191000" cy="3038475"/>
            <wp:effectExtent l="0" t="0" r="0" b="0"/>
            <wp:docPr id="975326051" name="Picture 975326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B905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S3. </w:t>
      </w:r>
      <w:r>
        <w:rPr>
          <w:rFonts w:ascii="Times New Roman" w:hAnsi="Times New Roman" w:cs="Times New Roman"/>
        </w:rPr>
        <w:t xml:space="preserve">Effect of training-set material diversity on leave-one-oxide-out (LOMO) performance. Mean MCC is shown for the random forest and XGBoost as a function of the number of oxide classes included in the training set (2, 3, or 4 of the remaining oxides); shaded regions indicate variability across different oxide-class combinations (±1 SD). Although increasing material diversity was associated with improved mean performance, substantial variability remained—the bands span zero and rest on few combinations (only three oxides, ZnO, TiO₂, and CuO, provide defined test folds)—so this trend should be regarded as suggestive rather than statistically established, indicating that benchmark composition strongly influences apparent cross-material generalization.</w:t>
      </w:r>
    </w:p>
    <w:p w14:paraId="01E8DD1F" w14:textId="77777777" w:rsidR="00B060D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50E3258" wp14:editId="2CAE1923">
            <wp:extent cx="4191000" cy="2943225"/>
            <wp:effectExtent l="0" t="0" r="0" b="0"/>
            <wp:docPr id="178476957" name="Picture 178476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9BBE" w14:textId="77777777" w:rsidR="00B060DD" w:rsidRDefault="00B060DD"/>
    <w:p w14:paraId="509EABAE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Table S1. </w:t>
      </w:r>
      <w:r>
        <w:rPr>
          <w:rFonts w:ascii="Times New Roman" w:hAnsi="Times New Roman" w:cs="Times New Roman"/>
        </w:rPr>
        <w:t>Leakage curve. Random five-fold and leave-one-oxide-out (LOMO) MCC at nine duplication levels, with the leakage gap (k-fold minus LOMO). Underlies Figure 1.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3"/>
        <w:gridCol w:w="1385"/>
        <w:gridCol w:w="1676"/>
        <w:gridCol w:w="1745"/>
        <w:gridCol w:w="1835"/>
      </w:tblGrid>
      <w:tr w:rsidR="00B060DD" w14:paraId="7432479D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D1304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Duplicated fraction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F745E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Rows (n)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013FE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k-fold MCC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EBA294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LOMO MCC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90786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Leakage gap</w:t>
            </w:r>
          </w:p>
        </w:tc>
      </w:tr>
      <w:tr w:rsidR="00B060DD" w14:paraId="719A0F5D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24B1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8AC1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364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FDC2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0.612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1DBB8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−0.116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0117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0.727</w:t>
            </w:r>
          </w:p>
        </w:tc>
      </w:tr>
      <w:tr w:rsidR="00B060DD" w14:paraId="4FEA2EC4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4C518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093D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56DB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0.674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FA71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−0.109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985A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0.783</w:t>
            </w:r>
          </w:p>
        </w:tc>
      </w:tr>
      <w:tr w:rsidR="00B060DD" w14:paraId="5055880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0E4C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257C6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437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1B07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0.736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C930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−0.117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21A22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0.853</w:t>
            </w:r>
          </w:p>
        </w:tc>
      </w:tr>
      <w:tr w:rsidR="00B060DD" w14:paraId="5B1A0CAD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4F7B2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0.25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4A3D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455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E681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0.707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D07C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−0.133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08F6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0.839</w:t>
            </w:r>
          </w:p>
        </w:tc>
      </w:tr>
      <w:tr w:rsidR="00B060DD" w14:paraId="6A70528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533C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FEE1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473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F082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0.702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7D75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−0.096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D2064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0.798</w:t>
            </w:r>
          </w:p>
        </w:tc>
      </w:tr>
      <w:tr w:rsidR="00B060DD" w14:paraId="41DF892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9DED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0.40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72FA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510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D020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0.746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2810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−0.123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CF13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0.869</w:t>
            </w:r>
          </w:p>
        </w:tc>
      </w:tr>
      <w:tr w:rsidR="00B060DD" w14:paraId="6D90EE6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C73E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0.50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7589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546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F1D8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0.757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CC17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−0.142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71B5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0.899</w:t>
            </w:r>
          </w:p>
        </w:tc>
      </w:tr>
      <w:tr w:rsidR="00B060DD" w14:paraId="7056FB6B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629B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0.55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A9AD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564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3B3E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0.796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87CE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−0.081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D872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0.877</w:t>
            </w:r>
          </w:p>
        </w:tc>
      </w:tr>
      <w:tr w:rsidR="00B060DD" w14:paraId="5951844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83BA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0.60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6135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582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1EDD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0.807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E322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64B4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0.910</w:t>
            </w:r>
          </w:p>
        </w:tc>
      </w:tr>
    </w:tbl>
    <w:p w14:paraId="274B9FAF" w14:textId="77777777" w:rsidR="00B060DD" w:rsidRDefault="00000000">
      <w:pPr>
        <w:spacing w:before="80" w:after="80"/>
      </w:pPr>
      <w:r>
        <w:rPr>
          <w:i/>
          <w:iCs/>
          <w:sz w:val="18"/>
          <w:szCs w:val="18"/>
        </w:rPr>
        <w:t>Regression of leakage gap on duplicated fraction: slope 0.261, intercept 0.755, R² = 0.817 (n = 9 points). Because the duplication levels are generated from the same deduplicated dataset and are not independent, this regression is a descriptive summary rather than an inferential test.</w:t>
      </w:r>
    </w:p>
    <w:p w14:paraId="1B39CFE6" w14:textId="77777777" w:rsidR="00B060DD" w:rsidRDefault="00B060DD"/>
    <w:p w14:paraId="13E95D6F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Table S2. </w:t>
      </w:r>
      <w:r>
        <w:rPr>
          <w:rFonts w:ascii="Times New Roman" w:hAnsi="Times New Roman" w:cs="Times New Roman"/>
        </w:rPr>
        <w:t>Multi-seed stability. LOMO MCC for each classifier across eight random seeds, with per-model standard deviation (SD). Underlies Figure 2.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1354"/>
        <w:gridCol w:w="2470"/>
        <w:gridCol w:w="1842"/>
        <w:gridCol w:w="1562"/>
        <w:gridCol w:w="1110"/>
      </w:tblGrid>
      <w:tr w:rsidR="00B060DD" w14:paraId="7A3CCC0B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B22B9C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Seed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FFA08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LogReg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7D035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B7027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SVM (RBF)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A350D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XGBoost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205FF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MLP</w:t>
            </w:r>
          </w:p>
        </w:tc>
      </w:tr>
      <w:tr w:rsidR="00B060DD" w14:paraId="16002269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CBBF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45AE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D158F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−0.116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DDC4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B8BB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B80F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0.166</w:t>
            </w:r>
          </w:p>
        </w:tc>
      </w:tr>
      <w:tr w:rsidR="00B060DD" w14:paraId="58C7E5D5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4C82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E2D0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1F7E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−0.058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D01FA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B0F2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0271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0.204</w:t>
            </w:r>
          </w:p>
        </w:tc>
      </w:tr>
      <w:tr w:rsidR="00B060DD" w14:paraId="475FF3B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905B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D993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CD63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0.147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2A4A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3FFC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9207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0.277</w:t>
            </w:r>
          </w:p>
        </w:tc>
      </w:tr>
      <w:tr w:rsidR="00B060DD" w14:paraId="3D6E087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47B1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2ADC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2246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−0.048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8C682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471F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5F53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0.064</w:t>
            </w:r>
          </w:p>
        </w:tc>
      </w:tr>
      <w:tr w:rsidR="00B060DD" w14:paraId="475E34CB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46A46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CE21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AB02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−0.046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47E3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9F63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782B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0.130</w:t>
            </w:r>
          </w:p>
        </w:tc>
      </w:tr>
      <w:tr w:rsidR="00B060DD" w14:paraId="1B911FA6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1C1DD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0E57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000D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−0.036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C0BB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9873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5948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0.083</w:t>
            </w:r>
          </w:p>
        </w:tc>
      </w:tr>
      <w:tr w:rsidR="00B060DD" w14:paraId="54FFCBCD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7D3C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48D8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54C4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0.228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C257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6591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4A1C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0.130</w:t>
            </w:r>
          </w:p>
        </w:tc>
      </w:tr>
      <w:tr w:rsidR="00B060DD" w14:paraId="24CBD376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A564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99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F33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DC17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−0.031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3FF9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22473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13A5C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0.125</w:t>
            </w:r>
          </w:p>
        </w:tc>
      </w:tr>
      <w:tr w:rsidR="00B060DD" w14:paraId="5F7D7804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C0C5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SD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2417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6669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0.110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AB26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BFE4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7AFB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0.064</w:t>
            </w:r>
          </w:p>
        </w:tc>
      </w:tr>
    </w:tbl>
    <w:p w14:paraId="6B721E8C" w14:textId="77777777" w:rsidR="00B060DD" w:rsidRDefault="00000000">
      <w:pPr>
        <w:spacing w:before="80" w:after="8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Three classifiers (logistic regression, SVM, XGBoost) are seed-invariant (SD ≈ 0). The multilayer perceptron remains positive at every seed (+0.064 to +0.277) but varies more than fourfold in magnitude (SD 0.064). The random forest changes sign across seeds (−0.116 to +0.228, SD 0.110), centring near zero.</w:t>
      </w:r>
    </w:p>
    <w:p w14:paraId="21705A0B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6CC914E2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35960BAD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45D9D644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34D4F938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14AA7F2B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21C50889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580FF35A" w14:textId="77777777" w:rsidR="00DA09A3" w:rsidRDefault="00DA09A3">
      <w:pPr>
        <w:spacing w:before="80" w:after="80"/>
      </w:pPr>
    </w:p>
    <w:p w14:paraId="140ACCAF" w14:textId="77777777" w:rsidR="00B060DD" w:rsidRDefault="00B060DD"/>
    <w:p w14:paraId="7D5B17BC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Table S3. </w:t>
      </w:r>
      <w:r>
        <w:rPr>
          <w:rFonts w:ascii="Times New Roman" w:hAnsi="Times New Roman" w:cs="Times New Roman"/>
        </w:rPr>
        <w:t xml:space="preserve">Per-oxide leave-one-oxide-out folds (full XGBoost model). Each oxide is held out in turn; n and number cytotoxic are for the held-out oxide.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8"/>
        <w:gridCol w:w="975"/>
        <w:gridCol w:w="2495"/>
        <w:gridCol w:w="3036"/>
      </w:tblGrid>
      <w:tr w:rsidR="00B060DD" w14:paraId="2E02BC1C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A700C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Held-out oxide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953CC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0B858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Cytotoxic (n)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1CA56A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Fold MCC</w:t>
            </w:r>
          </w:p>
        </w:tc>
      </w:tr>
      <w:tr w:rsidR="00B060DD" w14:paraId="07F4CFD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F755E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ZnO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7C06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190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C494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485F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B060DD" w14:paraId="617CB8D4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5526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TiO₂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70C3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120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C68C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D83F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0.103</w:t>
            </w:r>
          </w:p>
        </w:tc>
      </w:tr>
      <w:tr w:rsidR="00B060DD" w14:paraId="745346F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B80E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CuO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CAFE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4FB2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4A10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0.777</w:t>
            </w:r>
          </w:p>
        </w:tc>
      </w:tr>
      <w:tr w:rsidR="00B060DD" w14:paraId="65ADF9CB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54F8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Al₂O₃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824D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8A143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5453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NA (single-class)</w:t>
            </w:r>
          </w:p>
        </w:tc>
      </w:tr>
      <w:tr w:rsidR="00B060DD" w14:paraId="7B7AC159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4C94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Fe₂O₃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A44D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EDD3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9785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NA (single-class)</w:t>
            </w:r>
          </w:p>
        </w:tc>
      </w:tr>
      <w:tr w:rsidR="00B060DD" w14:paraId="59E7DD3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87D6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Pooled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08F7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364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BE1E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B54A1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</w:tr>
    </w:tbl>
    <w:p w14:paraId="2F1DB1A3" w14:textId="77777777" w:rsidR="00B060DD" w:rsidRDefault="00000000">
      <w:pPr>
        <w:spacing w:before="80" w:after="80"/>
      </w:pPr>
      <w:r>
        <w:rPr>
          <w:i/>
          <w:iCs/>
          <w:sz w:val="18"/>
          <w:szCs w:val="18"/>
        </w:rPr>
        <w:t xml:space="preserve">Folds for Al₂O₃ and Fe₂O₃ are undefined (single class). Pooled MCC [95% CI −0.182, −0.009]. The high CuO and TiO₂ folds rest on only 7 and 1 cytotoxic instances and are shown for transparency only.</w:t>
      </w:r>
    </w:p>
    <w:p w14:paraId="21349854" w14:textId="77777777" w:rsidR="00B060DD" w:rsidRDefault="00B060DD"/>
    <w:p w14:paraId="79C48762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Table S4. </w:t>
      </w:r>
      <w:r>
        <w:rPr>
          <w:rFonts w:ascii="Times New Roman" w:hAnsi="Times New Roman" w:cs="Times New Roman"/>
        </w:rPr>
        <w:t>Feature-set decomposition under LOMO (XGBoost). MCC with 95% bootstrap CIs for the full descriptor set, dose only, and descriptors excluding dose.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30"/>
        <w:gridCol w:w="1805"/>
        <w:gridCol w:w="2387"/>
        <w:gridCol w:w="1432"/>
      </w:tblGrid>
      <w:tr w:rsidR="00B060DD" w14:paraId="23C4069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AB5A3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Feature set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6EB94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LOMO MCC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883E7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95% CI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90790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≈ chance</w:t>
            </w:r>
          </w:p>
        </w:tc>
      </w:tr>
      <w:tr w:rsidR="00B060DD" w14:paraId="43C50A5D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CA7B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Full descriptor set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A01E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8A5A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[−0.182, −0.009]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7FF9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34DA26D3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B68B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Dose only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C8FD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−0.164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70BD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[−0.221, −0.084]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DFDB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6CB227FF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036F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Descriptors excluding dose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1A1C3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−0.146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94C6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[−0.178, −0.114]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6323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</w:tbl>
    <w:p w14:paraId="09B559AD" w14:textId="77777777" w:rsidR="00B060DD" w:rsidRDefault="00000000">
      <w:pPr>
        <w:spacing w:before="80" w:after="80"/>
      </w:pPr>
      <w:r>
        <w:rPr>
          <w:i/>
          <w:iCs/>
          <w:sz w:val="18"/>
          <w:szCs w:val="18"/>
        </w:rPr>
        <w:t>All subsets produce below-chance MCCs; no subset of the available descriptors supported above-chance cross-material generalization. The dose-only row refers to XGBoost fitted on the dose descriptor alone, which is not the same as the single-variable dose-threshold baseline of Section 3.2: that baseline selects a cut maximizing training-partition MCC and applies it directly, rather than fitting a flexible model to one feature. The two are therefore not comparable, and the threshold rule's higher performance reflects the estimator rather than additional information.</w:t>
      </w:r>
    </w:p>
    <w:p w14:paraId="0D3DF507" w14:textId="77777777" w:rsidR="00B060DD" w:rsidRDefault="00B060DD"/>
    <w:p w14:paraId="1CEDC358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Table S5. </w:t>
      </w:r>
      <w:r>
        <w:rPr>
          <w:rFonts w:ascii="Times New Roman" w:hAnsi="Times New Roman" w:cs="Times New Roman"/>
        </w:rPr>
        <w:t>Class frequencies within each leave-one-oxide-out fold. For each held-out oxide, the number of cytotoxic and non-cytotoxic held-out instances and the cytotoxic fraction.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23"/>
        <w:gridCol w:w="1651"/>
        <w:gridCol w:w="1376"/>
        <w:gridCol w:w="1930"/>
        <w:gridCol w:w="2374"/>
      </w:tblGrid>
      <w:tr w:rsidR="00B060DD" w14:paraId="56FB3685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BCA7A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Held-out oxide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39D6A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 (held out)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FA9EFB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Cytotoxic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1FB38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Non-cytotoxic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F6CBB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Cytotoxic fraction</w:t>
            </w:r>
          </w:p>
        </w:tc>
      </w:tr>
      <w:tr w:rsidR="00B060DD" w14:paraId="1155F5DF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77E6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ZnO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A344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190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54F0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94BBD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130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634D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0.316</w:t>
            </w:r>
          </w:p>
        </w:tc>
      </w:tr>
      <w:tr w:rsidR="00B060DD" w14:paraId="58B1ECB9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636B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TiO₂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DE7F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120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9C91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59FE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119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41B2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0.008</w:t>
            </w:r>
          </w:p>
        </w:tc>
      </w:tr>
      <w:tr w:rsidR="00B060DD" w14:paraId="02B3CFD9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35B5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CuO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3BBD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294F5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6881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A40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0.389</w:t>
            </w:r>
          </w:p>
        </w:tc>
      </w:tr>
      <w:tr w:rsidR="00B060DD" w14:paraId="734686CE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9799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Al₂O₃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B8EA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D390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15B2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3761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B060DD" w14:paraId="04B344B9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E71F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Fe₂O₃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7D92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32190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6673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3D01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</w:tr>
      <w:tr w:rsidR="00B060DD" w14:paraId="7BA566D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0279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Total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B1F5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364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E775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6296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296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FA04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0.187</w:t>
            </w:r>
          </w:p>
        </w:tc>
      </w:tr>
    </w:tbl>
    <w:p w14:paraId="13662649" w14:textId="77777777" w:rsidR="00B060DD" w:rsidRDefault="00000000">
      <w:pPr>
        <w:spacing w:before="80" w:after="8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Cytotoxic instances are heavily concentrated in ZnO (60 of 68). Two oxides (Al₂O₃, Fe₂O₃) contain no cytotoxic instances, leaving their folds single-class and their fold MCC undefined.</w:t>
      </w:r>
    </w:p>
    <w:p w14:paraId="7EBE469B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10DE4569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7E73D06C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43DF5578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228A9529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570460FC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2E0AA5E7" w14:textId="77777777" w:rsidR="00DA09A3" w:rsidRDefault="00DA09A3">
      <w:pPr>
        <w:spacing w:before="80" w:after="80"/>
        <w:rPr>
          <w:i/>
          <w:iCs/>
          <w:sz w:val="18"/>
          <w:szCs w:val="18"/>
        </w:rPr>
      </w:pPr>
    </w:p>
    <w:p w14:paraId="24A9075E" w14:textId="77777777" w:rsidR="00DA09A3" w:rsidRDefault="00DA09A3">
      <w:pPr>
        <w:spacing w:before="80" w:after="80"/>
      </w:pPr>
    </w:p>
    <w:p w14:paraId="50D78793" w14:textId="77777777" w:rsidR="00B060DD" w:rsidRDefault="00B060DD"/>
    <w:p w14:paraId="7778F00F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Table S6. </w:t>
      </w:r>
      <w:r>
        <w:rPr>
          <w:rFonts w:ascii="Times New Roman" w:hAnsi="Times New Roman" w:cs="Times New Roman"/>
        </w:rPr>
        <w:t>Hyperparameter sensitivity. LOMO MCC (with 95% percentile-bootstrap CI) across a small grid of reasonable settings for the random forest, support vector machine, and multilayer perceptron.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5"/>
        <w:gridCol w:w="3672"/>
        <w:gridCol w:w="1223"/>
        <w:gridCol w:w="1617"/>
        <w:gridCol w:w="1357"/>
      </w:tblGrid>
      <w:tr w:rsidR="00B060DD" w14:paraId="49D9E9C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E7199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Model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8E80D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Setting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B2318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LOMO MCC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E50E6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95% CI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240B9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CI excludes 0</w:t>
            </w:r>
          </w:p>
        </w:tc>
      </w:tr>
      <w:tr w:rsidR="00B060DD" w14:paraId="512A591B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93DF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C31E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n_estimators=100, max_depth=None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37C0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−0.116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8AF8B4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[−0.192, −0.033]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4068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(below 0)</w:t>
            </w:r>
          </w:p>
        </w:tc>
      </w:tr>
      <w:tr w:rsidR="00B060DD" w14:paraId="524E915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93D5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33F5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n_estimators=300, max_depth=None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C10B46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−0.055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A582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[−0.148, +0.045]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4438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5C7DF886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9A80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1F884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n_estimators=300, max_depth=5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B078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−0.055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D48E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[−0.146, +0.046]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4F1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363CC66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B41E5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D04D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n_estimators=500, max_depth=10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0658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−0.089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3E4A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[−0.172, +0.003]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8AB9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7A47D676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6C5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08ED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n_estimators=300, min_samples_leaf=5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589C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−0.070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37AC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[−0.141, +0.021]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AC65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6D18C3E8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B6B9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SVM (RBF)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A9FE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C=0.1, gamma=scale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4141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292C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[0.000, 0.000]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6153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584F4E2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08ED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SVM (RBF)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13EBB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C=1, gamma=scale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47057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906B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[−0.133, −0.075]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55B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(below 0)</w:t>
            </w:r>
          </w:p>
        </w:tc>
      </w:tr>
      <w:tr w:rsidR="00B060DD" w14:paraId="70639F76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5437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SVM (RBF)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A399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C=10, gamma=scale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1594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−0.017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C0FA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[−0.106, +0.081]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15F5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3DDB8A1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972A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SVM (RBF)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E0ED4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C=1, gamma=0.1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A960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9719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[−0.135, −0.075]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8784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(below 0)</w:t>
            </w:r>
          </w:p>
        </w:tc>
      </w:tr>
      <w:tr w:rsidR="00B060DD" w14:paraId="30EC3518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4CB08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SVM (RBF)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DED2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C=10, gamma=0.01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012D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−0.014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0816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[−0.105, +0.088]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F0189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060DD" w14:paraId="7072F0C5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DA43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1012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hidden=(50,), alpha=1e-4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54FA4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+0.205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D1BB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[+0.087, +0.318]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C62B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(above 0)</w:t>
            </w:r>
          </w:p>
        </w:tc>
      </w:tr>
      <w:tr w:rsidR="00B060DD" w14:paraId="247DB9D3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BB8E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1D2E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hidden=(100,), alpha=1e-4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3F4D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+0.166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442D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[+0.052, +0.279]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59D3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(above 0)</w:t>
            </w:r>
          </w:p>
        </w:tc>
      </w:tr>
      <w:tr w:rsidR="00B060DD" w14:paraId="0F54AF29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EA1E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5007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hidden=(100,50), alpha=1e-4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0ADC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+0.277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67FA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[+0.167, +0.391]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B3E6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(above 0)</w:t>
            </w:r>
          </w:p>
        </w:tc>
      </w:tr>
      <w:tr w:rsidR="00B060DD" w14:paraId="0A39D3CF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079E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1941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hidden=(100,), alpha=1e-2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B3C4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+0.170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4353C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[+0.054, +0.285]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265D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(above 0)</w:t>
            </w:r>
          </w:p>
        </w:tc>
      </w:tr>
      <w:tr w:rsidR="00B060DD" w14:paraId="66D294A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F527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C584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hidden=(100,), alpha=1.0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397F4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+0.210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91E4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[+0.089, +0.336]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BF4F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Yes (above 0)</w:t>
            </w:r>
          </w:p>
        </w:tc>
      </w:tr>
    </w:tbl>
    <w:p w14:paraId="379CD4F5" w14:textId="77777777" w:rsidR="00B060DD" w:rsidRDefault="00000000">
      <w:pPr>
        <w:spacing w:before="80" w:after="80"/>
      </w:pPr>
      <w:r>
        <w:rPr>
          <w:i/>
          <w:iCs/>
          <w:sz w:val="18"/>
          <w:szCs w:val="18"/>
        </w:rPr>
        <w:t>Random forest and SVM are at or below chance across all settings. The multilayer perceptron is above chance with an interval excluding zero in every setting (MCC +0.166 to +0.277). No configuration of any model reaches the dose-threshold baseline of 0.410. This is a descriptive robustness check, not a model-selection procedure; nested material-level tuning would be required to select hyperparameters without leakage.</w:t>
      </w:r>
    </w:p>
    <w:p w14:paraId="16A28722" w14:textId="77777777" w:rsidR="00B060DD" w:rsidRDefault="00B060DD"/>
    <w:p w14:paraId="7426EBCE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Table S7. </w:t>
      </w:r>
      <w:r>
        <w:rPr>
          <w:rFonts w:ascii="Times New Roman" w:hAnsi="Times New Roman" w:cs="Times New Roman"/>
        </w:rPr>
        <w:t xml:space="preserve">Permutation test results. Observed leave-one-oxide-out (LOMO) MCC against the label-permutation null distribution (1,000 permutations) for the two models selected for permutation testing: XGBoost (a representative high-capacity model whose point estimate sat below zero) and the multilayer perceptron (the only model with an interval above zero). Underlies Figures S1a and S1b.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4"/>
        <w:gridCol w:w="2324"/>
        <w:gridCol w:w="1207"/>
        <w:gridCol w:w="1869"/>
        <w:gridCol w:w="1397"/>
        <w:gridCol w:w="1533"/>
      </w:tblGrid>
      <w:tr w:rsidR="00B060DD" w14:paraId="655CE127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1307B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Model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D8EDD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Observed LOMO MCC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E8643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Null mean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160E0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Null 95% interval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9E557A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Two-sided 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21CEF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Permutations</w:t>
            </w:r>
          </w:p>
        </w:tc>
      </w:tr>
      <w:tr w:rsidR="00B060DD" w14:paraId="6C649053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6775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XGBoost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C830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−0.105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C195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−0.002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3BD25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[−0.101, +0.119]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C1F4B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0.062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9349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1,000</w:t>
            </w:r>
          </w:p>
        </w:tc>
      </w:tr>
      <w:tr w:rsidR="00B060DD" w14:paraId="29B3017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1B4D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MLP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288BA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+0.166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3F00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−0.003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C400C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[−0.102, +0.102]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91C2D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0.004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EDB12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1,000</w:t>
            </w:r>
          </w:p>
        </w:tc>
      </w:tr>
    </w:tbl>
    <w:p w14:paraId="534AE35A" w14:textId="77777777" w:rsidR="00B060DD" w:rsidRDefault="00000000">
      <w:pPr>
        <w:spacing w:before="80" w:after="80"/>
      </w:pPr>
      <w:r>
        <w:rPr>
          <w:i/>
          <w:iCs/>
          <w:sz w:val="18"/>
          <w:szCs w:val="18"/>
        </w:rPr>
        <w:t xml:space="preserve">The XGBoost observed score lies within its null 95% interval (p = 0.062), indistinguishable from chance. The multilayer perceptron observed score lies outside its null 95% interval (p = 0.004), distinguishable from chance. This is the statistical basis for treating the multilayer perceptron signal as real but narrow (see main text); it remains below the dose-threshold baseline of 0.410. As in the main text (Section 2.6), the permutation p-values and interval-based statements here are descriptive heuristics rather than formal tests of statistical significance.</w:t>
      </w:r>
    </w:p>
    <w:p w14:paraId="7B00E057" w14:textId="77777777" w:rsidR="00B060DD" w:rsidRDefault="00B060DD"/>
    <w:p w14:paraId="3B952309" w14:textId="77777777" w:rsidR="00DA09A3" w:rsidRDefault="00DA09A3"/>
    <w:p w14:paraId="077F2B18" w14:textId="77777777" w:rsidR="00DA09A3" w:rsidRDefault="00DA09A3"/>
    <w:p w14:paraId="357273C0" w14:textId="77777777" w:rsidR="00DA09A3" w:rsidRDefault="00DA09A3"/>
    <w:p w14:paraId="6A06FBDF" w14:textId="77777777" w:rsidR="00DA09A3" w:rsidRDefault="00DA09A3"/>
    <w:p w14:paraId="059092DB" w14:textId="77777777" w:rsidR="00DA09A3" w:rsidRDefault="00DA09A3"/>
    <w:p w14:paraId="452937DD" w14:textId="77777777" w:rsidR="00DA09A3" w:rsidRDefault="00DA09A3"/>
    <w:p w14:paraId="1132C84F" w14:textId="77777777" w:rsidR="00DA09A3" w:rsidRDefault="00DA09A3"/>
    <w:p w14:paraId="4FD544F0" w14:textId="77777777" w:rsidR="00DA09A3" w:rsidRDefault="00DA09A3"/>
    <w:p w14:paraId="1B366F88" w14:textId="77777777" w:rsidR="00DA09A3" w:rsidRDefault="00DA09A3"/>
    <w:p w14:paraId="6BAB51FA" w14:textId="77777777" w:rsidR="00B060DD" w:rsidRPr="00DA09A3" w:rsidRDefault="00000000" w:rsidP="00DA09A3">
      <w:pPr>
        <w:spacing w:before="240"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Table S8. </w:t>
      </w:r>
      <w:r>
        <w:rPr>
          <w:rFonts w:ascii="Times New Roman" w:hAnsi="Times New Roman" w:cs="Times New Roman"/>
        </w:rPr>
        <w:t>Software environment. Python and package versions used for all analyses. A fixed random seed (42) was used for the primary analysis, with eight seeds {0, 1, 2, 3, 7, 13, 42, 99} for the stability assessment.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13"/>
        <w:gridCol w:w="4041"/>
      </w:tblGrid>
      <w:tr w:rsidR="00B060DD" w14:paraId="1A4AADED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4E513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Software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84CA1D" w14:textId="77777777" w:rsidR="00B060DD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Version</w:t>
            </w:r>
          </w:p>
        </w:tc>
      </w:tr>
      <w:tr w:rsidR="00B060DD" w14:paraId="4D53F69E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F2C72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8F8F8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3.12.9</w:t>
            </w:r>
          </w:p>
        </w:tc>
      </w:tr>
      <w:tr w:rsidR="00B060DD" w14:paraId="5FE54680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8F1E7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4FC7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1.8.0</w:t>
            </w:r>
          </w:p>
        </w:tc>
      </w:tr>
      <w:tr w:rsidR="00B060DD" w14:paraId="0EA9DD33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E9954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XGBoost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D1CE3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3.2.0</w:t>
            </w:r>
          </w:p>
        </w:tc>
      </w:tr>
      <w:tr w:rsidR="00B060DD" w14:paraId="5C61C50F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7B1DD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NumPy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F37F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2.4.5</w:t>
            </w:r>
          </w:p>
        </w:tc>
      </w:tr>
      <w:tr w:rsidR="00B060DD" w14:paraId="56878CE1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1A63E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pandas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3718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3.0.3</w:t>
            </w:r>
          </w:p>
        </w:tc>
      </w:tr>
      <w:tr w:rsidR="00B060DD" w14:paraId="043ED692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47419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SciPy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6AD2F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1.17.1</w:t>
            </w:r>
          </w:p>
        </w:tc>
      </w:tr>
      <w:tr w:rsidR="00B060DD" w14:paraId="2CB6D408" w14:textId="77777777"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A4121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matplotlib</w:t>
            </w:r>
          </w:p>
        </w:tc>
        <w:tc>
          <w:tcPr>
            <w:tcW w:w="0" w:type="auto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181A0" w14:textId="77777777" w:rsidR="00B060DD" w:rsidRDefault="00000000">
            <w:pPr>
              <w:jc w:val="center"/>
            </w:pPr>
            <w:r>
              <w:rPr>
                <w:sz w:val="18"/>
                <w:szCs w:val="18"/>
              </w:rPr>
              <w:t>3.10.9</w:t>
            </w:r>
          </w:p>
        </w:tc>
      </w:tr>
    </w:tbl>
    <w:p w14:paraId="7CF108F3" w14:textId="77777777" w:rsidR="00B060DD" w:rsidRDefault="00000000">
      <w:pPr>
        <w:spacing w:before="80" w:after="80"/>
      </w:pPr>
      <w:r>
        <w:rPr>
          <w:i/>
          <w:iCs/>
          <w:sz w:val="18"/>
          <w:szCs w:val="18"/>
        </w:rPr>
        <w:t>Versions are pinned in requirements.txt in the analysis code repository. Deterministic results reproduce exactly on this environment; the random forest and multilayer perceptron use internal randomness and reproduce on the pinned environment.</w:t>
      </w:r>
    </w:p>
    <w:p w14:paraId="45F14E82" w14:textId="77777777" w:rsidR="00B060DD" w:rsidRDefault="00B060DD"/>
    <w:p w14:paraId="555DB15C" w14:textId="77777777" w:rsidR="00B060DD" w:rsidRPr="00DA09A3" w:rsidRDefault="00000000" w:rsidP="00DA09A3">
      <w:pPr>
        <w:spacing w:before="80" w:after="8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</w:rPr>
        <w:t>All values are reproducible from the analysis code (https://github.com/Ramesh2217/MONP-nanotox-audit; fixed seed 42, pinned software versions in requirements.txt). Deterministic results reproduce exactly; the random forest and multilayer perceptron use internal randomness and reproduce on the pinned environment. The MLP permutation test used 1,000 label permutations (observed MCC +0.166; null mean −0.003; two-sided p = 0.004).</w:t>
      </w:r>
    </w:p>
    <w:sectPr w:rsidR="00B060DD" w:rsidRPr="00DA09A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0572C"/>
    <w:multiLevelType w:val="hybridMultilevel"/>
    <w:tmpl w:val="D17C3ADC"/>
    <w:lvl w:ilvl="0" w:tplc="5A8C0A5C">
      <w:start w:val="1"/>
      <w:numFmt w:val="bullet"/>
      <w:lvlText w:val="●"/>
      <w:lvlJc w:val="left"/>
      <w:pPr>
        <w:ind w:left="720" w:hanging="360"/>
      </w:pPr>
    </w:lvl>
    <w:lvl w:ilvl="1" w:tplc="B296A05E">
      <w:start w:val="1"/>
      <w:numFmt w:val="bullet"/>
      <w:lvlText w:val="○"/>
      <w:lvlJc w:val="left"/>
      <w:pPr>
        <w:ind w:left="1440" w:hanging="360"/>
      </w:pPr>
    </w:lvl>
    <w:lvl w:ilvl="2" w:tplc="DCF8D930">
      <w:start w:val="1"/>
      <w:numFmt w:val="bullet"/>
      <w:lvlText w:val="■"/>
      <w:lvlJc w:val="left"/>
      <w:pPr>
        <w:ind w:left="2160" w:hanging="360"/>
      </w:pPr>
    </w:lvl>
    <w:lvl w:ilvl="3" w:tplc="B1F6C4E0">
      <w:start w:val="1"/>
      <w:numFmt w:val="bullet"/>
      <w:lvlText w:val="●"/>
      <w:lvlJc w:val="left"/>
      <w:pPr>
        <w:ind w:left="2880" w:hanging="360"/>
      </w:pPr>
    </w:lvl>
    <w:lvl w:ilvl="4" w:tplc="534C1896">
      <w:start w:val="1"/>
      <w:numFmt w:val="bullet"/>
      <w:lvlText w:val="○"/>
      <w:lvlJc w:val="left"/>
      <w:pPr>
        <w:ind w:left="3600" w:hanging="360"/>
      </w:pPr>
    </w:lvl>
    <w:lvl w:ilvl="5" w:tplc="834438AE">
      <w:start w:val="1"/>
      <w:numFmt w:val="bullet"/>
      <w:lvlText w:val="■"/>
      <w:lvlJc w:val="left"/>
      <w:pPr>
        <w:ind w:left="4320" w:hanging="360"/>
      </w:pPr>
    </w:lvl>
    <w:lvl w:ilvl="6" w:tplc="F6E078E4">
      <w:start w:val="1"/>
      <w:numFmt w:val="bullet"/>
      <w:lvlText w:val="●"/>
      <w:lvlJc w:val="left"/>
      <w:pPr>
        <w:ind w:left="5040" w:hanging="360"/>
      </w:pPr>
    </w:lvl>
    <w:lvl w:ilvl="7" w:tplc="3348DB86">
      <w:start w:val="1"/>
      <w:numFmt w:val="bullet"/>
      <w:lvlText w:val="●"/>
      <w:lvlJc w:val="left"/>
      <w:pPr>
        <w:ind w:left="5760" w:hanging="360"/>
      </w:pPr>
    </w:lvl>
    <w:lvl w:ilvl="8" w:tplc="27205F8C">
      <w:start w:val="1"/>
      <w:numFmt w:val="bullet"/>
      <w:lvlText w:val="●"/>
      <w:lvlJc w:val="left"/>
      <w:pPr>
        <w:ind w:left="6480" w:hanging="360"/>
      </w:pPr>
    </w:lvl>
  </w:abstractNum>
  <w:num w:numId="1" w16cid:durableId="873175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0DD"/>
    <w:rsid w:val="00655D99"/>
    <w:rsid w:val="00795A37"/>
    <w:rsid w:val="00B060DD"/>
    <w:rsid w:val="00B17C92"/>
    <w:rsid w:val="00DA09A3"/>
    <w:rsid w:val="00DC6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96455"/>
  <w15:docId w15:val="{26BCD069-0A17-478D-8964-9E86FEEFE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1322</Words>
  <Characters>7542</Characters>
  <Application>Microsoft Office Word</Application>
  <DocSecurity>0</DocSecurity>
  <Lines>62</Lines>
  <Paragraphs>17</Paragraphs>
  <ScaleCrop>false</ScaleCrop>
  <Company/>
  <LinksUpToDate>false</LinksUpToDate>
  <CharactersWithSpaces>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rameshavu@outlook.com</cp:lastModifiedBy>
  <cp:revision>3</cp:revision>
  <dcterms:created xsi:type="dcterms:W3CDTF">2026-06-27T10:05:00Z</dcterms:created>
  <dcterms:modified xsi:type="dcterms:W3CDTF">2026-06-27T10:08:00Z</dcterms:modified>
</cp:coreProperties>
</file>