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Gray"/>
        <w:widowControl w:val="1"/>
      </w:pPr>
      <w:r>
        <w:t>SCOTTISHPOWER</w:t>
      </w:r>
    </w:p>
    <w:p>
      <w:pPr>
        <w:pStyle w:val="Title"/>
      </w:pPr>
      <w:r>
        <w:t>Elastic Stack Cloud</w:t>
        <w:br/>
        <w:t>Operations Runbook</w:t>
      </w:r>
    </w:p>
    <w:p>
      <w:pPr>
        <w:widowControl w:val="1"/>
      </w:pPr>
      <w:r>
        <w:rPr>
          <w:color w:val="00747E"/>
          <w:sz w:val="24"/>
        </w:rPr>
        <w:t>Monitoring  •  Maintenance  •  Incident Response  •  Recovery</w:t>
      </w:r>
    </w:p>
    <w:p>
      <w:pPr>
        <w:widowControl w:val="1"/>
      </w:pPr>
      <w:r>
        <w:t>Elastic Cloud Hosted | AWS eu-west-2 | Production and other approved environments</w:t>
      </w:r>
    </w:p>
    <w:p/>
    <w:tbl>
      <w:tblPr>
        <w:tblStyle w:val="TableGrid"/>
        <w:tblW w:type="auto" w:w="0"/>
        <w:jc w:val="center"/>
        <w:tblLayout w:type="fixed"/>
        <w:tblLook w:firstColumn="1" w:firstRow="1" w:lastColumn="0" w:lastRow="0" w:noHBand="0" w:noVBand="1" w:val="04A0"/>
      </w:tblPr>
      <w:tblGrid>
        <w:gridCol w:w="4776"/>
        <w:gridCol w:w="4776"/>
      </w:tblGrid>
      <w:tr>
        <w:trPr>
          <w:tblHeader w:val="true"/>
        </w:trPr>
        <w:tc>
          <w:tcPr>
            <w:tcW w:type="dxa" w:w="2835"/>
            <w:shd w:fill="15456B"/>
            <w:tcMar>
              <w:top w:w="85" w:type="dxa"/>
              <w:start w:w="90" w:type="dxa"/>
              <w:bottom w:w="85" w:type="dxa"/>
              <w:end w:w="90" w:type="dxa"/>
            </w:tcMar>
          </w:tcPr>
          <w:p>
            <w:pPr>
              <w:spacing w:after="0"/>
            </w:pPr>
            <w:r>
              <w:rPr>
                <w:b/>
                <w:color w:val="FFFFFF"/>
                <w:sz w:val="16"/>
              </w:rPr>
              <w:t>Document control</w:t>
            </w:r>
          </w:p>
        </w:tc>
        <w:tc>
          <w:tcPr>
            <w:tcW w:type="dxa" w:w="6576"/>
            <w:shd w:fill="15456B"/>
            <w:tcMar>
              <w:top w:w="85" w:type="dxa"/>
              <w:start w:w="90" w:type="dxa"/>
              <w:bottom w:w="85" w:type="dxa"/>
              <w:end w:w="90" w:type="dxa"/>
            </w:tcMar>
          </w:tcPr>
          <w:p>
            <w:pPr>
              <w:spacing w:after="0"/>
            </w:pPr>
            <w:r>
              <w:rPr>
                <w:b/>
                <w:color w:val="FFFFFF"/>
                <w:sz w:val="16"/>
              </w:rPr>
              <w:t>Value</w:t>
            </w:r>
          </w:p>
        </w:tc>
      </w:tr>
      <w:tr>
        <w:tc>
          <w:tcPr>
            <w:tcW w:type="dxa" w:w="2835"/>
            <w:vAlign w:val="center"/>
            <w:tcMar>
              <w:top w:w="85" w:type="dxa"/>
              <w:start w:w="90" w:type="dxa"/>
              <w:bottom w:w="85" w:type="dxa"/>
              <w:end w:w="90" w:type="dxa"/>
            </w:tcMar>
          </w:tcPr>
          <w:p>
            <w:pPr>
              <w:spacing w:after="0" w:line="257" w:lineRule="auto"/>
            </w:pPr>
            <w:r>
              <w:rPr>
                <w:sz w:val="16"/>
              </w:rPr>
              <w:t>Document ID</w:t>
            </w:r>
          </w:p>
        </w:tc>
        <w:tc>
          <w:tcPr>
            <w:tcW w:type="dxa" w:w="6576"/>
            <w:vAlign w:val="center"/>
            <w:tcMar>
              <w:top w:w="85" w:type="dxa"/>
              <w:start w:w="90" w:type="dxa"/>
              <w:bottom w:w="85" w:type="dxa"/>
              <w:end w:w="90" w:type="dxa"/>
            </w:tcMar>
          </w:tcPr>
          <w:p>
            <w:pPr>
              <w:spacing w:after="0" w:line="257" w:lineRule="auto"/>
            </w:pPr>
            <w:r>
              <w:rPr>
                <w:sz w:val="16"/>
              </w:rPr>
              <w:t>SP-OBS-ELASTIC-RUNBOOK (proposed; confirm)</w:t>
            </w:r>
          </w:p>
        </w:tc>
      </w:tr>
      <w:tr>
        <w:tc>
          <w:tcPr>
            <w:tcW w:type="dxa" w:w="2835"/>
            <w:vAlign w:val="center"/>
            <w:tcMar>
              <w:top w:w="85" w:type="dxa"/>
              <w:start w:w="90" w:type="dxa"/>
              <w:bottom w:w="85" w:type="dxa"/>
              <w:end w:w="90" w:type="dxa"/>
            </w:tcMar>
            <w:shd w:fill="F0F5F7"/>
          </w:tcPr>
          <w:p>
            <w:pPr>
              <w:spacing w:after="0" w:line="257" w:lineRule="auto"/>
            </w:pPr>
            <w:r>
              <w:rPr>
                <w:sz w:val="16"/>
              </w:rPr>
              <w:t>Version/status</w:t>
            </w:r>
          </w:p>
        </w:tc>
        <w:tc>
          <w:tcPr>
            <w:tcW w:type="dxa" w:w="6576"/>
            <w:vAlign w:val="center"/>
            <w:tcMar>
              <w:top w:w="85" w:type="dxa"/>
              <w:start w:w="90" w:type="dxa"/>
              <w:bottom w:w="85" w:type="dxa"/>
              <w:end w:w="90" w:type="dxa"/>
            </w:tcMar>
            <w:shd w:fill="F0F5F7"/>
          </w:tcPr>
          <w:p>
            <w:pPr>
              <w:spacing w:after="0" w:line="257" w:lineRule="auto"/>
            </w:pPr>
            <w:r>
              <w:rPr>
                <w:sz w:val="16"/>
              </w:rPr>
              <w:t>0.9 - review draft; not approved for production use</w:t>
            </w:r>
          </w:p>
        </w:tc>
      </w:tr>
      <w:tr>
        <w:tc>
          <w:tcPr>
            <w:tcW w:type="dxa" w:w="2835"/>
            <w:vAlign w:val="center"/>
            <w:tcMar>
              <w:top w:w="85" w:type="dxa"/>
              <w:start w:w="90" w:type="dxa"/>
              <w:bottom w:w="85" w:type="dxa"/>
              <w:end w:w="90" w:type="dxa"/>
            </w:tcMar>
          </w:tcPr>
          <w:p>
            <w:pPr>
              <w:spacing w:after="0" w:line="257" w:lineRule="auto"/>
            </w:pPr>
            <w:r>
              <w:rPr>
                <w:sz w:val="16"/>
              </w:rPr>
              <w:t>Date</w:t>
            </w:r>
          </w:p>
        </w:tc>
        <w:tc>
          <w:tcPr>
            <w:tcW w:type="dxa" w:w="6576"/>
            <w:vAlign w:val="center"/>
            <w:tcMar>
              <w:top w:w="85" w:type="dxa"/>
              <w:start w:w="90" w:type="dxa"/>
              <w:bottom w:w="85" w:type="dxa"/>
              <w:end w:w="90" w:type="dxa"/>
            </w:tcMar>
          </w:tcPr>
          <w:p>
            <w:pPr>
              <w:spacing w:after="0" w:line="257" w:lineRule="auto"/>
            </w:pPr>
            <w:r>
              <w:rPr>
                <w:sz w:val="16"/>
              </w:rPr>
              <w:t>20 October 2026</w:t>
            </w:r>
          </w:p>
        </w:tc>
      </w:tr>
      <w:tr>
        <w:tc>
          <w:tcPr>
            <w:tcW w:type="dxa" w:w="2835"/>
            <w:vAlign w:val="center"/>
            <w:tcMar>
              <w:top w:w="85" w:type="dxa"/>
              <w:start w:w="90" w:type="dxa"/>
              <w:bottom w:w="85" w:type="dxa"/>
              <w:end w:w="90" w:type="dxa"/>
            </w:tcMar>
            <w:shd w:fill="F0F5F7"/>
          </w:tcPr>
          <w:p>
            <w:pPr>
              <w:spacing w:after="0" w:line="257" w:lineRule="auto"/>
            </w:pPr>
            <w:r>
              <w:rPr>
                <w:sz w:val="16"/>
              </w:rPr>
              <w:t>Business owner</w:t>
            </w:r>
          </w:p>
        </w:tc>
        <w:tc>
          <w:tcPr>
            <w:tcW w:type="dxa" w:w="6576"/>
            <w:vAlign w:val="center"/>
            <w:tcMar>
              <w:top w:w="85" w:type="dxa"/>
              <w:start w:w="90" w:type="dxa"/>
              <w:bottom w:w="85" w:type="dxa"/>
              <w:end w:w="90" w:type="dxa"/>
            </w:tcMar>
            <w:shd w:fill="F0F5F7"/>
          </w:tcPr>
          <w:p>
            <w:pPr>
              <w:spacing w:after="0" w:line="257" w:lineRule="auto"/>
            </w:pPr>
            <w:r>
              <w:rPr>
                <w:sz w:val="16"/>
              </w:rPr>
              <w:t>[CONFIRM]</w:t>
            </w:r>
          </w:p>
        </w:tc>
      </w:tr>
      <w:tr>
        <w:tc>
          <w:tcPr>
            <w:tcW w:type="dxa" w:w="2835"/>
            <w:vAlign w:val="center"/>
            <w:tcMar>
              <w:top w:w="85" w:type="dxa"/>
              <w:start w:w="90" w:type="dxa"/>
              <w:bottom w:w="85" w:type="dxa"/>
              <w:end w:w="90" w:type="dxa"/>
            </w:tcMar>
          </w:tcPr>
          <w:p>
            <w:pPr>
              <w:spacing w:after="0" w:line="257" w:lineRule="auto"/>
            </w:pPr>
            <w:r>
              <w:rPr>
                <w:sz w:val="16"/>
              </w:rPr>
              <w:t>Technical owner</w:t>
            </w:r>
          </w:p>
        </w:tc>
        <w:tc>
          <w:tcPr>
            <w:tcW w:type="dxa" w:w="6576"/>
            <w:vAlign w:val="center"/>
            <w:tcMar>
              <w:top w:w="85" w:type="dxa"/>
              <w:start w:w="90" w:type="dxa"/>
              <w:bottom w:w="85" w:type="dxa"/>
              <w:end w:w="90" w:type="dxa"/>
            </w:tcMar>
          </w:tcPr>
          <w:p>
            <w:pPr>
              <w:spacing w:after="0" w:line="257" w:lineRule="auto"/>
            </w:pPr>
            <w:r>
              <w:rPr>
                <w:sz w:val="16"/>
              </w:rPr>
              <w:t>[CONFIRM]</w:t>
            </w:r>
          </w:p>
        </w:tc>
      </w:tr>
      <w:tr>
        <w:tc>
          <w:tcPr>
            <w:tcW w:type="dxa" w:w="2835"/>
            <w:vAlign w:val="center"/>
            <w:tcMar>
              <w:top w:w="85" w:type="dxa"/>
              <w:start w:w="90" w:type="dxa"/>
              <w:bottom w:w="85" w:type="dxa"/>
              <w:end w:w="90" w:type="dxa"/>
            </w:tcMar>
            <w:shd w:fill="F0F5F7"/>
          </w:tcPr>
          <w:p>
            <w:pPr>
              <w:spacing w:after="0" w:line="257" w:lineRule="auto"/>
            </w:pPr>
            <w:r>
              <w:rPr>
                <w:sz w:val="16"/>
              </w:rPr>
              <w:t>Approver / review cycle</w:t>
            </w:r>
          </w:p>
        </w:tc>
        <w:tc>
          <w:tcPr>
            <w:tcW w:type="dxa" w:w="6576"/>
            <w:vAlign w:val="center"/>
            <w:tcMar>
              <w:top w:w="85" w:type="dxa"/>
              <w:start w:w="90" w:type="dxa"/>
              <w:bottom w:w="85" w:type="dxa"/>
              <w:end w:w="90" w:type="dxa"/>
            </w:tcMar>
            <w:shd w:fill="F0F5F7"/>
          </w:tcPr>
          <w:p>
            <w:pPr>
              <w:spacing w:after="0" w:line="257" w:lineRule="auto"/>
            </w:pPr>
            <w:r>
              <w:rPr>
                <w:sz w:val="16"/>
              </w:rPr>
              <w:t>[CONFIRM] / quarterly and after major incidents or platform changes</w:t>
            </w:r>
          </w:p>
        </w:tc>
      </w:tr>
      <w:tr>
        <w:tc>
          <w:tcPr>
            <w:tcW w:type="dxa" w:w="2835"/>
            <w:vAlign w:val="center"/>
            <w:tcMar>
              <w:top w:w="85" w:type="dxa"/>
              <w:start w:w="90" w:type="dxa"/>
              <w:bottom w:w="85" w:type="dxa"/>
              <w:end w:w="90" w:type="dxa"/>
            </w:tcMar>
          </w:tcPr>
          <w:p>
            <w:pPr>
              <w:spacing w:after="0" w:line="257" w:lineRule="auto"/>
            </w:pPr>
            <w:r>
              <w:rPr>
                <w:sz w:val="16"/>
              </w:rPr>
              <w:t>Classification</w:t>
            </w:r>
          </w:p>
        </w:tc>
        <w:tc>
          <w:tcPr>
            <w:tcW w:type="dxa" w:w="6576"/>
            <w:vAlign w:val="center"/>
            <w:tcMar>
              <w:top w:w="85" w:type="dxa"/>
              <w:start w:w="90" w:type="dxa"/>
              <w:bottom w:w="85" w:type="dxa"/>
              <w:end w:w="90" w:type="dxa"/>
            </w:tcMar>
          </w:tcPr>
          <w:p>
            <w:pPr>
              <w:spacing w:after="0" w:line="257" w:lineRule="auto"/>
            </w:pPr>
            <w:r>
              <w:rPr>
                <w:sz w:val="16"/>
              </w:rPr>
              <w:t>Internal - review against ScottishPower information handling policy</w:t>
            </w:r>
          </w:p>
        </w:tc>
      </w:tr>
      <w:tr>
        <w:tc>
          <w:tcPr>
            <w:tcW w:type="dxa" w:w="2835"/>
            <w:vAlign w:val="center"/>
            <w:tcMar>
              <w:top w:w="85" w:type="dxa"/>
              <w:start w:w="90" w:type="dxa"/>
              <w:bottom w:w="85" w:type="dxa"/>
              <w:end w:w="90" w:type="dxa"/>
            </w:tcMar>
            <w:shd w:fill="F0F5F7"/>
          </w:tcPr>
          <w:p>
            <w:pPr>
              <w:spacing w:after="0" w:line="257" w:lineRule="auto"/>
            </w:pPr>
            <w:r>
              <w:rPr>
                <w:sz w:val="16"/>
              </w:rPr>
              <w:t>Related documents</w:t>
            </w:r>
          </w:p>
        </w:tc>
        <w:tc>
          <w:tcPr>
            <w:tcW w:type="dxa" w:w="6576"/>
            <w:vAlign w:val="center"/>
            <w:tcMar>
              <w:top w:w="85" w:type="dxa"/>
              <w:start w:w="90" w:type="dxa"/>
              <w:bottom w:w="85" w:type="dxa"/>
              <w:end w:w="90" w:type="dxa"/>
            </w:tcMar>
            <w:shd w:fill="F0F5F7"/>
          </w:tcPr>
          <w:p>
            <w:pPr>
              <w:spacing w:after="0" w:line="257" w:lineRule="auto"/>
            </w:pPr>
            <w:r>
              <w:rPr>
                <w:sz w:val="16"/>
              </w:rPr>
              <w:t>Service inventory; escalation matrix; incident management; change management; resilience policy; access standards</w:t>
            </w:r>
          </w:p>
        </w:tc>
      </w:tr>
    </w:tbl>
    <w:p>
      <w:pPr>
        <w:spacing w:after="0"/>
      </w:pPr>
    </w:p>
    <w:tbl>
      <w:tblPr>
        <w:tblW w:type="auto" w:w="0"/>
        <w:tblLayout w:type="fixed"/>
        <w:tblLook w:firstColumn="1" w:firstRow="1" w:lastColumn="0" w:lastRow="0" w:noHBand="0" w:noVBand="1" w:val="04A0"/>
      </w:tblPr>
      <w:tblGrid>
        <w:gridCol w:w="9553"/>
      </w:tblGrid>
      <w:tr>
        <w:tc>
          <w:tcPr>
            <w:tcW w:type="dxa" w:w="9553"/>
            <w:shd w:fill="E8F2F2"/>
            <w:tcMar>
              <w:top w:w="100" w:type="dxa"/>
              <w:start w:w="150" w:type="dxa"/>
              <w:bottom w:w="100" w:type="dxa"/>
              <w:end w:w="150" w:type="dxa"/>
            </w:tcMar>
          </w:tcPr>
          <w:p>
            <w:r>
              <w:rPr>
                <w:b/>
                <w:color w:val="00747E"/>
              </w:rPr>
              <w:t xml:space="preserve">CONTROL POINT  </w:t>
            </w:r>
            <w:r>
              <w:t>This is a draft based on screenshots of an existing runbook and team review comments. Service URLs, node counts, RTO/RPO, alert thresholds, supported versions, ownership and approved escalation routes must be verified by ScottishPower before operational sign-off.</w:t>
            </w:r>
          </w:p>
        </w:tc>
      </w:tr>
    </w:tbl>
    <w:p>
      <w:pPr>
        <w:spacing w:after="0"/>
      </w:pPr>
    </w:p>
    <w:p>
      <w:pPr>
        <w:pStyle w:val="Heading2"/>
        <w:widowControl w:val="1"/>
      </w:pPr>
      <w:r>
        <w:t>Who should use this runbook</w:t>
      </w:r>
    </w:p>
    <w:p>
      <w:pPr>
        <w:widowControl w:val="1"/>
      </w:pPr>
      <w:r>
        <w:t>Service desk and non-technical coordinators use the plain-language symptoms, decision rules, ticket guidance and escalation steps. Observability engineers and authorised administrators use Kibana, the Elastic Cloud console and the read-only diagnostic APIs. Write operations require an approved change or incident authorisation.</w:t>
      </w:r>
    </w:p>
    <w:p>
      <w:r>
        <w:br w:type="page"/>
      </w:r>
    </w:p>
    <w:p>
      <w:pPr>
        <w:pStyle w:val="Heading1"/>
        <w:widowControl w:val="1"/>
      </w:pPr>
      <w:r>
        <w:t>Contents</w:t>
      </w:r>
    </w:p>
    <w:p>
      <w:pPr>
        <w:pStyle w:val="ListBullet"/>
        <w:widowControl w:val="1"/>
      </w:pPr>
      <w:r>
        <w:t>1. How to use this runbook and scope</w:t>
      </w:r>
    </w:p>
    <w:p>
      <w:pPr>
        <w:pStyle w:val="ListBullet"/>
        <w:widowControl w:val="1"/>
      </w:pPr>
      <w:r>
        <w:t>2. Elastic Stack explained in everyday language</w:t>
      </w:r>
    </w:p>
    <w:p>
      <w:pPr>
        <w:pStyle w:val="ListBullet"/>
        <w:widowControl w:val="1"/>
      </w:pPr>
      <w:r>
        <w:t>3. ScottishPower cloud architecture and service inventory</w:t>
      </w:r>
    </w:p>
    <w:p>
      <w:pPr>
        <w:pStyle w:val="ListBullet"/>
        <w:widowControl w:val="1"/>
      </w:pPr>
      <w:r>
        <w:t>4. Operating model, security boundaries and escalation</w:t>
      </w:r>
    </w:p>
    <w:p>
      <w:pPr>
        <w:pStyle w:val="ListBullet"/>
        <w:widowControl w:val="1"/>
      </w:pPr>
      <w:r>
        <w:t>5. Operating cadence and health-check matrix</w:t>
      </w:r>
    </w:p>
    <w:p>
      <w:pPr>
        <w:pStyle w:val="ListBullet"/>
        <w:widowControl w:val="1"/>
      </w:pPr>
      <w:r>
        <w:t>6. Daily operations: detailed checks (D01-D12)</w:t>
      </w:r>
    </w:p>
    <w:p>
      <w:pPr>
        <w:pStyle w:val="ListBullet"/>
        <w:widowControl w:val="1"/>
      </w:pPr>
      <w:r>
        <w:t>7. Weekly, monthly and quarterly maintenance</w:t>
      </w:r>
    </w:p>
    <w:p>
      <w:pPr>
        <w:pStyle w:val="ListBullet"/>
        <w:widowControl w:val="1"/>
      </w:pPr>
      <w:r>
        <w:t>8. Incident and troubleshooting playbooks (IR01-IR12)</w:t>
      </w:r>
    </w:p>
    <w:p>
      <w:pPr>
        <w:pStyle w:val="ListBullet"/>
        <w:widowControl w:val="1"/>
      </w:pPr>
      <w:r>
        <w:t>9. Planned change: upgrades, onboarding and decommissioning</w:t>
      </w:r>
    </w:p>
    <w:p>
      <w:pPr>
        <w:pStyle w:val="ListBullet"/>
        <w:widowControl w:val="1"/>
      </w:pPr>
      <w:r>
        <w:t>10. Backup, restoration and disaster recovery</w:t>
      </w:r>
    </w:p>
    <w:p>
      <w:pPr>
        <w:pStyle w:val="ListBullet"/>
        <w:widowControl w:val="1"/>
      </w:pPr>
      <w:r>
        <w:t>11. Thresholds, alerts, evidence and reporting</w:t>
      </w:r>
    </w:p>
    <w:p>
      <w:pPr>
        <w:pStyle w:val="ListBullet"/>
        <w:widowControl w:val="1"/>
      </w:pPr>
      <w:r>
        <w:t>12. Acceptance checklist, open items and glossary</w:t>
      </w:r>
    </w:p>
    <w:p>
      <w:pPr>
        <w:pStyle w:val="ListBullet"/>
        <w:widowControl w:val="1"/>
      </w:pPr>
      <w:r>
        <w:t>Appendix A. Read-only diagnostic command catalogue</w:t>
      </w:r>
    </w:p>
    <w:p>
      <w:pPr>
        <w:pStyle w:val="ListBullet"/>
        <w:widowControl w:val="1"/>
      </w:pPr>
      <w:r>
        <w:t>Appendix B. Reference standards and official documentation</w:t>
      </w:r>
    </w:p>
    <w:tbl>
      <w:tblPr>
        <w:tblW w:type="auto" w:w="0"/>
        <w:tblLayout w:type="fixed"/>
        <w:tblLook w:firstColumn="1" w:firstRow="1" w:lastColumn="0" w:lastRow="0" w:noHBand="0" w:noVBand="1" w:val="04A0"/>
      </w:tblPr>
      <w:tblGrid>
        <w:gridCol w:w="9553"/>
      </w:tblGrid>
      <w:tr>
        <w:tc>
          <w:tcPr>
            <w:tcW w:type="dxa" w:w="9553"/>
            <w:shd w:fill="E8F2F2"/>
            <w:tcMar>
              <w:top w:w="100" w:type="dxa"/>
              <w:start w:w="150" w:type="dxa"/>
              <w:bottom w:w="100" w:type="dxa"/>
              <w:end w:w="150" w:type="dxa"/>
            </w:tcMar>
          </w:tcPr>
          <w:p>
            <w:r>
              <w:rPr>
                <w:b/>
                <w:color w:val="00747E"/>
              </w:rPr>
              <w:t xml:space="preserve">WORKING CONVENTION  </w:t>
            </w:r>
            <w:r>
              <w:t>Text in [SQUARE BRACKETS] indicates local ScottishPower details to supply or verify. Procedures use the current Elastic Cloud Hosted UI where possible; individual menu names vary by stack version and permissions.</w:t>
            </w:r>
          </w:p>
        </w:tc>
      </w:tr>
    </w:tbl>
    <w:p>
      <w:pPr>
        <w:spacing w:after="0"/>
      </w:pPr>
    </w:p>
    <w:p>
      <w:r>
        <w:br w:type="page"/>
      </w:r>
    </w:p>
    <w:p>
      <w:pPr>
        <w:pStyle w:val="Heading1"/>
        <w:widowControl w:val="1"/>
      </w:pPr>
      <w:r>
        <w:t>1. How to use this runbook and scope</w:t>
      </w:r>
    </w:p>
    <w:p>
      <w:pPr>
        <w:pStyle w:val="Heading2"/>
        <w:widowControl w:val="1"/>
      </w:pPr>
      <w:r>
        <w:t>1.1 Purpose</w:t>
      </w:r>
    </w:p>
    <w:p>
      <w:pPr>
        <w:widowControl w:val="1"/>
      </w:pPr>
      <w:r>
        <w:t>Provide a consistent, auditable method to operate the ScottishPower Elastic Cloud Hosted observability service. The procedures aim to detect and resolve issues early, reduce missing monitoring data, protect service availability and support controlled recovery.</w:t>
      </w:r>
    </w:p>
    <w:p>
      <w:pPr>
        <w:pStyle w:val="Heading2"/>
        <w:widowControl w:val="1"/>
      </w:pPr>
      <w:r>
        <w:t>1.2 Scope</w:t>
      </w:r>
    </w:p>
    <w:p>
      <w:pPr>
        <w:pStyle w:val="ListBullet"/>
        <w:widowControl w:val="1"/>
      </w:pPr>
      <w:r>
        <w:t>Elastic Cloud Hosted deployment health, node roles, Kibana and Integrations Server/Fleet Server (where present).</w:t>
      </w:r>
    </w:p>
    <w:p>
      <w:pPr>
        <w:pStyle w:val="ListBullet"/>
        <w:widowControl w:val="1"/>
      </w:pPr>
      <w:r>
        <w:t>Data ingestion from Elastic Agent, Filebeat, Metricbeat, Auditbeat, Logstash and approved integration sources.</w:t>
      </w:r>
    </w:p>
    <w:p>
      <w:pPr>
        <w:pStyle w:val="ListBullet"/>
        <w:widowControl w:val="1"/>
      </w:pPr>
      <w:r>
        <w:t>Logs, metrics, APM traces, synthetic availability checks, dashboards, alerts and data quality.</w:t>
      </w:r>
    </w:p>
    <w:p>
      <w:pPr>
        <w:pStyle w:val="ListBullet"/>
        <w:widowControl w:val="1"/>
      </w:pPr>
      <w:r>
        <w:t>Elasticsearch indices/data streams, lifecycle management, shard allocation, hot/warm data tiers and storage growth.</w:t>
      </w:r>
    </w:p>
    <w:p>
      <w:pPr>
        <w:pStyle w:val="ListBullet"/>
        <w:widowControl w:val="1"/>
      </w:pPr>
      <w:r>
        <w:t>Snapshots, recovery assurance, platform and component upgrades, security and access reviews.</w:t>
      </w:r>
    </w:p>
    <w:p>
      <w:pPr>
        <w:pStyle w:val="ListBullet"/>
        <w:widowControl w:val="1"/>
      </w:pPr>
      <w:r>
        <w:t>New source onboarding, changes, retirement and operational handover.</w:t>
      </w:r>
    </w:p>
    <w:p>
      <w:pPr>
        <w:pStyle w:val="Heading2"/>
        <w:widowControl w:val="1"/>
      </w:pPr>
      <w:r>
        <w:t>1.3 Out of scope</w:t>
      </w:r>
    </w:p>
    <w:p>
      <w:pPr>
        <w:widowControl w:val="1"/>
      </w:pPr>
      <w:r>
        <w:t>Underlying cloud-host hardware management, AWS infrastructure administration performed by Elastic, application source-code fixes and organisation-wide identity or networking changes. These are handled through the appropriate service provider or owning team. The runbook must be linked to those external procedures.</w:t>
      </w:r>
    </w:p>
    <w:p>
      <w:pPr>
        <w:pStyle w:val="Heading2"/>
        <w:widowControl w:val="1"/>
      </w:pPr>
      <w:r>
        <w:t>1.4 Ground rules</w:t>
      </w:r>
    </w:p>
    <w:p>
      <w:pPr>
        <w:pStyle w:val="ListBullet"/>
        <w:widowControl w:val="1"/>
      </w:pPr>
      <w:r>
        <w:t>Begin in READ-ONLY mode. Never run DELETE, PUT, POST, _reroute, _close, _open, _rollover, _ilm/retry, _snapshot restore or policy edits without the required authorisation.</w:t>
      </w:r>
    </w:p>
    <w:p>
      <w:pPr>
        <w:pStyle w:val="ListBullet"/>
        <w:widowControl w:val="1"/>
      </w:pPr>
      <w:r>
        <w:t>First determine whether the issue is a platform failure, a collection/ingest failure or an application failure. A green cluster does not prove that log data is arriving.</w:t>
      </w:r>
    </w:p>
    <w:p>
      <w:pPr>
        <w:pStyle w:val="ListBullet"/>
        <w:widowControl w:val="1"/>
      </w:pPr>
      <w:r>
        <w:t>Always scope checks to the correct deployment, Kibana Space, environment, index/data stream and time range.</w:t>
      </w:r>
    </w:p>
    <w:p>
      <w:pPr>
        <w:pStyle w:val="ListBullet"/>
        <w:widowControl w:val="1"/>
      </w:pPr>
      <w:r>
        <w:t>Capture evidence BEFORE changing a configuration: time, errors, metrics, affected systems and recent changes.</w:t>
      </w:r>
    </w:p>
    <w:p>
      <w:pPr>
        <w:pStyle w:val="ListBullet"/>
        <w:widowControl w:val="1"/>
      </w:pPr>
      <w:r>
        <w:t>Use organisation-approved SSO and least-privilege access. Never place API keys, session cookies or passwords into tickets or the runbook.</w:t>
      </w:r>
    </w:p>
    <w:p>
      <w:pPr>
        <w:pStyle w:val="ListBullet"/>
        <w:widowControl w:val="1"/>
      </w:pPr>
      <w:r>
        <w:t>If an Elastic Cloud deployment is down or a managed component has a provider-side fault, open an Elastic support case through the agreed support process and connect it to the internal incident.</w:t>
      </w:r>
    </w:p>
    <w:p>
      <w:pPr>
        <w:pStyle w:val="Heading2"/>
        <w:widowControl w:val="1"/>
      </w:pPr>
      <w:r>
        <w:t>1.5 Quick triage for non-technical responders</w:t>
      </w:r>
    </w:p>
    <w:tbl>
      <w:tblPr>
        <w:tblStyle w:val="TableGrid"/>
        <w:tblW w:type="auto" w:w="0"/>
        <w:jc w:val="center"/>
        <w:tblLayout w:type="fixed"/>
        <w:tblLook w:firstColumn="1" w:firstRow="1" w:lastColumn="0" w:lastRow="0" w:noHBand="0" w:noVBand="1" w:val="04A0"/>
      </w:tblPr>
      <w:tblGrid>
        <w:gridCol w:w="2388"/>
        <w:gridCol w:w="2388"/>
        <w:gridCol w:w="2388"/>
        <w:gridCol w:w="2388"/>
      </w:tblGrid>
      <w:tr>
        <w:trPr>
          <w:tblHeader w:val="true"/>
        </w:trPr>
        <w:tc>
          <w:tcPr>
            <w:tcW w:type="dxa" w:w="1899"/>
            <w:shd w:fill="15456B"/>
            <w:tcMar>
              <w:top w:w="85" w:type="dxa"/>
              <w:start w:w="90" w:type="dxa"/>
              <w:bottom w:w="85" w:type="dxa"/>
              <w:end w:w="90" w:type="dxa"/>
            </w:tcMar>
          </w:tcPr>
          <w:p>
            <w:pPr>
              <w:spacing w:after="0"/>
            </w:pPr>
            <w:r>
              <w:rPr>
                <w:b/>
                <w:color w:val="FFFFFF"/>
                <w:sz w:val="16"/>
              </w:rPr>
              <w:t>What the user reports</w:t>
            </w:r>
          </w:p>
        </w:tc>
        <w:tc>
          <w:tcPr>
            <w:tcW w:type="dxa" w:w="2438"/>
            <w:shd w:fill="15456B"/>
            <w:tcMar>
              <w:top w:w="85" w:type="dxa"/>
              <w:start w:w="90" w:type="dxa"/>
              <w:bottom w:w="85" w:type="dxa"/>
              <w:end w:w="90" w:type="dxa"/>
            </w:tcMar>
          </w:tcPr>
          <w:p>
            <w:pPr>
              <w:spacing w:after="0"/>
            </w:pPr>
            <w:r>
              <w:rPr>
                <w:b/>
                <w:color w:val="FFFFFF"/>
                <w:sz w:val="16"/>
              </w:rPr>
              <w:t>First place to check</w:t>
            </w:r>
          </w:p>
        </w:tc>
        <w:tc>
          <w:tcPr>
            <w:tcW w:type="dxa" w:w="2324"/>
            <w:shd w:fill="15456B"/>
            <w:tcMar>
              <w:top w:w="85" w:type="dxa"/>
              <w:start w:w="90" w:type="dxa"/>
              <w:bottom w:w="85" w:type="dxa"/>
              <w:end w:w="90" w:type="dxa"/>
            </w:tcMar>
          </w:tcPr>
          <w:p>
            <w:pPr>
              <w:spacing w:after="0"/>
            </w:pPr>
            <w:r>
              <w:rPr>
                <w:b/>
                <w:color w:val="FFFFFF"/>
                <w:sz w:val="16"/>
              </w:rPr>
              <w:t>What it may mean</w:t>
            </w:r>
          </w:p>
        </w:tc>
        <w:tc>
          <w:tcPr>
            <w:tcW w:type="dxa" w:w="2750"/>
            <w:shd w:fill="15456B"/>
            <w:tcMar>
              <w:top w:w="85" w:type="dxa"/>
              <w:start w:w="90" w:type="dxa"/>
              <w:bottom w:w="85" w:type="dxa"/>
              <w:end w:w="90" w:type="dxa"/>
            </w:tcMar>
          </w:tcPr>
          <w:p>
            <w:pPr>
              <w:spacing w:after="0"/>
            </w:pPr>
            <w:r>
              <w:rPr>
                <w:b/>
                <w:color w:val="FFFFFF"/>
                <w:sz w:val="16"/>
              </w:rPr>
              <w:t>Next action</w:t>
            </w:r>
          </w:p>
        </w:tc>
      </w:tr>
      <w:tr>
        <w:tc>
          <w:tcPr>
            <w:tcW w:type="dxa" w:w="1899"/>
            <w:vAlign w:val="center"/>
            <w:tcMar>
              <w:top w:w="85" w:type="dxa"/>
              <w:start w:w="90" w:type="dxa"/>
              <w:bottom w:w="85" w:type="dxa"/>
              <w:end w:w="90" w:type="dxa"/>
            </w:tcMar>
          </w:tcPr>
          <w:p>
            <w:pPr>
              <w:spacing w:after="0" w:line="257" w:lineRule="auto"/>
            </w:pPr>
            <w:r>
              <w:rPr>
                <w:sz w:val="16"/>
              </w:rPr>
              <w:t>Cannot access Kibana</w:t>
            </w:r>
          </w:p>
        </w:tc>
        <w:tc>
          <w:tcPr>
            <w:tcW w:type="dxa" w:w="2438"/>
            <w:vAlign w:val="center"/>
            <w:tcMar>
              <w:top w:w="85" w:type="dxa"/>
              <w:start w:w="90" w:type="dxa"/>
              <w:bottom w:w="85" w:type="dxa"/>
              <w:end w:w="90" w:type="dxa"/>
            </w:tcMar>
          </w:tcPr>
          <w:p>
            <w:pPr>
              <w:spacing w:after="0" w:line="257" w:lineRule="auto"/>
            </w:pPr>
            <w:r>
              <w:rPr>
                <w:sz w:val="16"/>
              </w:rPr>
              <w:t>Kibana sign-in URL and deployment status</w:t>
            </w:r>
          </w:p>
        </w:tc>
        <w:tc>
          <w:tcPr>
            <w:tcW w:type="dxa" w:w="2324"/>
            <w:vAlign w:val="center"/>
            <w:tcMar>
              <w:top w:w="85" w:type="dxa"/>
              <w:start w:w="90" w:type="dxa"/>
              <w:bottom w:w="85" w:type="dxa"/>
              <w:end w:w="90" w:type="dxa"/>
            </w:tcMar>
          </w:tcPr>
          <w:p>
            <w:pPr>
              <w:spacing w:after="0" w:line="257" w:lineRule="auto"/>
            </w:pPr>
            <w:r>
              <w:rPr>
                <w:sz w:val="16"/>
              </w:rPr>
              <w:t>Service outage, SSO or permissions fault</w:t>
            </w:r>
          </w:p>
        </w:tc>
        <w:tc>
          <w:tcPr>
            <w:tcW w:type="dxa" w:w="2750"/>
            <w:vAlign w:val="center"/>
            <w:tcMar>
              <w:top w:w="85" w:type="dxa"/>
              <w:start w:w="90" w:type="dxa"/>
              <w:bottom w:w="85" w:type="dxa"/>
              <w:end w:w="90" w:type="dxa"/>
            </w:tcMar>
          </w:tcPr>
          <w:p>
            <w:pPr>
              <w:spacing w:after="0" w:line="257" w:lineRule="auto"/>
            </w:pPr>
            <w:r>
              <w:rPr>
                <w:sz w:val="16"/>
              </w:rPr>
              <w:t>Check Cloud deployment events, scope of users, raise incident</w:t>
            </w:r>
          </w:p>
        </w:tc>
      </w:tr>
      <w:tr>
        <w:tc>
          <w:tcPr>
            <w:tcW w:type="dxa" w:w="1899"/>
            <w:vAlign w:val="center"/>
            <w:tcMar>
              <w:top w:w="85" w:type="dxa"/>
              <w:start w:w="90" w:type="dxa"/>
              <w:bottom w:w="85" w:type="dxa"/>
              <w:end w:w="90" w:type="dxa"/>
            </w:tcMar>
            <w:shd w:fill="F0F5F7"/>
          </w:tcPr>
          <w:p>
            <w:pPr>
              <w:spacing w:after="0" w:line="257" w:lineRule="auto"/>
            </w:pPr>
            <w:r>
              <w:rPr>
                <w:sz w:val="16"/>
              </w:rPr>
              <w:t>Dashboards open but no new logs</w:t>
            </w:r>
          </w:p>
        </w:tc>
        <w:tc>
          <w:tcPr>
            <w:tcW w:type="dxa" w:w="2438"/>
            <w:vAlign w:val="center"/>
            <w:tcMar>
              <w:top w:w="85" w:type="dxa"/>
              <w:start w:w="90" w:type="dxa"/>
              <w:bottom w:w="85" w:type="dxa"/>
              <w:end w:w="90" w:type="dxa"/>
            </w:tcMar>
            <w:shd w:fill="F0F5F7"/>
          </w:tcPr>
          <w:p>
            <w:pPr>
              <w:spacing w:after="0" w:line="257" w:lineRule="auto"/>
            </w:pPr>
            <w:r>
              <w:rPr>
                <w:sz w:val="16"/>
              </w:rPr>
              <w:t>Discover → correct data view &amp; time</w:t>
            </w:r>
          </w:p>
        </w:tc>
        <w:tc>
          <w:tcPr>
            <w:tcW w:type="dxa" w:w="2324"/>
            <w:vAlign w:val="center"/>
            <w:tcMar>
              <w:top w:w="85" w:type="dxa"/>
              <w:start w:w="90" w:type="dxa"/>
              <w:bottom w:w="85" w:type="dxa"/>
              <w:end w:w="90" w:type="dxa"/>
            </w:tcMar>
            <w:shd w:fill="F0F5F7"/>
          </w:tcPr>
          <w:p>
            <w:pPr>
              <w:spacing w:after="0" w:line="257" w:lineRule="auto"/>
            </w:pPr>
            <w:r>
              <w:rPr>
                <w:sz w:val="16"/>
              </w:rPr>
              <w:t>Source, agent, pipeline or timestamp fault</w:t>
            </w:r>
          </w:p>
        </w:tc>
        <w:tc>
          <w:tcPr>
            <w:tcW w:type="dxa" w:w="2750"/>
            <w:vAlign w:val="center"/>
            <w:tcMar>
              <w:top w:w="85" w:type="dxa"/>
              <w:start w:w="90" w:type="dxa"/>
              <w:bottom w:w="85" w:type="dxa"/>
              <w:end w:w="90" w:type="dxa"/>
            </w:tcMar>
            <w:shd w:fill="F0F5F7"/>
          </w:tcPr>
          <w:p>
            <w:pPr>
              <w:spacing w:after="0" w:line="257" w:lineRule="auto"/>
            </w:pPr>
            <w:r>
              <w:rPr>
                <w:sz w:val="16"/>
              </w:rPr>
              <w:t>Follow IR04 missing-data playbook</w:t>
            </w:r>
          </w:p>
        </w:tc>
      </w:tr>
      <w:tr>
        <w:tc>
          <w:tcPr>
            <w:tcW w:type="dxa" w:w="1899"/>
            <w:vAlign w:val="center"/>
            <w:tcMar>
              <w:top w:w="85" w:type="dxa"/>
              <w:start w:w="90" w:type="dxa"/>
              <w:bottom w:w="85" w:type="dxa"/>
              <w:end w:w="90" w:type="dxa"/>
            </w:tcMar>
          </w:tcPr>
          <w:p>
            <w:pPr>
              <w:spacing w:after="0" w:line="257" w:lineRule="auto"/>
            </w:pPr>
            <w:r>
              <w:rPr>
                <w:sz w:val="16"/>
              </w:rPr>
              <w:t>Monitoring alerts or pages slow</w:t>
            </w:r>
          </w:p>
        </w:tc>
        <w:tc>
          <w:tcPr>
            <w:tcW w:type="dxa" w:w="2438"/>
            <w:vAlign w:val="center"/>
            <w:tcMar>
              <w:top w:w="85" w:type="dxa"/>
              <w:start w:w="90" w:type="dxa"/>
              <w:bottom w:w="85" w:type="dxa"/>
              <w:end w:w="90" w:type="dxa"/>
            </w:tcMar>
          </w:tcPr>
          <w:p>
            <w:pPr>
              <w:spacing w:after="0" w:line="257" w:lineRule="auto"/>
            </w:pPr>
            <w:r>
              <w:rPr>
                <w:sz w:val="16"/>
              </w:rPr>
              <w:t>Stack Monitoring and Cloud performance</w:t>
            </w:r>
          </w:p>
        </w:tc>
        <w:tc>
          <w:tcPr>
            <w:tcW w:type="dxa" w:w="2324"/>
            <w:vAlign w:val="center"/>
            <w:tcMar>
              <w:top w:w="85" w:type="dxa"/>
              <w:start w:w="90" w:type="dxa"/>
              <w:bottom w:w="85" w:type="dxa"/>
              <w:end w:w="90" w:type="dxa"/>
            </w:tcMar>
          </w:tcPr>
          <w:p>
            <w:pPr>
              <w:spacing w:after="0" w:line="257" w:lineRule="auto"/>
            </w:pPr>
            <w:r>
              <w:rPr>
                <w:sz w:val="16"/>
              </w:rPr>
              <w:t>Capacity, slow queries, workload peak</w:t>
            </w:r>
          </w:p>
        </w:tc>
        <w:tc>
          <w:tcPr>
            <w:tcW w:type="dxa" w:w="2750"/>
            <w:vAlign w:val="center"/>
            <w:tcMar>
              <w:top w:w="85" w:type="dxa"/>
              <w:start w:w="90" w:type="dxa"/>
              <w:bottom w:w="85" w:type="dxa"/>
              <w:end w:w="90" w:type="dxa"/>
            </w:tcMar>
          </w:tcPr>
          <w:p>
            <w:pPr>
              <w:spacing w:after="0" w:line="257" w:lineRule="auto"/>
            </w:pPr>
            <w:r>
              <w:rPr>
                <w:sz w:val="16"/>
              </w:rPr>
              <w:t>Follow IR02/IR03</w:t>
            </w:r>
          </w:p>
        </w:tc>
      </w:tr>
      <w:tr>
        <w:tc>
          <w:tcPr>
            <w:tcW w:type="dxa" w:w="1899"/>
            <w:vAlign w:val="center"/>
            <w:tcMar>
              <w:top w:w="85" w:type="dxa"/>
              <w:start w:w="90" w:type="dxa"/>
              <w:bottom w:w="85" w:type="dxa"/>
              <w:end w:w="90" w:type="dxa"/>
            </w:tcMar>
            <w:shd w:fill="F0F5F7"/>
          </w:tcPr>
          <w:p>
            <w:pPr>
              <w:spacing w:after="0" w:line="257" w:lineRule="auto"/>
            </w:pPr>
            <w:r>
              <w:rPr>
                <w:sz w:val="16"/>
              </w:rPr>
              <w:t>Agents shown offline</w:t>
            </w:r>
          </w:p>
        </w:tc>
        <w:tc>
          <w:tcPr>
            <w:tcW w:type="dxa" w:w="2438"/>
            <w:vAlign w:val="center"/>
            <w:tcMar>
              <w:top w:w="85" w:type="dxa"/>
              <w:start w:w="90" w:type="dxa"/>
              <w:bottom w:w="85" w:type="dxa"/>
              <w:end w:w="90" w:type="dxa"/>
            </w:tcMar>
            <w:shd w:fill="F0F5F7"/>
          </w:tcPr>
          <w:p>
            <w:pPr>
              <w:spacing w:after="0" w:line="257" w:lineRule="auto"/>
            </w:pPr>
            <w:r>
              <w:rPr>
                <w:sz w:val="16"/>
              </w:rPr>
              <w:t>Fleet → Agents</w:t>
            </w:r>
          </w:p>
        </w:tc>
        <w:tc>
          <w:tcPr>
            <w:tcW w:type="dxa" w:w="2324"/>
            <w:vAlign w:val="center"/>
            <w:tcMar>
              <w:top w:w="85" w:type="dxa"/>
              <w:start w:w="90" w:type="dxa"/>
              <w:bottom w:w="85" w:type="dxa"/>
              <w:end w:w="90" w:type="dxa"/>
            </w:tcMar>
            <w:shd w:fill="F0F5F7"/>
          </w:tcPr>
          <w:p>
            <w:pPr>
              <w:spacing w:after="0" w:line="257" w:lineRule="auto"/>
            </w:pPr>
            <w:r>
              <w:rPr>
                <w:sz w:val="16"/>
              </w:rPr>
              <w:t>Host/service/network unavailable</w:t>
            </w:r>
          </w:p>
        </w:tc>
        <w:tc>
          <w:tcPr>
            <w:tcW w:type="dxa" w:w="2750"/>
            <w:vAlign w:val="center"/>
            <w:tcMar>
              <w:top w:w="85" w:type="dxa"/>
              <w:start w:w="90" w:type="dxa"/>
              <w:bottom w:w="85" w:type="dxa"/>
              <w:end w:w="90" w:type="dxa"/>
            </w:tcMar>
            <w:shd w:fill="F0F5F7"/>
          </w:tcPr>
          <w:p>
            <w:pPr>
              <w:spacing w:after="0" w:line="257" w:lineRule="auto"/>
            </w:pPr>
            <w:r>
              <w:rPr>
                <w:sz w:val="16"/>
              </w:rPr>
              <w:t>Follow IR05</w:t>
            </w:r>
          </w:p>
        </w:tc>
      </w:tr>
      <w:tr>
        <w:tc>
          <w:tcPr>
            <w:tcW w:type="dxa" w:w="1899"/>
            <w:vAlign w:val="center"/>
            <w:tcMar>
              <w:top w:w="85" w:type="dxa"/>
              <w:start w:w="90" w:type="dxa"/>
              <w:bottom w:w="85" w:type="dxa"/>
              <w:end w:w="90" w:type="dxa"/>
            </w:tcMar>
          </w:tcPr>
          <w:p>
            <w:pPr>
              <w:spacing w:after="0" w:line="257" w:lineRule="auto"/>
            </w:pPr>
            <w:r>
              <w:rPr>
                <w:sz w:val="16"/>
              </w:rPr>
              <w:t>Application not visible in APM</w:t>
            </w:r>
          </w:p>
        </w:tc>
        <w:tc>
          <w:tcPr>
            <w:tcW w:type="dxa" w:w="2438"/>
            <w:vAlign w:val="center"/>
            <w:tcMar>
              <w:top w:w="85" w:type="dxa"/>
              <w:start w:w="90" w:type="dxa"/>
              <w:bottom w:w="85" w:type="dxa"/>
              <w:end w:w="90" w:type="dxa"/>
            </w:tcMar>
          </w:tcPr>
          <w:p>
            <w:pPr>
              <w:spacing w:after="0" w:line="257" w:lineRule="auto"/>
            </w:pPr>
            <w:r>
              <w:rPr>
                <w:sz w:val="16"/>
              </w:rPr>
              <w:t>Observability → APM/Services</w:t>
            </w:r>
          </w:p>
        </w:tc>
        <w:tc>
          <w:tcPr>
            <w:tcW w:type="dxa" w:w="2324"/>
            <w:vAlign w:val="center"/>
            <w:tcMar>
              <w:top w:w="85" w:type="dxa"/>
              <w:start w:w="90" w:type="dxa"/>
              <w:bottom w:w="85" w:type="dxa"/>
              <w:end w:w="90" w:type="dxa"/>
            </w:tcMar>
          </w:tcPr>
          <w:p>
            <w:pPr>
              <w:spacing w:after="0" w:line="257" w:lineRule="auto"/>
            </w:pPr>
            <w:r>
              <w:rPr>
                <w:sz w:val="16"/>
              </w:rPr>
              <w:t>Instrumentation or ingest issue</w:t>
            </w:r>
          </w:p>
        </w:tc>
        <w:tc>
          <w:tcPr>
            <w:tcW w:type="dxa" w:w="2750"/>
            <w:vAlign w:val="center"/>
            <w:tcMar>
              <w:top w:w="85" w:type="dxa"/>
              <w:start w:w="90" w:type="dxa"/>
              <w:bottom w:w="85" w:type="dxa"/>
              <w:end w:w="90" w:type="dxa"/>
            </w:tcMar>
          </w:tcPr>
          <w:p>
            <w:pPr>
              <w:spacing w:after="0" w:line="257" w:lineRule="auto"/>
            </w:pPr>
            <w:r>
              <w:rPr>
                <w:sz w:val="16"/>
              </w:rPr>
              <w:t>Follow IR08</w:t>
            </w:r>
          </w:p>
        </w:tc>
      </w:tr>
      <w:tr>
        <w:tc>
          <w:tcPr>
            <w:tcW w:type="dxa" w:w="1899"/>
            <w:vAlign w:val="center"/>
            <w:tcMar>
              <w:top w:w="85" w:type="dxa"/>
              <w:start w:w="90" w:type="dxa"/>
              <w:bottom w:w="85" w:type="dxa"/>
              <w:end w:w="90" w:type="dxa"/>
            </w:tcMar>
            <w:shd w:fill="F0F5F7"/>
          </w:tcPr>
          <w:p>
            <w:pPr>
              <w:spacing w:after="0" w:line="257" w:lineRule="auto"/>
            </w:pPr>
            <w:r>
              <w:rPr>
                <w:sz w:val="16"/>
              </w:rPr>
              <w:t>Red/yellow cluster health</w:t>
            </w:r>
          </w:p>
        </w:tc>
        <w:tc>
          <w:tcPr>
            <w:tcW w:type="dxa" w:w="2438"/>
            <w:vAlign w:val="center"/>
            <w:tcMar>
              <w:top w:w="85" w:type="dxa"/>
              <w:start w:w="90" w:type="dxa"/>
              <w:bottom w:w="85" w:type="dxa"/>
              <w:end w:w="90" w:type="dxa"/>
            </w:tcMar>
            <w:shd w:fill="F0F5F7"/>
          </w:tcPr>
          <w:p>
            <w:pPr>
              <w:spacing w:after="0" w:line="257" w:lineRule="auto"/>
            </w:pPr>
            <w:r>
              <w:rPr>
                <w:sz w:val="16"/>
              </w:rPr>
              <w:t>Stack Monitoring or cluster health API</w:t>
            </w:r>
          </w:p>
        </w:tc>
        <w:tc>
          <w:tcPr>
            <w:tcW w:type="dxa" w:w="2324"/>
            <w:vAlign w:val="center"/>
            <w:tcMar>
              <w:top w:w="85" w:type="dxa"/>
              <w:start w:w="90" w:type="dxa"/>
              <w:bottom w:w="85" w:type="dxa"/>
              <w:end w:w="90" w:type="dxa"/>
            </w:tcMar>
            <w:shd w:fill="F0F5F7"/>
          </w:tcPr>
          <w:p>
            <w:pPr>
              <w:spacing w:after="0" w:line="257" w:lineRule="auto"/>
            </w:pPr>
            <w:r>
              <w:rPr>
                <w:sz w:val="16"/>
              </w:rPr>
              <w:t>Lost replicas or primary shard problem</w:t>
            </w:r>
          </w:p>
        </w:tc>
        <w:tc>
          <w:tcPr>
            <w:tcW w:type="dxa" w:w="2750"/>
            <w:vAlign w:val="center"/>
            <w:tcMar>
              <w:top w:w="85" w:type="dxa"/>
              <w:start w:w="90" w:type="dxa"/>
              <w:bottom w:w="85" w:type="dxa"/>
              <w:end w:w="90" w:type="dxa"/>
            </w:tcMar>
            <w:shd w:fill="F0F5F7"/>
          </w:tcPr>
          <w:p>
            <w:pPr>
              <w:spacing w:after="0" w:line="257" w:lineRule="auto"/>
            </w:pPr>
            <w:r>
              <w:rPr>
                <w:sz w:val="16"/>
              </w:rPr>
              <w:t>Follow IR01; escalate red promptly</w:t>
            </w:r>
          </w:p>
        </w:tc>
      </w:tr>
    </w:tbl>
    <w:p>
      <w:pPr>
        <w:spacing w:after="0"/>
      </w:pPr>
    </w:p>
    <w:p>
      <w:pPr>
        <w:pStyle w:val="Heading1"/>
        <w:widowControl w:val="1"/>
      </w:pPr>
      <w:r>
        <w:t>2. Elastic Stack explained in everyday language</w:t>
      </w:r>
    </w:p>
    <w:p>
      <w:pPr>
        <w:widowControl w:val="1"/>
      </w:pPr>
      <w:r>
        <w:t>Elastic Stack collects operational signals from systems, stores and searches them, and turns them into dashboards and alerts. Think of it as a central monitoring library: collectors deliver records; processing validates and labels them; Elasticsearch stores/searches them; Kibana is the reading room; alerts tell teams when something goes wrong.</w:t>
      </w:r>
    </w:p>
    <w:tbl>
      <w:tblPr>
        <w:tblStyle w:val="TableGrid"/>
        <w:tblW w:type="auto" w:w="0"/>
        <w:jc w:val="center"/>
        <w:tblLayout w:type="fixed"/>
        <w:tblLook w:firstColumn="1" w:firstRow="1" w:lastColumn="0" w:lastRow="0" w:noHBand="0" w:noVBand="1" w:val="04A0"/>
      </w:tblPr>
      <w:tblGrid>
        <w:gridCol w:w="3184"/>
        <w:gridCol w:w="3184"/>
        <w:gridCol w:w="3184"/>
      </w:tblGrid>
      <w:tr>
        <w:trPr>
          <w:tblHeader w:val="true"/>
        </w:trPr>
        <w:tc>
          <w:tcPr>
            <w:tcW w:type="dxa" w:w="1701"/>
            <w:shd w:fill="15456B"/>
            <w:tcMar>
              <w:top w:w="85" w:type="dxa"/>
              <w:start w:w="90" w:type="dxa"/>
              <w:bottom w:w="85" w:type="dxa"/>
              <w:end w:w="90" w:type="dxa"/>
            </w:tcMar>
          </w:tcPr>
          <w:p>
            <w:pPr>
              <w:spacing w:after="0"/>
            </w:pPr>
            <w:r>
              <w:rPr>
                <w:b/>
                <w:color w:val="FFFFFF"/>
                <w:sz w:val="16"/>
              </w:rPr>
              <w:t>Term</w:t>
            </w:r>
          </w:p>
        </w:tc>
        <w:tc>
          <w:tcPr>
            <w:tcW w:type="dxa" w:w="4195"/>
            <w:shd w:fill="15456B"/>
            <w:tcMar>
              <w:top w:w="85" w:type="dxa"/>
              <w:start w:w="90" w:type="dxa"/>
              <w:bottom w:w="85" w:type="dxa"/>
              <w:end w:w="90" w:type="dxa"/>
            </w:tcMar>
          </w:tcPr>
          <w:p>
            <w:pPr>
              <w:spacing w:after="0"/>
            </w:pPr>
            <w:r>
              <w:rPr>
                <w:b/>
                <w:color w:val="FFFFFF"/>
                <w:sz w:val="16"/>
              </w:rPr>
              <w:t>Plain-English explanation</w:t>
            </w:r>
          </w:p>
        </w:tc>
        <w:tc>
          <w:tcPr>
            <w:tcW w:type="dxa" w:w="3515"/>
            <w:shd w:fill="15456B"/>
            <w:tcMar>
              <w:top w:w="85" w:type="dxa"/>
              <w:start w:w="90" w:type="dxa"/>
              <w:bottom w:w="85" w:type="dxa"/>
              <w:end w:w="90" w:type="dxa"/>
            </w:tcMar>
          </w:tcPr>
          <w:p>
            <w:pPr>
              <w:spacing w:after="0"/>
            </w:pPr>
            <w:r>
              <w:rPr>
                <w:b/>
                <w:color w:val="FFFFFF"/>
                <w:sz w:val="16"/>
              </w:rPr>
              <w:t>Example</w:t>
            </w:r>
          </w:p>
        </w:tc>
      </w:tr>
      <w:tr>
        <w:tc>
          <w:tcPr>
            <w:tcW w:type="dxa" w:w="1701"/>
            <w:vAlign w:val="center"/>
            <w:tcMar>
              <w:top w:w="85" w:type="dxa"/>
              <w:start w:w="90" w:type="dxa"/>
              <w:bottom w:w="85" w:type="dxa"/>
              <w:end w:w="90" w:type="dxa"/>
            </w:tcMar>
          </w:tcPr>
          <w:p>
            <w:pPr>
              <w:spacing w:after="0" w:line="257" w:lineRule="auto"/>
            </w:pPr>
            <w:r>
              <w:rPr>
                <w:sz w:val="16"/>
              </w:rPr>
              <w:t>Log</w:t>
            </w:r>
          </w:p>
        </w:tc>
        <w:tc>
          <w:tcPr>
            <w:tcW w:type="dxa" w:w="4195"/>
            <w:vAlign w:val="center"/>
            <w:tcMar>
              <w:top w:w="85" w:type="dxa"/>
              <w:start w:w="90" w:type="dxa"/>
              <w:bottom w:w="85" w:type="dxa"/>
              <w:end w:w="90" w:type="dxa"/>
            </w:tcMar>
          </w:tcPr>
          <w:p>
            <w:pPr>
              <w:spacing w:after="0" w:line="257" w:lineRule="auto"/>
            </w:pPr>
            <w:r>
              <w:rPr>
                <w:sz w:val="16"/>
              </w:rPr>
              <w:t>A written event about something that happened</w:t>
            </w:r>
          </w:p>
        </w:tc>
        <w:tc>
          <w:tcPr>
            <w:tcW w:type="dxa" w:w="3515"/>
            <w:vAlign w:val="center"/>
            <w:tcMar>
              <w:top w:w="85" w:type="dxa"/>
              <w:start w:w="90" w:type="dxa"/>
              <w:bottom w:w="85" w:type="dxa"/>
              <w:end w:w="90" w:type="dxa"/>
            </w:tcMar>
          </w:tcPr>
          <w:p>
            <w:pPr>
              <w:spacing w:after="0" w:line="257" w:lineRule="auto"/>
            </w:pPr>
            <w:r>
              <w:rPr>
                <w:sz w:val="16"/>
              </w:rPr>
              <w:t>Application login failed at 10:32</w:t>
            </w:r>
          </w:p>
        </w:tc>
      </w:tr>
      <w:tr>
        <w:tc>
          <w:tcPr>
            <w:tcW w:type="dxa" w:w="1701"/>
            <w:vAlign w:val="center"/>
            <w:tcMar>
              <w:top w:w="85" w:type="dxa"/>
              <w:start w:w="90" w:type="dxa"/>
              <w:bottom w:w="85" w:type="dxa"/>
              <w:end w:w="90" w:type="dxa"/>
            </w:tcMar>
            <w:shd w:fill="F0F5F7"/>
          </w:tcPr>
          <w:p>
            <w:pPr>
              <w:spacing w:after="0" w:line="257" w:lineRule="auto"/>
            </w:pPr>
            <w:r>
              <w:rPr>
                <w:sz w:val="16"/>
              </w:rPr>
              <w:t>Metric</w:t>
            </w:r>
          </w:p>
        </w:tc>
        <w:tc>
          <w:tcPr>
            <w:tcW w:type="dxa" w:w="4195"/>
            <w:vAlign w:val="center"/>
            <w:tcMar>
              <w:top w:w="85" w:type="dxa"/>
              <w:start w:w="90" w:type="dxa"/>
              <w:bottom w:w="85" w:type="dxa"/>
              <w:end w:w="90" w:type="dxa"/>
            </w:tcMar>
            <w:shd w:fill="F0F5F7"/>
          </w:tcPr>
          <w:p>
            <w:pPr>
              <w:spacing w:after="0" w:line="257" w:lineRule="auto"/>
            </w:pPr>
            <w:r>
              <w:rPr>
                <w:sz w:val="16"/>
              </w:rPr>
              <w:t>A numeric measurement over time</w:t>
            </w:r>
          </w:p>
        </w:tc>
        <w:tc>
          <w:tcPr>
            <w:tcW w:type="dxa" w:w="3515"/>
            <w:vAlign w:val="center"/>
            <w:tcMar>
              <w:top w:w="85" w:type="dxa"/>
              <w:start w:w="90" w:type="dxa"/>
              <w:bottom w:w="85" w:type="dxa"/>
              <w:end w:w="90" w:type="dxa"/>
            </w:tcMar>
            <w:shd w:fill="F0F5F7"/>
          </w:tcPr>
          <w:p>
            <w:pPr>
              <w:spacing w:after="0" w:line="257" w:lineRule="auto"/>
            </w:pPr>
            <w:r>
              <w:rPr>
                <w:sz w:val="16"/>
              </w:rPr>
              <w:t>CPU 68%, memory 6 GB</w:t>
            </w:r>
          </w:p>
        </w:tc>
      </w:tr>
      <w:tr>
        <w:tc>
          <w:tcPr>
            <w:tcW w:type="dxa" w:w="1701"/>
            <w:vAlign w:val="center"/>
            <w:tcMar>
              <w:top w:w="85" w:type="dxa"/>
              <w:start w:w="90" w:type="dxa"/>
              <w:bottom w:w="85" w:type="dxa"/>
              <w:end w:w="90" w:type="dxa"/>
            </w:tcMar>
          </w:tcPr>
          <w:p>
            <w:pPr>
              <w:spacing w:after="0" w:line="257" w:lineRule="auto"/>
            </w:pPr>
            <w:r>
              <w:rPr>
                <w:sz w:val="16"/>
              </w:rPr>
              <w:t>Trace / APM</w:t>
            </w:r>
          </w:p>
        </w:tc>
        <w:tc>
          <w:tcPr>
            <w:tcW w:type="dxa" w:w="4195"/>
            <w:vAlign w:val="center"/>
            <w:tcMar>
              <w:top w:w="85" w:type="dxa"/>
              <w:start w:w="90" w:type="dxa"/>
              <w:bottom w:w="85" w:type="dxa"/>
              <w:end w:w="90" w:type="dxa"/>
            </w:tcMar>
          </w:tcPr>
          <w:p>
            <w:pPr>
              <w:spacing w:after="0" w:line="257" w:lineRule="auto"/>
            </w:pPr>
            <w:r>
              <w:rPr>
                <w:sz w:val="16"/>
              </w:rPr>
              <w:t>The journey of a request through an application</w:t>
            </w:r>
          </w:p>
        </w:tc>
        <w:tc>
          <w:tcPr>
            <w:tcW w:type="dxa" w:w="3515"/>
            <w:vAlign w:val="center"/>
            <w:tcMar>
              <w:top w:w="85" w:type="dxa"/>
              <w:start w:w="90" w:type="dxa"/>
              <w:bottom w:w="85" w:type="dxa"/>
              <w:end w:w="90" w:type="dxa"/>
            </w:tcMar>
          </w:tcPr>
          <w:p>
            <w:pPr>
              <w:spacing w:after="0" w:line="257" w:lineRule="auto"/>
            </w:pPr>
            <w:r>
              <w:rPr>
                <w:sz w:val="16"/>
              </w:rPr>
              <w:t>Payment request spends 2s on database call</w:t>
            </w:r>
          </w:p>
        </w:tc>
      </w:tr>
      <w:tr>
        <w:tc>
          <w:tcPr>
            <w:tcW w:type="dxa" w:w="1701"/>
            <w:vAlign w:val="center"/>
            <w:tcMar>
              <w:top w:w="85" w:type="dxa"/>
              <w:start w:w="90" w:type="dxa"/>
              <w:bottom w:w="85" w:type="dxa"/>
              <w:end w:w="90" w:type="dxa"/>
            </w:tcMar>
            <w:shd w:fill="F0F5F7"/>
          </w:tcPr>
          <w:p>
            <w:pPr>
              <w:spacing w:after="0" w:line="257" w:lineRule="auto"/>
            </w:pPr>
            <w:r>
              <w:rPr>
                <w:sz w:val="16"/>
              </w:rPr>
              <w:t>Elasticsearch</w:t>
            </w:r>
          </w:p>
        </w:tc>
        <w:tc>
          <w:tcPr>
            <w:tcW w:type="dxa" w:w="4195"/>
            <w:vAlign w:val="center"/>
            <w:tcMar>
              <w:top w:w="85" w:type="dxa"/>
              <w:start w:w="90" w:type="dxa"/>
              <w:bottom w:w="85" w:type="dxa"/>
              <w:end w:w="90" w:type="dxa"/>
            </w:tcMar>
            <w:shd w:fill="F0F5F7"/>
          </w:tcPr>
          <w:p>
            <w:pPr>
              <w:spacing w:after="0" w:line="257" w:lineRule="auto"/>
            </w:pPr>
            <w:r>
              <w:rPr>
                <w:sz w:val="16"/>
              </w:rPr>
              <w:t>The search-and-storage engine</w:t>
            </w:r>
          </w:p>
        </w:tc>
        <w:tc>
          <w:tcPr>
            <w:tcW w:type="dxa" w:w="3515"/>
            <w:vAlign w:val="center"/>
            <w:tcMar>
              <w:top w:w="85" w:type="dxa"/>
              <w:start w:w="90" w:type="dxa"/>
              <w:bottom w:w="85" w:type="dxa"/>
              <w:end w:w="90" w:type="dxa"/>
            </w:tcMar>
            <w:shd w:fill="F0F5F7"/>
          </w:tcPr>
          <w:p>
            <w:pPr>
              <w:spacing w:after="0" w:line="257" w:lineRule="auto"/>
            </w:pPr>
            <w:r>
              <w:rPr>
                <w:sz w:val="16"/>
              </w:rPr>
              <w:t>Find all login errors in last hour</w:t>
            </w:r>
          </w:p>
        </w:tc>
      </w:tr>
      <w:tr>
        <w:tc>
          <w:tcPr>
            <w:tcW w:type="dxa" w:w="1701"/>
            <w:vAlign w:val="center"/>
            <w:tcMar>
              <w:top w:w="85" w:type="dxa"/>
              <w:start w:w="90" w:type="dxa"/>
              <w:bottom w:w="85" w:type="dxa"/>
              <w:end w:w="90" w:type="dxa"/>
            </w:tcMar>
          </w:tcPr>
          <w:p>
            <w:pPr>
              <w:spacing w:after="0" w:line="257" w:lineRule="auto"/>
            </w:pPr>
            <w:r>
              <w:rPr>
                <w:sz w:val="16"/>
              </w:rPr>
              <w:t>Kibana</w:t>
            </w:r>
          </w:p>
        </w:tc>
        <w:tc>
          <w:tcPr>
            <w:tcW w:type="dxa" w:w="4195"/>
            <w:vAlign w:val="center"/>
            <w:tcMar>
              <w:top w:w="85" w:type="dxa"/>
              <w:start w:w="90" w:type="dxa"/>
              <w:bottom w:w="85" w:type="dxa"/>
              <w:end w:w="90" w:type="dxa"/>
            </w:tcMar>
          </w:tcPr>
          <w:p>
            <w:pPr>
              <w:spacing w:after="0" w:line="257" w:lineRule="auto"/>
            </w:pPr>
            <w:r>
              <w:rPr>
                <w:sz w:val="16"/>
              </w:rPr>
              <w:t>The web interface for dashboards, search and management</w:t>
            </w:r>
          </w:p>
        </w:tc>
        <w:tc>
          <w:tcPr>
            <w:tcW w:type="dxa" w:w="3515"/>
            <w:vAlign w:val="center"/>
            <w:tcMar>
              <w:top w:w="85" w:type="dxa"/>
              <w:start w:w="90" w:type="dxa"/>
              <w:bottom w:w="85" w:type="dxa"/>
              <w:end w:w="90" w:type="dxa"/>
            </w:tcMar>
          </w:tcPr>
          <w:p>
            <w:pPr>
              <w:spacing w:after="0" w:line="257" w:lineRule="auto"/>
            </w:pPr>
            <w:r>
              <w:rPr>
                <w:sz w:val="16"/>
              </w:rPr>
              <w:t>Open a service availability dashboard</w:t>
            </w:r>
          </w:p>
        </w:tc>
      </w:tr>
      <w:tr>
        <w:tc>
          <w:tcPr>
            <w:tcW w:type="dxa" w:w="1701"/>
            <w:vAlign w:val="center"/>
            <w:tcMar>
              <w:top w:w="85" w:type="dxa"/>
              <w:start w:w="90" w:type="dxa"/>
              <w:bottom w:w="85" w:type="dxa"/>
              <w:end w:w="90" w:type="dxa"/>
            </w:tcMar>
            <w:shd w:fill="F0F5F7"/>
          </w:tcPr>
          <w:p>
            <w:pPr>
              <w:spacing w:after="0" w:line="257" w:lineRule="auto"/>
            </w:pPr>
            <w:r>
              <w:rPr>
                <w:sz w:val="16"/>
              </w:rPr>
              <w:t>Elastic Agent / Beats</w:t>
            </w:r>
          </w:p>
        </w:tc>
        <w:tc>
          <w:tcPr>
            <w:tcW w:type="dxa" w:w="4195"/>
            <w:vAlign w:val="center"/>
            <w:tcMar>
              <w:top w:w="85" w:type="dxa"/>
              <w:start w:w="90" w:type="dxa"/>
              <w:bottom w:w="85" w:type="dxa"/>
              <w:end w:w="90" w:type="dxa"/>
            </w:tcMar>
            <w:shd w:fill="F0F5F7"/>
          </w:tcPr>
          <w:p>
            <w:pPr>
              <w:spacing w:after="0" w:line="257" w:lineRule="auto"/>
            </w:pPr>
            <w:r>
              <w:rPr>
                <w:sz w:val="16"/>
              </w:rPr>
              <w:t>Software collecting telemetry from hosts and services</w:t>
            </w:r>
          </w:p>
        </w:tc>
        <w:tc>
          <w:tcPr>
            <w:tcW w:type="dxa" w:w="3515"/>
            <w:vAlign w:val="center"/>
            <w:tcMar>
              <w:top w:w="85" w:type="dxa"/>
              <w:start w:w="90" w:type="dxa"/>
              <w:bottom w:w="85" w:type="dxa"/>
              <w:end w:w="90" w:type="dxa"/>
            </w:tcMar>
            <w:shd w:fill="F0F5F7"/>
          </w:tcPr>
          <w:p>
            <w:pPr>
              <w:spacing w:after="0" w:line="257" w:lineRule="auto"/>
            </w:pPr>
            <w:r>
              <w:rPr>
                <w:sz w:val="16"/>
              </w:rPr>
              <w:t>Collect Windows events or Linux logs</w:t>
            </w:r>
          </w:p>
        </w:tc>
      </w:tr>
      <w:tr>
        <w:tc>
          <w:tcPr>
            <w:tcW w:type="dxa" w:w="1701"/>
            <w:vAlign w:val="center"/>
            <w:tcMar>
              <w:top w:w="85" w:type="dxa"/>
              <w:start w:w="90" w:type="dxa"/>
              <w:bottom w:w="85" w:type="dxa"/>
              <w:end w:w="90" w:type="dxa"/>
            </w:tcMar>
          </w:tcPr>
          <w:p>
            <w:pPr>
              <w:spacing w:after="0" w:line="257" w:lineRule="auto"/>
            </w:pPr>
            <w:r>
              <w:rPr>
                <w:sz w:val="16"/>
              </w:rPr>
              <w:t>Fleet / Fleet Server</w:t>
            </w:r>
          </w:p>
        </w:tc>
        <w:tc>
          <w:tcPr>
            <w:tcW w:type="dxa" w:w="4195"/>
            <w:vAlign w:val="center"/>
            <w:tcMar>
              <w:top w:w="85" w:type="dxa"/>
              <w:start w:w="90" w:type="dxa"/>
              <w:bottom w:w="85" w:type="dxa"/>
              <w:end w:w="90" w:type="dxa"/>
            </w:tcMar>
          </w:tcPr>
          <w:p>
            <w:pPr>
              <w:spacing w:after="0" w:line="257" w:lineRule="auto"/>
            </w:pPr>
            <w:r>
              <w:rPr>
                <w:sz w:val="16"/>
              </w:rPr>
              <w:t>Central policy and status management for Elastic Agents</w:t>
            </w:r>
          </w:p>
        </w:tc>
        <w:tc>
          <w:tcPr>
            <w:tcW w:type="dxa" w:w="3515"/>
            <w:vAlign w:val="center"/>
            <w:tcMar>
              <w:top w:w="85" w:type="dxa"/>
              <w:start w:w="90" w:type="dxa"/>
              <w:bottom w:w="85" w:type="dxa"/>
              <w:end w:w="90" w:type="dxa"/>
            </w:tcMar>
          </w:tcPr>
          <w:p>
            <w:pPr>
              <w:spacing w:after="0" w:line="257" w:lineRule="auto"/>
            </w:pPr>
            <w:r>
              <w:rPr>
                <w:sz w:val="16"/>
              </w:rPr>
              <w:t>Identify 12 offline agents</w:t>
            </w:r>
          </w:p>
        </w:tc>
      </w:tr>
      <w:tr>
        <w:tc>
          <w:tcPr>
            <w:tcW w:type="dxa" w:w="1701"/>
            <w:vAlign w:val="center"/>
            <w:tcMar>
              <w:top w:w="85" w:type="dxa"/>
              <w:start w:w="90" w:type="dxa"/>
              <w:bottom w:w="85" w:type="dxa"/>
              <w:end w:w="90" w:type="dxa"/>
            </w:tcMar>
            <w:shd w:fill="F0F5F7"/>
          </w:tcPr>
          <w:p>
            <w:pPr>
              <w:spacing w:after="0" w:line="257" w:lineRule="auto"/>
            </w:pPr>
            <w:r>
              <w:rPr>
                <w:sz w:val="16"/>
              </w:rPr>
              <w:t>Logstash</w:t>
            </w:r>
          </w:p>
        </w:tc>
        <w:tc>
          <w:tcPr>
            <w:tcW w:type="dxa" w:w="4195"/>
            <w:vAlign w:val="center"/>
            <w:tcMar>
              <w:top w:w="85" w:type="dxa"/>
              <w:start w:w="90" w:type="dxa"/>
              <w:bottom w:w="85" w:type="dxa"/>
              <w:end w:w="90" w:type="dxa"/>
            </w:tcMar>
            <w:shd w:fill="F0F5F7"/>
          </w:tcPr>
          <w:p>
            <w:pPr>
              <w:spacing w:after="0" w:line="257" w:lineRule="auto"/>
            </w:pPr>
            <w:r>
              <w:rPr>
                <w:sz w:val="16"/>
              </w:rPr>
              <w:t>Optional pipeline that transforms/routes events</w:t>
            </w:r>
          </w:p>
        </w:tc>
        <w:tc>
          <w:tcPr>
            <w:tcW w:type="dxa" w:w="3515"/>
            <w:vAlign w:val="center"/>
            <w:tcMar>
              <w:top w:w="85" w:type="dxa"/>
              <w:start w:w="90" w:type="dxa"/>
              <w:bottom w:w="85" w:type="dxa"/>
              <w:end w:w="90" w:type="dxa"/>
            </w:tcMar>
            <w:shd w:fill="F0F5F7"/>
          </w:tcPr>
          <w:p>
            <w:pPr>
              <w:spacing w:after="0" w:line="257" w:lineRule="auto"/>
            </w:pPr>
            <w:r>
              <w:rPr>
                <w:sz w:val="16"/>
              </w:rPr>
              <w:t>Convert source field to a standard name</w:t>
            </w:r>
          </w:p>
        </w:tc>
      </w:tr>
      <w:tr>
        <w:tc>
          <w:tcPr>
            <w:tcW w:type="dxa" w:w="1701"/>
            <w:vAlign w:val="center"/>
            <w:tcMar>
              <w:top w:w="85" w:type="dxa"/>
              <w:start w:w="90" w:type="dxa"/>
              <w:bottom w:w="85" w:type="dxa"/>
              <w:end w:w="90" w:type="dxa"/>
            </w:tcMar>
          </w:tcPr>
          <w:p>
            <w:pPr>
              <w:spacing w:after="0" w:line="257" w:lineRule="auto"/>
            </w:pPr>
            <w:r>
              <w:rPr>
                <w:sz w:val="16"/>
              </w:rPr>
              <w:t>Ingest pipeline</w:t>
            </w:r>
          </w:p>
        </w:tc>
        <w:tc>
          <w:tcPr>
            <w:tcW w:type="dxa" w:w="4195"/>
            <w:vAlign w:val="center"/>
            <w:tcMar>
              <w:top w:w="85" w:type="dxa"/>
              <w:start w:w="90" w:type="dxa"/>
              <w:bottom w:w="85" w:type="dxa"/>
              <w:end w:w="90" w:type="dxa"/>
            </w:tcMar>
          </w:tcPr>
          <w:p>
            <w:pPr>
              <w:spacing w:after="0" w:line="257" w:lineRule="auto"/>
            </w:pPr>
            <w:r>
              <w:rPr>
                <w:sz w:val="16"/>
              </w:rPr>
              <w:t>Elasticsearch-side processing before indexing</w:t>
            </w:r>
          </w:p>
        </w:tc>
        <w:tc>
          <w:tcPr>
            <w:tcW w:type="dxa" w:w="3515"/>
            <w:vAlign w:val="center"/>
            <w:tcMar>
              <w:top w:w="85" w:type="dxa"/>
              <w:start w:w="90" w:type="dxa"/>
              <w:bottom w:w="85" w:type="dxa"/>
              <w:end w:w="90" w:type="dxa"/>
            </w:tcMar>
          </w:tcPr>
          <w:p>
            <w:pPr>
              <w:spacing w:after="0" w:line="257" w:lineRule="auto"/>
            </w:pPr>
            <w:r>
              <w:rPr>
                <w:sz w:val="16"/>
              </w:rPr>
              <w:t>Parse raw message into structured fields</w:t>
            </w:r>
          </w:p>
        </w:tc>
      </w:tr>
      <w:tr>
        <w:tc>
          <w:tcPr>
            <w:tcW w:type="dxa" w:w="1701"/>
            <w:vAlign w:val="center"/>
            <w:tcMar>
              <w:top w:w="85" w:type="dxa"/>
              <w:start w:w="90" w:type="dxa"/>
              <w:bottom w:w="85" w:type="dxa"/>
              <w:end w:w="90" w:type="dxa"/>
            </w:tcMar>
            <w:shd w:fill="F0F5F7"/>
          </w:tcPr>
          <w:p>
            <w:pPr>
              <w:spacing w:after="0" w:line="257" w:lineRule="auto"/>
            </w:pPr>
            <w:r>
              <w:rPr>
                <w:sz w:val="16"/>
              </w:rPr>
              <w:t>Index / data stream</w:t>
            </w:r>
          </w:p>
        </w:tc>
        <w:tc>
          <w:tcPr>
            <w:tcW w:type="dxa" w:w="4195"/>
            <w:vAlign w:val="center"/>
            <w:tcMar>
              <w:top w:w="85" w:type="dxa"/>
              <w:start w:w="90" w:type="dxa"/>
              <w:bottom w:w="85" w:type="dxa"/>
              <w:end w:w="90" w:type="dxa"/>
            </w:tcMar>
            <w:shd w:fill="F0F5F7"/>
          </w:tcPr>
          <w:p>
            <w:pPr>
              <w:spacing w:after="0" w:line="257" w:lineRule="auto"/>
            </w:pPr>
            <w:r>
              <w:rPr>
                <w:sz w:val="16"/>
              </w:rPr>
              <w:t>Data organised for searching and retention</w:t>
            </w:r>
          </w:p>
        </w:tc>
        <w:tc>
          <w:tcPr>
            <w:tcW w:type="dxa" w:w="3515"/>
            <w:vAlign w:val="center"/>
            <w:tcMar>
              <w:top w:w="85" w:type="dxa"/>
              <w:start w:w="90" w:type="dxa"/>
              <w:bottom w:w="85" w:type="dxa"/>
              <w:end w:w="90" w:type="dxa"/>
            </w:tcMar>
            <w:shd w:fill="F0F5F7"/>
          </w:tcPr>
          <w:p>
            <w:pPr>
              <w:spacing w:after="0" w:line="257" w:lineRule="auto"/>
            </w:pPr>
            <w:r>
              <w:rPr>
                <w:sz w:val="16"/>
              </w:rPr>
              <w:t>logs-system.syslog-prod</w:t>
            </w:r>
          </w:p>
        </w:tc>
      </w:tr>
      <w:tr>
        <w:tc>
          <w:tcPr>
            <w:tcW w:type="dxa" w:w="1701"/>
            <w:vAlign w:val="center"/>
            <w:tcMar>
              <w:top w:w="85" w:type="dxa"/>
              <w:start w:w="90" w:type="dxa"/>
              <w:bottom w:w="85" w:type="dxa"/>
              <w:end w:w="90" w:type="dxa"/>
            </w:tcMar>
          </w:tcPr>
          <w:p>
            <w:pPr>
              <w:spacing w:after="0" w:line="257" w:lineRule="auto"/>
            </w:pPr>
            <w:r>
              <w:rPr>
                <w:sz w:val="16"/>
              </w:rPr>
              <w:t>Shard / replica</w:t>
            </w:r>
          </w:p>
        </w:tc>
        <w:tc>
          <w:tcPr>
            <w:tcW w:type="dxa" w:w="4195"/>
            <w:vAlign w:val="center"/>
            <w:tcMar>
              <w:top w:w="85" w:type="dxa"/>
              <w:start w:w="90" w:type="dxa"/>
              <w:bottom w:w="85" w:type="dxa"/>
              <w:end w:w="90" w:type="dxa"/>
            </w:tcMar>
          </w:tcPr>
          <w:p>
            <w:pPr>
              <w:spacing w:after="0" w:line="257" w:lineRule="auto"/>
            </w:pPr>
            <w:r>
              <w:rPr>
                <w:sz w:val="16"/>
              </w:rPr>
              <w:t>Pieces of an index and redundant copies</w:t>
            </w:r>
          </w:p>
        </w:tc>
        <w:tc>
          <w:tcPr>
            <w:tcW w:type="dxa" w:w="3515"/>
            <w:vAlign w:val="center"/>
            <w:tcMar>
              <w:top w:w="85" w:type="dxa"/>
              <w:start w:w="90" w:type="dxa"/>
              <w:bottom w:w="85" w:type="dxa"/>
              <w:end w:w="90" w:type="dxa"/>
            </w:tcMar>
          </w:tcPr>
          <w:p>
            <w:pPr>
              <w:spacing w:after="0" w:line="257" w:lineRule="auto"/>
            </w:pPr>
            <w:r>
              <w:rPr>
                <w:sz w:val="16"/>
              </w:rPr>
              <w:t>Replica enables recovery when a node fails</w:t>
            </w:r>
          </w:p>
        </w:tc>
      </w:tr>
      <w:tr>
        <w:tc>
          <w:tcPr>
            <w:tcW w:type="dxa" w:w="1701"/>
            <w:vAlign w:val="center"/>
            <w:tcMar>
              <w:top w:w="85" w:type="dxa"/>
              <w:start w:w="90" w:type="dxa"/>
              <w:bottom w:w="85" w:type="dxa"/>
              <w:end w:w="90" w:type="dxa"/>
            </w:tcMar>
            <w:shd w:fill="F0F5F7"/>
          </w:tcPr>
          <w:p>
            <w:pPr>
              <w:spacing w:after="0" w:line="257" w:lineRule="auto"/>
            </w:pPr>
            <w:r>
              <w:rPr>
                <w:sz w:val="16"/>
              </w:rPr>
              <w:t>ILM / data lifecycle</w:t>
            </w:r>
          </w:p>
        </w:tc>
        <w:tc>
          <w:tcPr>
            <w:tcW w:type="dxa" w:w="4195"/>
            <w:vAlign w:val="center"/>
            <w:tcMar>
              <w:top w:w="85" w:type="dxa"/>
              <w:start w:w="90" w:type="dxa"/>
              <w:bottom w:w="85" w:type="dxa"/>
              <w:end w:w="90" w:type="dxa"/>
            </w:tcMar>
            <w:shd w:fill="F0F5F7"/>
          </w:tcPr>
          <w:p>
            <w:pPr>
              <w:spacing w:after="0" w:line="257" w:lineRule="auto"/>
            </w:pPr>
            <w:r>
              <w:rPr>
                <w:sz w:val="16"/>
              </w:rPr>
              <w:t>Rules to move, retain and delete older data</w:t>
            </w:r>
          </w:p>
        </w:tc>
        <w:tc>
          <w:tcPr>
            <w:tcW w:type="dxa" w:w="3515"/>
            <w:vAlign w:val="center"/>
            <w:tcMar>
              <w:top w:w="85" w:type="dxa"/>
              <w:start w:w="90" w:type="dxa"/>
              <w:bottom w:w="85" w:type="dxa"/>
              <w:end w:w="90" w:type="dxa"/>
            </w:tcMar>
            <w:shd w:fill="F0F5F7"/>
          </w:tcPr>
          <w:p>
            <w:pPr>
              <w:spacing w:after="0" w:line="257" w:lineRule="auto"/>
            </w:pPr>
            <w:r>
              <w:rPr>
                <w:sz w:val="16"/>
              </w:rPr>
              <w:t>Keep hot 7 days, then warm 30 days</w:t>
            </w:r>
          </w:p>
        </w:tc>
      </w:tr>
      <w:tr>
        <w:tc>
          <w:tcPr>
            <w:tcW w:type="dxa" w:w="1701"/>
            <w:vAlign w:val="center"/>
            <w:tcMar>
              <w:top w:w="85" w:type="dxa"/>
              <w:start w:w="90" w:type="dxa"/>
              <w:bottom w:w="85" w:type="dxa"/>
              <w:end w:w="90" w:type="dxa"/>
            </w:tcMar>
          </w:tcPr>
          <w:p>
            <w:pPr>
              <w:spacing w:after="0" w:line="257" w:lineRule="auto"/>
            </w:pPr>
            <w:r>
              <w:rPr>
                <w:sz w:val="16"/>
              </w:rPr>
              <w:t>Snapshot</w:t>
            </w:r>
          </w:p>
        </w:tc>
        <w:tc>
          <w:tcPr>
            <w:tcW w:type="dxa" w:w="4195"/>
            <w:vAlign w:val="center"/>
            <w:tcMar>
              <w:top w:w="85" w:type="dxa"/>
              <w:start w:w="90" w:type="dxa"/>
              <w:bottom w:w="85" w:type="dxa"/>
              <w:end w:w="90" w:type="dxa"/>
            </w:tcMar>
          </w:tcPr>
          <w:p>
            <w:pPr>
              <w:spacing w:after="0" w:line="257" w:lineRule="auto"/>
            </w:pPr>
            <w:r>
              <w:rPr>
                <w:sz w:val="16"/>
              </w:rPr>
              <w:t>A recoverable point-in-time backup of eligible cluster data</w:t>
            </w:r>
          </w:p>
        </w:tc>
        <w:tc>
          <w:tcPr>
            <w:tcW w:type="dxa" w:w="3515"/>
            <w:vAlign w:val="center"/>
            <w:tcMar>
              <w:top w:w="85" w:type="dxa"/>
              <w:start w:w="90" w:type="dxa"/>
              <w:bottom w:w="85" w:type="dxa"/>
              <w:end w:w="90" w:type="dxa"/>
            </w:tcMar>
          </w:tcPr>
          <w:p>
            <w:pPr>
              <w:spacing w:after="0" w:line="257" w:lineRule="auto"/>
            </w:pPr>
            <w:r>
              <w:rPr>
                <w:sz w:val="16"/>
              </w:rPr>
              <w:t>Restore after an accidental deletion</w:t>
            </w:r>
          </w:p>
        </w:tc>
      </w:tr>
      <w:tr>
        <w:tc>
          <w:tcPr>
            <w:tcW w:type="dxa" w:w="1701"/>
            <w:vAlign w:val="center"/>
            <w:tcMar>
              <w:top w:w="85" w:type="dxa"/>
              <w:start w:w="90" w:type="dxa"/>
              <w:bottom w:w="85" w:type="dxa"/>
              <w:end w:w="90" w:type="dxa"/>
            </w:tcMar>
            <w:shd w:fill="F0F5F7"/>
          </w:tcPr>
          <w:p>
            <w:pPr>
              <w:spacing w:after="0" w:line="257" w:lineRule="auto"/>
            </w:pPr>
            <w:r>
              <w:rPr>
                <w:sz w:val="16"/>
              </w:rPr>
              <w:t>Synthetics</w:t>
            </w:r>
          </w:p>
        </w:tc>
        <w:tc>
          <w:tcPr>
            <w:tcW w:type="dxa" w:w="4195"/>
            <w:vAlign w:val="center"/>
            <w:tcMar>
              <w:top w:w="85" w:type="dxa"/>
              <w:start w:w="90" w:type="dxa"/>
              <w:bottom w:w="85" w:type="dxa"/>
              <w:end w:w="90" w:type="dxa"/>
            </w:tcMar>
            <w:shd w:fill="F0F5F7"/>
          </w:tcPr>
          <w:p>
            <w:pPr>
              <w:spacing w:after="0" w:line="257" w:lineRule="auto"/>
            </w:pPr>
            <w:r>
              <w:rPr>
                <w:sz w:val="16"/>
              </w:rPr>
              <w:t>Scheduled checks that act like an external user</w:t>
            </w:r>
          </w:p>
        </w:tc>
        <w:tc>
          <w:tcPr>
            <w:tcW w:type="dxa" w:w="3515"/>
            <w:vAlign w:val="center"/>
            <w:tcMar>
              <w:top w:w="85" w:type="dxa"/>
              <w:start w:w="90" w:type="dxa"/>
              <w:bottom w:w="85" w:type="dxa"/>
              <w:end w:w="90" w:type="dxa"/>
            </w:tcMar>
            <w:shd w:fill="F0F5F7"/>
          </w:tcPr>
          <w:p>
            <w:pPr>
              <w:spacing w:after="0" w:line="257" w:lineRule="auto"/>
            </w:pPr>
            <w:r>
              <w:rPr>
                <w:sz w:val="16"/>
              </w:rPr>
              <w:t>Check URL returns HTTP 200</w:t>
            </w:r>
          </w:p>
        </w:tc>
      </w:tr>
      <w:tr>
        <w:tc>
          <w:tcPr>
            <w:tcW w:type="dxa" w:w="1701"/>
            <w:vAlign w:val="center"/>
            <w:tcMar>
              <w:top w:w="85" w:type="dxa"/>
              <w:start w:w="90" w:type="dxa"/>
              <w:bottom w:w="85" w:type="dxa"/>
              <w:end w:w="90" w:type="dxa"/>
            </w:tcMar>
          </w:tcPr>
          <w:p>
            <w:pPr>
              <w:spacing w:after="0" w:line="257" w:lineRule="auto"/>
            </w:pPr>
            <w:r>
              <w:rPr>
                <w:sz w:val="16"/>
              </w:rPr>
              <w:t>Alert rule</w:t>
            </w:r>
          </w:p>
        </w:tc>
        <w:tc>
          <w:tcPr>
            <w:tcW w:type="dxa" w:w="4195"/>
            <w:vAlign w:val="center"/>
            <w:tcMar>
              <w:top w:w="85" w:type="dxa"/>
              <w:start w:w="90" w:type="dxa"/>
              <w:bottom w:w="85" w:type="dxa"/>
              <w:end w:w="90" w:type="dxa"/>
            </w:tcMar>
          </w:tcPr>
          <w:p>
            <w:pPr>
              <w:spacing w:after="0" w:line="257" w:lineRule="auto"/>
            </w:pPr>
            <w:r>
              <w:rPr>
                <w:sz w:val="16"/>
              </w:rPr>
              <w:t>A test that creates a warning when conditions are met</w:t>
            </w:r>
          </w:p>
        </w:tc>
        <w:tc>
          <w:tcPr>
            <w:tcW w:type="dxa" w:w="3515"/>
            <w:vAlign w:val="center"/>
            <w:tcMar>
              <w:top w:w="85" w:type="dxa"/>
              <w:start w:w="90" w:type="dxa"/>
              <w:bottom w:w="85" w:type="dxa"/>
              <w:end w:w="90" w:type="dxa"/>
            </w:tcMar>
          </w:tcPr>
          <w:p>
            <w:pPr>
              <w:spacing w:after="0" w:line="257" w:lineRule="auto"/>
            </w:pPr>
            <w:r>
              <w:rPr>
                <w:sz w:val="16"/>
              </w:rPr>
              <w:t>Missing data for 15 minutes</w:t>
            </w:r>
          </w:p>
        </w:tc>
      </w:tr>
    </w:tbl>
    <w:p>
      <w:pPr>
        <w:spacing w:after="0"/>
      </w:pPr>
    </w:p>
    <w:p>
      <w:pPr>
        <w:pStyle w:val="Heading2"/>
        <w:widowControl w:val="1"/>
      </w:pPr>
      <w:r>
        <w:t>2.1 Data flow: normal operating path</w:t>
      </w:r>
    </w:p>
    <w:tbl>
      <w:tblPr>
        <w:tblStyle w:val="TableGrid"/>
        <w:tblW w:type="auto" w:w="0"/>
        <w:jc w:val="center"/>
        <w:tblLayout w:type="fixed"/>
        <w:tblLook w:firstColumn="1" w:firstRow="1" w:lastColumn="0" w:lastRow="0" w:noHBand="0" w:noVBand="1" w:val="04A0"/>
      </w:tblPr>
      <w:tblGrid>
        <w:gridCol w:w="1911"/>
        <w:gridCol w:w="1911"/>
        <w:gridCol w:w="1911"/>
        <w:gridCol w:w="1911"/>
        <w:gridCol w:w="1911"/>
      </w:tblGrid>
      <w:tr>
        <w:trPr>
          <w:tblHeader w:val="true"/>
        </w:trPr>
        <w:tc>
          <w:tcPr>
            <w:tcW w:type="dxa" w:w="1814"/>
            <w:shd w:fill="15456B"/>
            <w:tcMar>
              <w:top w:w="85" w:type="dxa"/>
              <w:start w:w="90" w:type="dxa"/>
              <w:bottom w:w="85" w:type="dxa"/>
              <w:end w:w="90" w:type="dxa"/>
            </w:tcMar>
          </w:tcPr>
          <w:p>
            <w:pPr>
              <w:spacing w:after="0"/>
            </w:pPr>
            <w:r>
              <w:rPr>
                <w:b/>
                <w:color w:val="FFFFFF"/>
                <w:sz w:val="16"/>
              </w:rPr>
              <w:t>1. Produce</w:t>
            </w:r>
          </w:p>
        </w:tc>
        <w:tc>
          <w:tcPr>
            <w:tcW w:type="dxa" w:w="1871"/>
            <w:shd w:fill="15456B"/>
            <w:tcMar>
              <w:top w:w="85" w:type="dxa"/>
              <w:start w:w="90" w:type="dxa"/>
              <w:bottom w:w="85" w:type="dxa"/>
              <w:end w:w="90" w:type="dxa"/>
            </w:tcMar>
          </w:tcPr>
          <w:p>
            <w:pPr>
              <w:spacing w:after="0"/>
            </w:pPr>
            <w:r>
              <w:rPr>
                <w:b/>
                <w:color w:val="FFFFFF"/>
                <w:sz w:val="16"/>
              </w:rPr>
              <w:t>2. Collect</w:t>
            </w:r>
          </w:p>
        </w:tc>
        <w:tc>
          <w:tcPr>
            <w:tcW w:type="dxa" w:w="1814"/>
            <w:shd w:fill="15456B"/>
            <w:tcMar>
              <w:top w:w="85" w:type="dxa"/>
              <w:start w:w="90" w:type="dxa"/>
              <w:bottom w:w="85" w:type="dxa"/>
              <w:end w:w="90" w:type="dxa"/>
            </w:tcMar>
          </w:tcPr>
          <w:p>
            <w:pPr>
              <w:spacing w:after="0"/>
            </w:pPr>
            <w:r>
              <w:rPr>
                <w:b/>
                <w:color w:val="FFFFFF"/>
                <w:sz w:val="16"/>
              </w:rPr>
              <w:t>3. Process</w:t>
            </w:r>
          </w:p>
        </w:tc>
        <w:tc>
          <w:tcPr>
            <w:tcW w:type="dxa" w:w="1871"/>
            <w:shd w:fill="15456B"/>
            <w:tcMar>
              <w:top w:w="85" w:type="dxa"/>
              <w:start w:w="90" w:type="dxa"/>
              <w:bottom w:w="85" w:type="dxa"/>
              <w:end w:w="90" w:type="dxa"/>
            </w:tcMar>
          </w:tcPr>
          <w:p>
            <w:pPr>
              <w:spacing w:after="0"/>
            </w:pPr>
            <w:r>
              <w:rPr>
                <w:b/>
                <w:color w:val="FFFFFF"/>
                <w:sz w:val="16"/>
              </w:rPr>
              <w:t>4. Store</w:t>
            </w:r>
          </w:p>
        </w:tc>
        <w:tc>
          <w:tcPr>
            <w:tcW w:type="dxa" w:w="2041"/>
            <w:shd w:fill="15456B"/>
            <w:tcMar>
              <w:top w:w="85" w:type="dxa"/>
              <w:start w:w="90" w:type="dxa"/>
              <w:bottom w:w="85" w:type="dxa"/>
              <w:end w:w="90" w:type="dxa"/>
            </w:tcMar>
          </w:tcPr>
          <w:p>
            <w:pPr>
              <w:spacing w:after="0"/>
            </w:pPr>
            <w:r>
              <w:rPr>
                <w:b/>
                <w:color w:val="FFFFFF"/>
                <w:sz w:val="16"/>
              </w:rPr>
              <w:t>5. Use</w:t>
            </w:r>
          </w:p>
        </w:tc>
      </w:tr>
      <w:tr>
        <w:tc>
          <w:tcPr>
            <w:tcW w:type="dxa" w:w="1814"/>
            <w:vAlign w:val="center"/>
            <w:tcMar>
              <w:top w:w="85" w:type="dxa"/>
              <w:start w:w="90" w:type="dxa"/>
              <w:bottom w:w="85" w:type="dxa"/>
              <w:end w:w="90" w:type="dxa"/>
            </w:tcMar>
          </w:tcPr>
          <w:p>
            <w:pPr>
              <w:spacing w:after="0" w:line="257" w:lineRule="auto"/>
            </w:pPr>
            <w:r>
              <w:rPr>
                <w:sz w:val="16"/>
              </w:rPr>
              <w:t>Hosts, apps, network and cloud services</w:t>
            </w:r>
          </w:p>
        </w:tc>
        <w:tc>
          <w:tcPr>
            <w:tcW w:type="dxa" w:w="1871"/>
            <w:vAlign w:val="center"/>
            <w:tcMar>
              <w:top w:w="85" w:type="dxa"/>
              <w:start w:w="90" w:type="dxa"/>
              <w:bottom w:w="85" w:type="dxa"/>
              <w:end w:w="90" w:type="dxa"/>
            </w:tcMar>
          </w:tcPr>
          <w:p>
            <w:pPr>
              <w:spacing w:after="0" w:line="257" w:lineRule="auto"/>
            </w:pPr>
            <w:r>
              <w:rPr>
                <w:sz w:val="16"/>
              </w:rPr>
              <w:t>Elastic Agent, Beats, APM SDK, Logstash or API</w:t>
            </w:r>
          </w:p>
        </w:tc>
        <w:tc>
          <w:tcPr>
            <w:tcW w:type="dxa" w:w="1814"/>
            <w:vAlign w:val="center"/>
            <w:tcMar>
              <w:top w:w="85" w:type="dxa"/>
              <w:start w:w="90" w:type="dxa"/>
              <w:bottom w:w="85" w:type="dxa"/>
              <w:end w:w="90" w:type="dxa"/>
            </w:tcMar>
          </w:tcPr>
          <w:p>
            <w:pPr>
              <w:spacing w:after="0" w:line="257" w:lineRule="auto"/>
            </w:pPr>
            <w:r>
              <w:rPr>
                <w:sz w:val="16"/>
              </w:rPr>
              <w:t>Integrations, Logstash or ingest pipelines</w:t>
            </w:r>
          </w:p>
        </w:tc>
        <w:tc>
          <w:tcPr>
            <w:tcW w:type="dxa" w:w="1871"/>
            <w:vAlign w:val="center"/>
            <w:tcMar>
              <w:top w:w="85" w:type="dxa"/>
              <w:start w:w="90" w:type="dxa"/>
              <w:bottom w:w="85" w:type="dxa"/>
              <w:end w:w="90" w:type="dxa"/>
            </w:tcMar>
          </w:tcPr>
          <w:p>
            <w:pPr>
              <w:spacing w:after="0" w:line="257" w:lineRule="auto"/>
            </w:pPr>
            <w:r>
              <w:rPr>
                <w:sz w:val="16"/>
              </w:rPr>
              <w:t>Elasticsearch hot/warm data streams and indices</w:t>
            </w:r>
          </w:p>
        </w:tc>
        <w:tc>
          <w:tcPr>
            <w:tcW w:type="dxa" w:w="2041"/>
            <w:vAlign w:val="center"/>
            <w:tcMar>
              <w:top w:w="85" w:type="dxa"/>
              <w:start w:w="90" w:type="dxa"/>
              <w:bottom w:w="85" w:type="dxa"/>
              <w:end w:w="90" w:type="dxa"/>
            </w:tcMar>
          </w:tcPr>
          <w:p>
            <w:pPr>
              <w:spacing w:after="0" w:line="257" w:lineRule="auto"/>
            </w:pPr>
            <w:r>
              <w:rPr>
                <w:sz w:val="16"/>
              </w:rPr>
              <w:t>Kibana dashboards, APM, Synthetics, alerts</w:t>
            </w:r>
          </w:p>
        </w:tc>
      </w:tr>
    </w:tbl>
    <w:p>
      <w:pPr>
        <w:spacing w:after="0"/>
      </w:pPr>
    </w:p>
    <w:p>
      <w:pPr>
        <w:widowControl w:val="1"/>
      </w:pPr>
      <w:r>
        <w:t>A failure at any stage may cause missing data. For example, the cluster can be healthy while a particular Filebeat collector is stopped. Hence health checks must cover both the platform and end-to-end data freshness.</w:t>
      </w:r>
    </w:p>
    <w:p>
      <w:pPr>
        <w:pStyle w:val="Heading1"/>
        <w:widowControl w:val="1"/>
      </w:pPr>
      <w:r>
        <w:t>3. ScottishPower cloud architecture and service inventory</w:t>
      </w:r>
    </w:p>
    <w:p>
      <w:pPr>
        <w:pStyle w:val="Heading2"/>
        <w:widowControl w:val="1"/>
      </w:pPr>
      <w:r>
        <w:t>3.1 Hosting model and observed design</w:t>
      </w:r>
    </w:p>
    <w:p>
      <w:pPr>
        <w:widowControl w:val="1"/>
      </w:pPr>
      <w:r>
        <w:t>ScottishPower operates TWO Elastic Cloud Hosted deployments in AWS eu-west-2: a Production deployment for application observability workloads and a separate Sp_Monitoring_Master deployment for operational monitoring. There is NO ScottishPower DEV cluster. The 24 October 2026 screenshots display Elastic version 9.4.5 on both deployments. Observed instances span eu-west-2a, eu-west-2b and eu-west-2c; the exact monitoring data flow, roles, current instance sizes, quorum and service-level commitments require validation against the live Cloud console. Do not assume the monitoring deployment is a non-production test environment.</w:t>
      </w:r>
    </w:p>
    <w:tbl>
      <w:tblPr>
        <w:tblStyle w:val="TableGrid"/>
        <w:tblW w:type="auto" w:w="0"/>
        <w:jc w:val="center"/>
        <w:tblLayout w:type="fixed"/>
        <w:tblLook w:firstColumn="1" w:firstRow="1" w:lastColumn="0" w:lastRow="0" w:noHBand="0" w:noVBand="1" w:val="04A0"/>
      </w:tblPr>
      <w:tblGrid>
        <w:gridCol w:w="3184"/>
        <w:gridCol w:w="3184"/>
        <w:gridCol w:w="3184"/>
      </w:tblGrid>
      <w:tr>
        <w:trPr>
          <w:tblHeader w:val="true"/>
        </w:trPr>
        <w:tc>
          <w:tcPr>
            <w:tcW w:type="dxa" w:w="1928"/>
            <w:shd w:fill="15456B"/>
            <w:tcMar>
              <w:top w:w="85" w:type="dxa"/>
              <w:start w:w="90" w:type="dxa"/>
              <w:bottom w:w="85" w:type="dxa"/>
              <w:end w:w="90" w:type="dxa"/>
            </w:tcMar>
          </w:tcPr>
          <w:p>
            <w:pPr>
              <w:spacing w:after="0"/>
            </w:pPr>
            <w:r>
              <w:rPr>
                <w:b/>
                <w:color w:val="FFFFFF"/>
                <w:sz w:val="16"/>
              </w:rPr>
              <w:t>Zone in screenshot</w:t>
            </w:r>
          </w:p>
        </w:tc>
        <w:tc>
          <w:tcPr>
            <w:tcW w:type="dxa" w:w="3572"/>
            <w:shd w:fill="15456B"/>
            <w:tcMar>
              <w:top w:w="85" w:type="dxa"/>
              <w:start w:w="90" w:type="dxa"/>
              <w:bottom w:w="85" w:type="dxa"/>
              <w:end w:w="90" w:type="dxa"/>
            </w:tcMar>
          </w:tcPr>
          <w:p>
            <w:pPr>
              <w:spacing w:after="0"/>
            </w:pPr>
            <w:r>
              <w:rPr>
                <w:b/>
                <w:color w:val="FFFFFF"/>
                <w:sz w:val="16"/>
              </w:rPr>
              <w:t>Roles depicted</w:t>
            </w:r>
          </w:p>
        </w:tc>
        <w:tc>
          <w:tcPr>
            <w:tcW w:type="dxa" w:w="3912"/>
            <w:shd w:fill="15456B"/>
            <w:tcMar>
              <w:top w:w="85" w:type="dxa"/>
              <w:start w:w="90" w:type="dxa"/>
              <w:bottom w:w="85" w:type="dxa"/>
              <w:end w:w="90" w:type="dxa"/>
            </w:tcMar>
          </w:tcPr>
          <w:p>
            <w:pPr>
              <w:spacing w:after="0"/>
            </w:pPr>
            <w:r>
              <w:rPr>
                <w:b/>
                <w:color w:val="FFFFFF"/>
                <w:sz w:val="16"/>
              </w:rPr>
              <w:t>Required verification</w:t>
            </w:r>
          </w:p>
        </w:tc>
      </w:tr>
      <w:tr>
        <w:tc>
          <w:tcPr>
            <w:tcW w:type="dxa" w:w="1928"/>
            <w:vAlign w:val="center"/>
            <w:tcMar>
              <w:top w:w="85" w:type="dxa"/>
              <w:start w:w="90" w:type="dxa"/>
              <w:bottom w:w="85" w:type="dxa"/>
              <w:end w:w="90" w:type="dxa"/>
            </w:tcMar>
          </w:tcPr>
          <w:p>
            <w:pPr>
              <w:spacing w:after="0" w:line="257" w:lineRule="auto"/>
            </w:pPr>
            <w:r>
              <w:rPr>
                <w:sz w:val="16"/>
              </w:rPr>
              <w:t>eu-west-2a</w:t>
            </w:r>
          </w:p>
        </w:tc>
        <w:tc>
          <w:tcPr>
            <w:tcW w:type="dxa" w:w="3572"/>
            <w:vAlign w:val="center"/>
            <w:tcMar>
              <w:top w:w="85" w:type="dxa"/>
              <w:start w:w="90" w:type="dxa"/>
              <w:bottom w:w="85" w:type="dxa"/>
              <w:end w:w="90" w:type="dxa"/>
            </w:tcMar>
          </w:tcPr>
          <w:p>
            <w:pPr>
              <w:spacing w:after="0" w:line="257" w:lineRule="auto"/>
            </w:pPr>
            <w:r>
              <w:rPr>
                <w:sz w:val="16"/>
              </w:rPr>
              <w:t>Hot data; warm data; Integrations Server; Kibana</w:t>
            </w:r>
          </w:p>
        </w:tc>
        <w:tc>
          <w:tcPr>
            <w:tcW w:type="dxa" w:w="3912"/>
            <w:vAlign w:val="center"/>
            <w:tcMar>
              <w:top w:w="85" w:type="dxa"/>
              <w:start w:w="90" w:type="dxa"/>
              <w:bottom w:w="85" w:type="dxa"/>
              <w:end w:w="90" w:type="dxa"/>
            </w:tcMar>
          </w:tcPr>
          <w:p>
            <w:pPr>
              <w:spacing w:after="0" w:line="257" w:lineRule="auto"/>
            </w:pPr>
            <w:r>
              <w:rPr>
                <w:sz w:val="16"/>
              </w:rPr>
              <w:t>Check current instance count and sizes in Cloud</w:t>
            </w:r>
          </w:p>
        </w:tc>
      </w:tr>
      <w:tr>
        <w:tc>
          <w:tcPr>
            <w:tcW w:type="dxa" w:w="1928"/>
            <w:vAlign w:val="center"/>
            <w:tcMar>
              <w:top w:w="85" w:type="dxa"/>
              <w:start w:w="90" w:type="dxa"/>
              <w:bottom w:w="85" w:type="dxa"/>
              <w:end w:w="90" w:type="dxa"/>
            </w:tcMar>
            <w:shd w:fill="F0F5F7"/>
          </w:tcPr>
          <w:p>
            <w:pPr>
              <w:spacing w:after="0" w:line="257" w:lineRule="auto"/>
            </w:pPr>
            <w:r>
              <w:rPr>
                <w:sz w:val="16"/>
              </w:rPr>
              <w:t>eu-west-2b</w:t>
            </w:r>
          </w:p>
        </w:tc>
        <w:tc>
          <w:tcPr>
            <w:tcW w:type="dxa" w:w="3572"/>
            <w:vAlign w:val="center"/>
            <w:tcMar>
              <w:top w:w="85" w:type="dxa"/>
              <w:start w:w="90" w:type="dxa"/>
              <w:bottom w:w="85" w:type="dxa"/>
              <w:end w:w="90" w:type="dxa"/>
            </w:tcMar>
            <w:shd w:fill="F0F5F7"/>
          </w:tcPr>
          <w:p>
            <w:pPr>
              <w:spacing w:after="0" w:line="257" w:lineRule="auto"/>
            </w:pPr>
            <w:r>
              <w:rPr>
                <w:sz w:val="16"/>
              </w:rPr>
              <w:t>Warm data; master-eligible</w:t>
            </w:r>
          </w:p>
        </w:tc>
        <w:tc>
          <w:tcPr>
            <w:tcW w:type="dxa" w:w="3912"/>
            <w:vAlign w:val="center"/>
            <w:tcMar>
              <w:top w:w="85" w:type="dxa"/>
              <w:start w:w="90" w:type="dxa"/>
              <w:bottom w:w="85" w:type="dxa"/>
              <w:end w:w="90" w:type="dxa"/>
            </w:tcMar>
            <w:shd w:fill="F0F5F7"/>
          </w:tcPr>
          <w:p>
            <w:pPr>
              <w:spacing w:after="0" w:line="257" w:lineRule="auto"/>
            </w:pPr>
            <w:r>
              <w:rPr>
                <w:sz w:val="16"/>
              </w:rPr>
              <w:t>Confirm master quorum and zone resilience</w:t>
            </w:r>
          </w:p>
        </w:tc>
      </w:tr>
      <w:tr>
        <w:tc>
          <w:tcPr>
            <w:tcW w:type="dxa" w:w="1928"/>
            <w:vAlign w:val="center"/>
            <w:tcMar>
              <w:top w:w="85" w:type="dxa"/>
              <w:start w:w="90" w:type="dxa"/>
              <w:bottom w:w="85" w:type="dxa"/>
              <w:end w:w="90" w:type="dxa"/>
            </w:tcMar>
          </w:tcPr>
          <w:p>
            <w:pPr>
              <w:spacing w:after="0" w:line="257" w:lineRule="auto"/>
            </w:pPr>
            <w:r>
              <w:rPr>
                <w:sz w:val="16"/>
              </w:rPr>
              <w:t>eu-west-2c</w:t>
            </w:r>
          </w:p>
        </w:tc>
        <w:tc>
          <w:tcPr>
            <w:tcW w:type="dxa" w:w="3572"/>
            <w:vAlign w:val="center"/>
            <w:tcMar>
              <w:top w:w="85" w:type="dxa"/>
              <w:start w:w="90" w:type="dxa"/>
              <w:bottom w:w="85" w:type="dxa"/>
              <w:end w:w="90" w:type="dxa"/>
            </w:tcMar>
          </w:tcPr>
          <w:p>
            <w:pPr>
              <w:spacing w:after="0" w:line="257" w:lineRule="auto"/>
            </w:pPr>
            <w:r>
              <w:rPr>
                <w:sz w:val="16"/>
              </w:rPr>
              <w:t>Hot data; ML</w:t>
            </w:r>
          </w:p>
        </w:tc>
        <w:tc>
          <w:tcPr>
            <w:tcW w:type="dxa" w:w="3912"/>
            <w:vAlign w:val="center"/>
            <w:tcMar>
              <w:top w:w="85" w:type="dxa"/>
              <w:start w:w="90" w:type="dxa"/>
              <w:bottom w:w="85" w:type="dxa"/>
              <w:end w:w="90" w:type="dxa"/>
            </w:tcMar>
          </w:tcPr>
          <w:p>
            <w:pPr>
              <w:spacing w:after="0" w:line="257" w:lineRule="auto"/>
            </w:pPr>
            <w:r>
              <w:rPr>
                <w:sz w:val="16"/>
              </w:rPr>
              <w:t>Confirm actual ML capacity and HA requirements</w:t>
            </w:r>
          </w:p>
        </w:tc>
      </w:tr>
    </w:tbl>
    <w:p>
      <w:pPr>
        <w:spacing w:after="0"/>
      </w:pPr>
    </w:p>
    <w:tbl>
      <w:tblPr>
        <w:tblW w:type="auto" w:w="0"/>
        <w:tblLayout w:type="fixed"/>
        <w:tblLook w:firstColumn="1" w:firstRow="1" w:lastColumn="0" w:lastRow="0" w:noHBand="0" w:noVBand="1" w:val="04A0"/>
      </w:tblPr>
      <w:tblGrid>
        <w:gridCol w:w="9553"/>
      </w:tblGrid>
      <w:tr>
        <w:tc>
          <w:tcPr>
            <w:tcW w:type="dxa" w:w="9553"/>
            <w:shd w:fill="E8F2F2"/>
            <w:tcMar>
              <w:top w:w="100" w:type="dxa"/>
              <w:start w:w="150" w:type="dxa"/>
              <w:bottom w:w="100" w:type="dxa"/>
              <w:end w:w="150" w:type="dxa"/>
            </w:tcMar>
          </w:tcPr>
          <w:p>
            <w:r>
              <w:rPr>
                <w:b/>
                <w:color w:val="00747E"/>
              </w:rPr>
              <w:t xml:space="preserve">ARCHITECTURE ASSURANCE  </w:t>
            </w:r>
            <w:r>
              <w:t>A single master box in an illustrative diagram must not be interpreted as a sufficient highly available master configuration. Confirm the actual master-eligible/voting topology, zone distribution, node sizes, data-tier placement and replica policy in Elastic Cloud. Zone and role layout may change after scaling or upgrades.</w:t>
            </w:r>
          </w:p>
        </w:tc>
      </w:tr>
    </w:tbl>
    <w:p>
      <w:pPr>
        <w:spacing w:after="0"/>
      </w:pPr>
    </w:p>
    <w:p>
      <w:r>
        <w:drawing>
          <wp:inline xmlns:a="http://schemas.openxmlformats.org/drawingml/2006/main" xmlns:pic="http://schemas.openxmlformats.org/drawingml/2006/picture">
            <wp:extent cx="5989320" cy="3368992"/>
            <wp:docPr id="1" name="Picture 1"/>
            <wp:cNvGraphicFramePr>
              <a:graphicFrameLocks noChangeAspect="1"/>
            </wp:cNvGraphicFramePr>
            <a:graphic>
              <a:graphicData uri="http://schemas.openxmlformats.org/drawingml/2006/picture">
                <pic:pic>
                  <pic:nvPicPr>
                    <pic:cNvPr id="0" name="ScottishPower_Elastic_Two_Deployment_Architecture.png"/>
                    <pic:cNvPicPr/>
                  </pic:nvPicPr>
                  <pic:blipFill>
                    <a:blip r:embed="rId11"/>
                    <a:stretch>
                      <a:fillRect/>
                    </a:stretch>
                  </pic:blipFill>
                  <pic:spPr>
                    <a:xfrm>
                      <a:off x="0" y="0"/>
                      <a:ext cx="5989320" cy="3368992"/>
                    </a:xfrm>
                    <a:prstGeom prst="rect"/>
                  </pic:spPr>
                </pic:pic>
              </a:graphicData>
            </a:graphic>
          </wp:inline>
        </w:drawing>
      </w:r>
    </w:p>
    <w:p>
      <w:pPr>
        <w:pStyle w:val="Heading2"/>
      </w:pPr>
      <w:r>
        <w:t>3.1A Confirmed deployment landscape</w:t>
      </w:r>
    </w:p>
    <w:p>
      <w:r>
        <w:t>Production: screenshot shows two 30 GB RAM hot-data instances (eu-west-2a/c), two 30 GB RAM warm-data instances (eu-west-2a/b), a 1 GB master-eligible tiebreaker (eu-west-2b), a 1 GB ML instance (eu-west-2c), a 1 GB Integrations Server instance (eu-west-2b) and two 2 GB Kibana instances (eu-west-2a/b). These are instance-RAM labels on the screenshot; do not treat them as verified total memory reservations.</w:t>
      </w:r>
    </w:p>
    <w:p>
      <w:r>
        <w:t>Monitoring: the Sp_Monitoring_Master screenshot shows two data instances (4 GB RAM each, eu-west-2b/c), a 1 GB master-eligible tiebreaker (eu-west-2a), two 2 GB Kibana instances (eu-west-2a/c) and an Integrations Server instance (eu-west-2c). Other role details and final sizing must be verified in the current Cloud console.</w:t>
      </w:r>
    </w:p>
    <w:p>
      <w:r>
        <w:t>Clarification: “healthy” on the Elastic Cloud deployment tile indicates platform health at the time of capture. It does not prove successful monitoring telemetry delivery, application data freshness, alert delivery or successful recovery testing.</w:t>
      </w:r>
    </w:p>
    <w:p>
      <w:pPr>
        <w:pStyle w:val="Heading2"/>
      </w:pPr>
      <w:r>
        <w:t>3.1B Why operate a dedicated Monitoring deployment?</w:t>
      </w:r>
    </w:p>
    <w:p>
      <w:r>
        <w:t>Non-technical explanation: Production stores and searches business/application observability data. Monitoring watches the health and behaviour of Elastic services. Keeping these separate can preserve access to operational evidence even when Production is degraded. However, Monitoring is itself a critical service and must be monitored independently.</w:t>
      </w:r>
    </w:p>
    <w:p>
      <w:r>
        <w:t>Required validation: log in to Elastic Cloud → open Production → Logs and metrics → confirm Ship to a deployment is enabled and points to Sp_Monitoring_Master. Record who manages the configuration, how long monitoring data is retained, whether Kibana Stack Monitoring displays the Production cluster, and whether an alert is raised when monitoring data stops arriving.</w:t>
      </w:r>
    </w:p>
    <w:p>
      <w:pPr>
        <w:pStyle w:val="Heading2"/>
      </w:pPr>
      <w:r>
        <w:t>3.1C Monitoring deployment checks and incident handling</w:t>
      </w:r>
    </w:p>
    <w:p>
      <w:r>
        <w:t>• Daily: confirm both deployments report healthy; check all expected nodes are present, deployment activity contains no unresolved failed plan changes, and monitoring data is arriving within the agreed latency objective.</w:t>
      </w:r>
    </w:p>
    <w:p>
      <w:r>
        <w:t>• Daily: open Monitoring Kibana → Stack Monitoring and check Production node availability, JVM memory pressure, search/indexing performance, storage, shards, and missing telemetry; repeat the health check on Monitoring itself.</w:t>
      </w:r>
    </w:p>
    <w:p>
      <w:r>
        <w:t>• Weekly: review Monitoring capacity, retention/ILM, alert-rule execution, failed actions, active errors, user access, and snapshot results for both deployments.</w:t>
      </w:r>
    </w:p>
    <w:p>
      <w:r>
        <w:t>• Incident scenario A — Production unhealthy, Monitoring healthy: preserve Monitoring access, inspect recent Production logs and metrics, check Cloud health and activity, and escalate according to business impact.</w:t>
      </w:r>
    </w:p>
    <w:p>
      <w:r>
        <w:t>• Incident scenario B — Monitoring unhealthy, Production healthy: verify Production separately in Elastic Cloud; treat lost visibility as a monitoring incident, check monitoring ingestion and index/disk issues, and use independent alerting if configured.</w:t>
      </w:r>
    </w:p>
    <w:p>
      <w:r>
        <w:t>• Incident scenario C — both unhealthy: determine whether this is a shared region/network/identity failure; use Elastic Cloud console and approved independent status checks; escalate promptly to Elastic Support and the ScottishPower incident owner.</w:t>
      </w:r>
    </w:p>
    <w:p>
      <w:r>
        <w:t>• Change control: without DEV, upgrades, templates, agent policies, ILM and ingest-pipeline changes must use peer-reviewed change records, validated backups, non-destructive prechecks, maintenance windows, and where appropriate a temporary test deployment or isolated test source. Do not use Monitoring as an application test environment.</w:t>
      </w:r>
    </w:p>
    <w:p>
      <w:r>
        <w:t>• Failover claim: three availability zones do not automatically establish sufficient redundancy for every service. Confirm node quorum, Kibana redundancy, capacity and monitoring continuity with actual Cloud settings and approved recovery tests.</w:t>
      </w:r>
    </w:p>
    <w:p>
      <w:pPr>
        <w:pStyle w:val="Heading2"/>
        <w:widowControl w:val="1"/>
      </w:pPr>
      <w:r>
        <w:t>3.2 Component responsibility</w:t>
      </w:r>
    </w:p>
    <w:tbl>
      <w:tblPr>
        <w:tblStyle w:val="TableGrid"/>
        <w:tblW w:type="auto" w:w="0"/>
        <w:jc w:val="center"/>
        <w:tblLayout w:type="fixed"/>
        <w:tblLook w:firstColumn="1" w:firstRow="1" w:lastColumn="0" w:lastRow="0" w:noHBand="0" w:noVBand="1" w:val="04A0"/>
      </w:tblPr>
      <w:tblGrid>
        <w:gridCol w:w="3184"/>
        <w:gridCol w:w="3184"/>
        <w:gridCol w:w="3184"/>
      </w:tblGrid>
      <w:tr>
        <w:trPr>
          <w:tblHeader w:val="true"/>
        </w:trPr>
        <w:tc>
          <w:tcPr>
            <w:tcW w:type="dxa" w:w="1843"/>
            <w:shd w:fill="15456B"/>
            <w:tcMar>
              <w:top w:w="85" w:type="dxa"/>
              <w:start w:w="90" w:type="dxa"/>
              <w:bottom w:w="85" w:type="dxa"/>
              <w:end w:w="90" w:type="dxa"/>
            </w:tcMar>
          </w:tcPr>
          <w:p>
            <w:pPr>
              <w:spacing w:after="0"/>
            </w:pPr>
            <w:r>
              <w:rPr>
                <w:b/>
                <w:color w:val="FFFFFF"/>
                <w:sz w:val="16"/>
              </w:rPr>
              <w:t>Component</w:t>
            </w:r>
          </w:p>
        </w:tc>
        <w:tc>
          <w:tcPr>
            <w:tcW w:type="dxa" w:w="3487"/>
            <w:shd w:fill="15456B"/>
            <w:tcMar>
              <w:top w:w="85" w:type="dxa"/>
              <w:start w:w="90" w:type="dxa"/>
              <w:bottom w:w="85" w:type="dxa"/>
              <w:end w:w="90" w:type="dxa"/>
            </w:tcMar>
          </w:tcPr>
          <w:p>
            <w:pPr>
              <w:spacing w:after="0"/>
            </w:pPr>
            <w:r>
              <w:rPr>
                <w:b/>
                <w:color w:val="FFFFFF"/>
                <w:sz w:val="16"/>
              </w:rPr>
              <w:t>What it does</w:t>
            </w:r>
          </w:p>
        </w:tc>
        <w:tc>
          <w:tcPr>
            <w:tcW w:type="dxa" w:w="4082"/>
            <w:shd w:fill="15456B"/>
            <w:tcMar>
              <w:top w:w="85" w:type="dxa"/>
              <w:start w:w="90" w:type="dxa"/>
              <w:bottom w:w="85" w:type="dxa"/>
              <w:end w:w="90" w:type="dxa"/>
            </w:tcMar>
          </w:tcPr>
          <w:p>
            <w:pPr>
              <w:spacing w:after="0"/>
            </w:pPr>
            <w:r>
              <w:rPr>
                <w:b/>
                <w:color w:val="FFFFFF"/>
                <w:sz w:val="16"/>
              </w:rPr>
              <w:t>Operational accountability</w:t>
            </w:r>
          </w:p>
        </w:tc>
      </w:tr>
      <w:tr>
        <w:tc>
          <w:tcPr>
            <w:tcW w:type="dxa" w:w="1843"/>
            <w:vAlign w:val="center"/>
            <w:tcMar>
              <w:top w:w="85" w:type="dxa"/>
              <w:start w:w="90" w:type="dxa"/>
              <w:bottom w:w="85" w:type="dxa"/>
              <w:end w:w="90" w:type="dxa"/>
            </w:tcMar>
          </w:tcPr>
          <w:p>
            <w:pPr>
              <w:spacing w:after="0" w:line="257" w:lineRule="auto"/>
            </w:pPr>
            <w:r>
              <w:rPr>
                <w:sz w:val="16"/>
              </w:rPr>
              <w:t>Elasticsearch hot tier</w:t>
            </w:r>
          </w:p>
        </w:tc>
        <w:tc>
          <w:tcPr>
            <w:tcW w:type="dxa" w:w="3487"/>
            <w:vAlign w:val="center"/>
            <w:tcMar>
              <w:top w:w="85" w:type="dxa"/>
              <w:start w:w="90" w:type="dxa"/>
              <w:bottom w:w="85" w:type="dxa"/>
              <w:end w:w="90" w:type="dxa"/>
            </w:tcMar>
          </w:tcPr>
          <w:p>
            <w:pPr>
              <w:spacing w:after="0" w:line="257" w:lineRule="auto"/>
            </w:pPr>
            <w:r>
              <w:rPr>
                <w:sz w:val="16"/>
              </w:rPr>
              <w:t>Handles newly written/search-intensive data</w:t>
            </w:r>
          </w:p>
        </w:tc>
        <w:tc>
          <w:tcPr>
            <w:tcW w:type="dxa" w:w="4082"/>
            <w:vAlign w:val="center"/>
            <w:tcMar>
              <w:top w:w="85" w:type="dxa"/>
              <w:start w:w="90" w:type="dxa"/>
              <w:bottom w:w="85" w:type="dxa"/>
              <w:end w:w="90" w:type="dxa"/>
            </w:tcMar>
          </w:tcPr>
          <w:p>
            <w:pPr>
              <w:spacing w:after="0" w:line="257" w:lineRule="auto"/>
            </w:pPr>
            <w:r>
              <w:rPr>
                <w:sz w:val="16"/>
              </w:rPr>
              <w:t>Cloud health, write performance, disk, shard balance</w:t>
            </w:r>
          </w:p>
        </w:tc>
      </w:tr>
      <w:tr>
        <w:tc>
          <w:tcPr>
            <w:tcW w:type="dxa" w:w="1843"/>
            <w:vAlign w:val="center"/>
            <w:tcMar>
              <w:top w:w="85" w:type="dxa"/>
              <w:start w:w="90" w:type="dxa"/>
              <w:bottom w:w="85" w:type="dxa"/>
              <w:end w:w="90" w:type="dxa"/>
            </w:tcMar>
            <w:shd w:fill="F0F5F7"/>
          </w:tcPr>
          <w:p>
            <w:pPr>
              <w:spacing w:after="0" w:line="257" w:lineRule="auto"/>
            </w:pPr>
            <w:r>
              <w:rPr>
                <w:sz w:val="16"/>
              </w:rPr>
              <w:t>Elasticsearch warm tier</w:t>
            </w:r>
          </w:p>
        </w:tc>
        <w:tc>
          <w:tcPr>
            <w:tcW w:type="dxa" w:w="3487"/>
            <w:vAlign w:val="center"/>
            <w:tcMar>
              <w:top w:w="85" w:type="dxa"/>
              <w:start w:w="90" w:type="dxa"/>
              <w:bottom w:w="85" w:type="dxa"/>
              <w:end w:w="90" w:type="dxa"/>
            </w:tcMar>
            <w:shd w:fill="F0F5F7"/>
          </w:tcPr>
          <w:p>
            <w:pPr>
              <w:spacing w:after="0" w:line="257" w:lineRule="auto"/>
            </w:pPr>
            <w:r>
              <w:rPr>
                <w:sz w:val="16"/>
              </w:rPr>
              <w:t>Keeps less frequently accessed history</w:t>
            </w:r>
          </w:p>
        </w:tc>
        <w:tc>
          <w:tcPr>
            <w:tcW w:type="dxa" w:w="4082"/>
            <w:vAlign w:val="center"/>
            <w:tcMar>
              <w:top w:w="85" w:type="dxa"/>
              <w:start w:w="90" w:type="dxa"/>
              <w:bottom w:w="85" w:type="dxa"/>
              <w:end w:w="90" w:type="dxa"/>
            </w:tcMar>
            <w:shd w:fill="F0F5F7"/>
          </w:tcPr>
          <w:p>
            <w:pPr>
              <w:spacing w:after="0" w:line="257" w:lineRule="auto"/>
            </w:pPr>
            <w:r>
              <w:rPr>
                <w:sz w:val="16"/>
              </w:rPr>
              <w:t>Tier allocation, lifecycle, storage</w:t>
            </w:r>
          </w:p>
        </w:tc>
      </w:tr>
      <w:tr>
        <w:tc>
          <w:tcPr>
            <w:tcW w:type="dxa" w:w="1843"/>
            <w:vAlign w:val="center"/>
            <w:tcMar>
              <w:top w:w="85" w:type="dxa"/>
              <w:start w:w="90" w:type="dxa"/>
              <w:bottom w:w="85" w:type="dxa"/>
              <w:end w:w="90" w:type="dxa"/>
            </w:tcMar>
          </w:tcPr>
          <w:p>
            <w:pPr>
              <w:spacing w:after="0" w:line="257" w:lineRule="auto"/>
            </w:pPr>
            <w:r>
              <w:rPr>
                <w:sz w:val="16"/>
              </w:rPr>
              <w:t>Master-eligible nodes</w:t>
            </w:r>
          </w:p>
        </w:tc>
        <w:tc>
          <w:tcPr>
            <w:tcW w:type="dxa" w:w="3487"/>
            <w:vAlign w:val="center"/>
            <w:tcMar>
              <w:top w:w="85" w:type="dxa"/>
              <w:start w:w="90" w:type="dxa"/>
              <w:bottom w:w="85" w:type="dxa"/>
              <w:end w:w="90" w:type="dxa"/>
            </w:tcMar>
          </w:tcPr>
          <w:p>
            <w:pPr>
              <w:spacing w:after="0" w:line="257" w:lineRule="auto"/>
            </w:pPr>
            <w:r>
              <w:rPr>
                <w:sz w:val="16"/>
              </w:rPr>
              <w:t>Maintain cluster coordination and metadata</w:t>
            </w:r>
          </w:p>
        </w:tc>
        <w:tc>
          <w:tcPr>
            <w:tcW w:type="dxa" w:w="4082"/>
            <w:vAlign w:val="center"/>
            <w:tcMar>
              <w:top w:w="85" w:type="dxa"/>
              <w:start w:w="90" w:type="dxa"/>
              <w:bottom w:w="85" w:type="dxa"/>
              <w:end w:w="90" w:type="dxa"/>
            </w:tcMar>
          </w:tcPr>
          <w:p>
            <w:pPr>
              <w:spacing w:after="0" w:line="257" w:lineRule="auto"/>
            </w:pPr>
            <w:r>
              <w:rPr>
                <w:sz w:val="16"/>
              </w:rPr>
              <w:t>Quorum, stability, cluster state</w:t>
            </w:r>
          </w:p>
        </w:tc>
      </w:tr>
      <w:tr>
        <w:tc>
          <w:tcPr>
            <w:tcW w:type="dxa" w:w="1843"/>
            <w:vAlign w:val="center"/>
            <w:tcMar>
              <w:top w:w="85" w:type="dxa"/>
              <w:start w:w="90" w:type="dxa"/>
              <w:bottom w:w="85" w:type="dxa"/>
              <w:end w:w="90" w:type="dxa"/>
            </w:tcMar>
            <w:shd w:fill="F0F5F7"/>
          </w:tcPr>
          <w:p>
            <w:pPr>
              <w:spacing w:after="0" w:line="257" w:lineRule="auto"/>
            </w:pPr>
            <w:r>
              <w:rPr>
                <w:sz w:val="16"/>
              </w:rPr>
              <w:t>Kibana</w:t>
            </w:r>
          </w:p>
        </w:tc>
        <w:tc>
          <w:tcPr>
            <w:tcW w:type="dxa" w:w="3487"/>
            <w:vAlign w:val="center"/>
            <w:tcMar>
              <w:top w:w="85" w:type="dxa"/>
              <w:start w:w="90" w:type="dxa"/>
              <w:bottom w:w="85" w:type="dxa"/>
              <w:end w:w="90" w:type="dxa"/>
            </w:tcMar>
            <w:shd w:fill="F0F5F7"/>
          </w:tcPr>
          <w:p>
            <w:pPr>
              <w:spacing w:after="0" w:line="257" w:lineRule="auto"/>
            </w:pPr>
            <w:r>
              <w:rPr>
                <w:sz w:val="16"/>
              </w:rPr>
              <w:t>Search, dashboards, alerts and management UI</w:t>
            </w:r>
          </w:p>
        </w:tc>
        <w:tc>
          <w:tcPr>
            <w:tcW w:type="dxa" w:w="4082"/>
            <w:vAlign w:val="center"/>
            <w:tcMar>
              <w:top w:w="85" w:type="dxa"/>
              <w:start w:w="90" w:type="dxa"/>
              <w:bottom w:w="85" w:type="dxa"/>
              <w:end w:w="90" w:type="dxa"/>
            </w:tcMar>
            <w:shd w:fill="F0F5F7"/>
          </w:tcPr>
          <w:p>
            <w:pPr>
              <w:spacing w:after="0" w:line="257" w:lineRule="auto"/>
            </w:pPr>
            <w:r>
              <w:rPr>
                <w:sz w:val="16"/>
              </w:rPr>
              <w:t>Login, saved objects, performance, access</w:t>
            </w:r>
          </w:p>
        </w:tc>
      </w:tr>
      <w:tr>
        <w:tc>
          <w:tcPr>
            <w:tcW w:type="dxa" w:w="1843"/>
            <w:vAlign w:val="center"/>
            <w:tcMar>
              <w:top w:w="85" w:type="dxa"/>
              <w:start w:w="90" w:type="dxa"/>
              <w:bottom w:w="85" w:type="dxa"/>
              <w:end w:w="90" w:type="dxa"/>
            </w:tcMar>
          </w:tcPr>
          <w:p>
            <w:pPr>
              <w:spacing w:after="0" w:line="257" w:lineRule="auto"/>
            </w:pPr>
            <w:r>
              <w:rPr>
                <w:sz w:val="16"/>
              </w:rPr>
              <w:t>Integrations/Fleet Server</w:t>
            </w:r>
          </w:p>
        </w:tc>
        <w:tc>
          <w:tcPr>
            <w:tcW w:type="dxa" w:w="3487"/>
            <w:vAlign w:val="center"/>
            <w:tcMar>
              <w:top w:w="85" w:type="dxa"/>
              <w:start w:w="90" w:type="dxa"/>
              <w:bottom w:w="85" w:type="dxa"/>
              <w:end w:w="90" w:type="dxa"/>
            </w:tcMar>
          </w:tcPr>
          <w:p>
            <w:pPr>
              <w:spacing w:after="0" w:line="257" w:lineRule="auto"/>
            </w:pPr>
            <w:r>
              <w:rPr>
                <w:sz w:val="16"/>
              </w:rPr>
              <w:t>Manages Elastic Agent policy communication; endpoint may host ingest as configured</w:t>
            </w:r>
          </w:p>
        </w:tc>
        <w:tc>
          <w:tcPr>
            <w:tcW w:type="dxa" w:w="4082"/>
            <w:vAlign w:val="center"/>
            <w:tcMar>
              <w:top w:w="85" w:type="dxa"/>
              <w:start w:w="90" w:type="dxa"/>
              <w:bottom w:w="85" w:type="dxa"/>
              <w:end w:w="90" w:type="dxa"/>
            </w:tcMar>
          </w:tcPr>
          <w:p>
            <w:pPr>
              <w:spacing w:after="0" w:line="257" w:lineRule="auto"/>
            </w:pPr>
            <w:r>
              <w:rPr>
                <w:sz w:val="16"/>
              </w:rPr>
              <w:t>Fleet connectivity, policy rollout, capacity</w:t>
            </w:r>
          </w:p>
        </w:tc>
      </w:tr>
      <w:tr>
        <w:tc>
          <w:tcPr>
            <w:tcW w:type="dxa" w:w="1843"/>
            <w:vAlign w:val="center"/>
            <w:tcMar>
              <w:top w:w="85" w:type="dxa"/>
              <w:start w:w="90" w:type="dxa"/>
              <w:bottom w:w="85" w:type="dxa"/>
              <w:end w:w="90" w:type="dxa"/>
            </w:tcMar>
            <w:shd w:fill="F0F5F7"/>
          </w:tcPr>
          <w:p>
            <w:pPr>
              <w:spacing w:after="0" w:line="257" w:lineRule="auto"/>
            </w:pPr>
            <w:r>
              <w:rPr>
                <w:sz w:val="16"/>
              </w:rPr>
              <w:t>Machine learning</w:t>
            </w:r>
          </w:p>
        </w:tc>
        <w:tc>
          <w:tcPr>
            <w:tcW w:type="dxa" w:w="3487"/>
            <w:vAlign w:val="center"/>
            <w:tcMar>
              <w:top w:w="85" w:type="dxa"/>
              <w:start w:w="90" w:type="dxa"/>
              <w:bottom w:w="85" w:type="dxa"/>
              <w:end w:w="90" w:type="dxa"/>
            </w:tcMar>
            <w:shd w:fill="F0F5F7"/>
          </w:tcPr>
          <w:p>
            <w:pPr>
              <w:spacing w:after="0" w:line="257" w:lineRule="auto"/>
            </w:pPr>
            <w:r>
              <w:rPr>
                <w:sz w:val="16"/>
              </w:rPr>
              <w:t>Anomaly detection or advanced analytics if enabled</w:t>
            </w:r>
          </w:p>
        </w:tc>
        <w:tc>
          <w:tcPr>
            <w:tcW w:type="dxa" w:w="4082"/>
            <w:vAlign w:val="center"/>
            <w:tcMar>
              <w:top w:w="85" w:type="dxa"/>
              <w:start w:w="90" w:type="dxa"/>
              <w:bottom w:w="85" w:type="dxa"/>
              <w:end w:w="90" w:type="dxa"/>
            </w:tcMar>
            <w:shd w:fill="F0F5F7"/>
          </w:tcPr>
          <w:p>
            <w:pPr>
              <w:spacing w:after="0" w:line="257" w:lineRule="auto"/>
            </w:pPr>
            <w:r>
              <w:rPr>
                <w:sz w:val="16"/>
              </w:rPr>
              <w:t>Job states, capacity and licensing</w:t>
            </w:r>
          </w:p>
        </w:tc>
      </w:tr>
      <w:tr>
        <w:tc>
          <w:tcPr>
            <w:tcW w:type="dxa" w:w="1843"/>
            <w:vAlign w:val="center"/>
            <w:tcMar>
              <w:top w:w="85" w:type="dxa"/>
              <w:start w:w="90" w:type="dxa"/>
              <w:bottom w:w="85" w:type="dxa"/>
              <w:end w:w="90" w:type="dxa"/>
            </w:tcMar>
          </w:tcPr>
          <w:p>
            <w:pPr>
              <w:spacing w:after="0" w:line="257" w:lineRule="auto"/>
            </w:pPr>
            <w:r>
              <w:rPr>
                <w:sz w:val="16"/>
              </w:rPr>
              <w:t>Elastic Agent / Beats</w:t>
            </w:r>
          </w:p>
        </w:tc>
        <w:tc>
          <w:tcPr>
            <w:tcW w:type="dxa" w:w="3487"/>
            <w:vAlign w:val="center"/>
            <w:tcMar>
              <w:top w:w="85" w:type="dxa"/>
              <w:start w:w="90" w:type="dxa"/>
              <w:bottom w:w="85" w:type="dxa"/>
              <w:end w:w="90" w:type="dxa"/>
            </w:tcMar>
          </w:tcPr>
          <w:p>
            <w:pPr>
              <w:spacing w:after="0" w:line="257" w:lineRule="auto"/>
            </w:pPr>
            <w:r>
              <w:rPr>
                <w:sz w:val="16"/>
              </w:rPr>
              <w:t>Collect host telemetry</w:t>
            </w:r>
          </w:p>
        </w:tc>
        <w:tc>
          <w:tcPr>
            <w:tcW w:type="dxa" w:w="4082"/>
            <w:vAlign w:val="center"/>
            <w:tcMar>
              <w:top w:w="85" w:type="dxa"/>
              <w:start w:w="90" w:type="dxa"/>
              <w:bottom w:w="85" w:type="dxa"/>
              <w:end w:w="90" w:type="dxa"/>
            </w:tcMar>
          </w:tcPr>
          <w:p>
            <w:pPr>
              <w:spacing w:after="0" w:line="257" w:lineRule="auto"/>
            </w:pPr>
            <w:r>
              <w:rPr>
                <w:sz w:val="16"/>
              </w:rPr>
              <w:t>ScottishPower/source owners manage installation and configuration</w:t>
            </w:r>
          </w:p>
        </w:tc>
      </w:tr>
      <w:tr>
        <w:tc>
          <w:tcPr>
            <w:tcW w:type="dxa" w:w="1843"/>
            <w:vAlign w:val="center"/>
            <w:tcMar>
              <w:top w:w="85" w:type="dxa"/>
              <w:start w:w="90" w:type="dxa"/>
              <w:bottom w:w="85" w:type="dxa"/>
              <w:end w:w="90" w:type="dxa"/>
            </w:tcMar>
            <w:shd w:fill="F0F5F7"/>
          </w:tcPr>
          <w:p>
            <w:pPr>
              <w:spacing w:after="0" w:line="257" w:lineRule="auto"/>
            </w:pPr>
            <w:r>
              <w:rPr>
                <w:sz w:val="16"/>
              </w:rPr>
              <w:t>Logstash</w:t>
            </w:r>
          </w:p>
        </w:tc>
        <w:tc>
          <w:tcPr>
            <w:tcW w:type="dxa" w:w="3487"/>
            <w:vAlign w:val="center"/>
            <w:tcMar>
              <w:top w:w="85" w:type="dxa"/>
              <w:start w:w="90" w:type="dxa"/>
              <w:bottom w:w="85" w:type="dxa"/>
              <w:end w:w="90" w:type="dxa"/>
            </w:tcMar>
            <w:shd w:fill="F0F5F7"/>
          </w:tcPr>
          <w:p>
            <w:pPr>
              <w:spacing w:after="0" w:line="257" w:lineRule="auto"/>
            </w:pPr>
            <w:r>
              <w:rPr>
                <w:sz w:val="16"/>
              </w:rPr>
              <w:t>Optional customer-operated ETL processing</w:t>
            </w:r>
          </w:p>
        </w:tc>
        <w:tc>
          <w:tcPr>
            <w:tcW w:type="dxa" w:w="4082"/>
            <w:vAlign w:val="center"/>
            <w:tcMar>
              <w:top w:w="85" w:type="dxa"/>
              <w:start w:w="90" w:type="dxa"/>
              <w:bottom w:w="85" w:type="dxa"/>
              <w:end w:w="90" w:type="dxa"/>
            </w:tcMar>
            <w:shd w:fill="F0F5F7"/>
          </w:tcPr>
          <w:p>
            <w:pPr>
              <w:spacing w:after="0" w:line="257" w:lineRule="auto"/>
            </w:pPr>
            <w:r>
              <w:rPr>
                <w:sz w:val="16"/>
              </w:rPr>
              <w:t>Hosting team monitors processes, pipelines, queue and outputs</w:t>
            </w:r>
          </w:p>
        </w:tc>
      </w:tr>
      <w:tr>
        <w:tc>
          <w:tcPr>
            <w:tcW w:type="dxa" w:w="1843"/>
            <w:vAlign w:val="center"/>
            <w:tcMar>
              <w:top w:w="85" w:type="dxa"/>
              <w:start w:w="90" w:type="dxa"/>
              <w:bottom w:w="85" w:type="dxa"/>
              <w:end w:w="90" w:type="dxa"/>
            </w:tcMar>
          </w:tcPr>
          <w:p>
            <w:pPr>
              <w:spacing w:after="0" w:line="257" w:lineRule="auto"/>
            </w:pPr>
            <w:r>
              <w:rPr>
                <w:sz w:val="16"/>
              </w:rPr>
              <w:t>APM agents and Synthetics</w:t>
            </w:r>
          </w:p>
        </w:tc>
        <w:tc>
          <w:tcPr>
            <w:tcW w:type="dxa" w:w="3487"/>
            <w:vAlign w:val="center"/>
            <w:tcMar>
              <w:top w:w="85" w:type="dxa"/>
              <w:start w:w="90" w:type="dxa"/>
              <w:bottom w:w="85" w:type="dxa"/>
              <w:end w:w="90" w:type="dxa"/>
            </w:tcMar>
          </w:tcPr>
          <w:p>
            <w:pPr>
              <w:spacing w:after="0" w:line="257" w:lineRule="auto"/>
            </w:pPr>
            <w:r>
              <w:rPr>
                <w:sz w:val="16"/>
              </w:rPr>
              <w:t>Application tracing and automated availability checks</w:t>
            </w:r>
          </w:p>
        </w:tc>
        <w:tc>
          <w:tcPr>
            <w:tcW w:type="dxa" w:w="4082"/>
            <w:vAlign w:val="center"/>
            <w:tcMar>
              <w:top w:w="85" w:type="dxa"/>
              <w:start w:w="90" w:type="dxa"/>
              <w:bottom w:w="85" w:type="dxa"/>
              <w:end w:w="90" w:type="dxa"/>
            </w:tcMar>
          </w:tcPr>
          <w:p>
            <w:pPr>
              <w:spacing w:after="0" w:line="257" w:lineRule="auto"/>
            </w:pPr>
            <w:r>
              <w:rPr>
                <w:sz w:val="16"/>
              </w:rPr>
              <w:t>Application owners and observability teams</w:t>
            </w:r>
          </w:p>
        </w:tc>
      </w:tr>
    </w:tbl>
    <w:p>
      <w:pPr>
        <w:spacing w:after="0"/>
      </w:pPr>
    </w:p>
    <w:p>
      <w:pPr>
        <w:pStyle w:val="Heading2"/>
        <w:widowControl w:val="1"/>
      </w:pPr>
      <w:r>
        <w:t>3.3 Validated service register (complete before approval)</w:t>
      </w:r>
    </w:p>
    <w:tbl>
      <w:tblPr>
        <w:tblStyle w:val="TableGrid"/>
        <w:tblW w:type="auto" w:w="0"/>
        <w:jc w:val="center"/>
        <w:tblLayout w:type="fixed"/>
        <w:tblLook w:firstColumn="1" w:firstRow="1" w:lastColumn="0" w:lastRow="0" w:noHBand="0" w:noVBand="1" w:val="04A0"/>
      </w:tblPr>
      <w:tblGrid>
        <w:gridCol w:w="2388"/>
        <w:gridCol w:w="2388"/>
        <w:gridCol w:w="2388"/>
        <w:gridCol w:w="2388"/>
      </w:tblGrid>
      <w:tr>
        <w:trPr>
          <w:tblHeader w:val="true"/>
        </w:trPr>
        <w:tc>
          <w:tcPr>
            <w:tcW w:type="dxa" w:w="1417"/>
            <w:shd w:fill="15456B"/>
            <w:tcMar>
              <w:top w:w="85" w:type="dxa"/>
              <w:start w:w="90" w:type="dxa"/>
              <w:bottom w:w="85" w:type="dxa"/>
              <w:end w:w="90" w:type="dxa"/>
            </w:tcMar>
          </w:tcPr>
          <w:p>
            <w:pPr>
              <w:spacing w:after="0"/>
            </w:pPr>
            <w:r>
              <w:rPr>
                <w:b/>
                <w:color w:val="FFFFFF"/>
                <w:sz w:val="16"/>
              </w:rPr>
              <w:t>Environment</w:t>
            </w:r>
          </w:p>
        </w:tc>
        <w:tc>
          <w:tcPr>
            <w:tcW w:type="dxa" w:w="2551"/>
            <w:shd w:fill="15456B"/>
            <w:tcMar>
              <w:top w:w="85" w:type="dxa"/>
              <w:start w:w="90" w:type="dxa"/>
              <w:bottom w:w="85" w:type="dxa"/>
              <w:end w:w="90" w:type="dxa"/>
            </w:tcMar>
          </w:tcPr>
          <w:p>
            <w:pPr>
              <w:spacing w:after="0"/>
            </w:pPr>
            <w:r>
              <w:rPr>
                <w:b/>
                <w:color w:val="FFFFFF"/>
                <w:sz w:val="16"/>
              </w:rPr>
              <w:t>Cloud deployment ID / console link</w:t>
            </w:r>
          </w:p>
        </w:tc>
        <w:tc>
          <w:tcPr>
            <w:tcW w:type="dxa" w:w="3912"/>
            <w:shd w:fill="15456B"/>
            <w:tcMar>
              <w:top w:w="85" w:type="dxa"/>
              <w:start w:w="90" w:type="dxa"/>
              <w:bottom w:w="85" w:type="dxa"/>
              <w:end w:w="90" w:type="dxa"/>
            </w:tcMar>
          </w:tcPr>
          <w:p>
            <w:pPr>
              <w:spacing w:after="0"/>
            </w:pPr>
            <w:r>
              <w:rPr>
                <w:b/>
                <w:color w:val="FFFFFF"/>
                <w:sz w:val="16"/>
              </w:rPr>
              <w:t>Kibana / Elasticsearch / Fleet / APM</w:t>
            </w:r>
          </w:p>
        </w:tc>
        <w:tc>
          <w:tcPr>
            <w:tcW w:type="dxa" w:w="1531"/>
            <w:shd w:fill="15456B"/>
            <w:tcMar>
              <w:top w:w="85" w:type="dxa"/>
              <w:start w:w="90" w:type="dxa"/>
              <w:bottom w:w="85" w:type="dxa"/>
              <w:end w:w="90" w:type="dxa"/>
            </w:tcMar>
          </w:tcPr>
          <w:p>
            <w:pPr>
              <w:spacing w:after="0"/>
            </w:pPr>
            <w:r>
              <w:rPr>
                <w:b/>
                <w:color w:val="FFFFFF"/>
                <w:sz w:val="16"/>
              </w:rPr>
              <w:t>Owner and criticality</w:t>
            </w:r>
          </w:p>
        </w:tc>
      </w:tr>
      <w:tr>
        <w:tc>
          <w:tcPr>
            <w:tcW w:type="dxa" w:w="1417"/>
            <w:vAlign w:val="center"/>
            <w:tcMar>
              <w:top w:w="85" w:type="dxa"/>
              <w:start w:w="90" w:type="dxa"/>
              <w:bottom w:w="85" w:type="dxa"/>
              <w:end w:w="90" w:type="dxa"/>
            </w:tcMar>
          </w:tcPr>
          <w:p>
            <w:pPr>
              <w:spacing w:after="0" w:line="257" w:lineRule="auto"/>
            </w:pPr>
            <w:r>
              <w:rPr>
                <w:sz w:val="16"/>
              </w:rPr>
              <w:t>Production</w:t>
            </w:r>
          </w:p>
        </w:tc>
        <w:tc>
          <w:tcPr>
            <w:tcW w:type="dxa" w:w="2551"/>
            <w:vAlign w:val="center"/>
            <w:tcMar>
              <w:top w:w="85" w:type="dxa"/>
              <w:start w:w="90" w:type="dxa"/>
              <w:bottom w:w="85" w:type="dxa"/>
              <w:end w:w="90" w:type="dxa"/>
            </w:tcMar>
          </w:tcPr>
          <w:p>
            <w:pPr>
              <w:spacing w:after="0" w:line="257" w:lineRule="auto"/>
            </w:pPr>
            <w:r>
              <w:rPr>
                <w:sz w:val="16"/>
              </w:rPr>
              <w:t>[CONFIRM]</w:t>
            </w:r>
          </w:p>
        </w:tc>
        <w:tc>
          <w:tcPr>
            <w:tcW w:type="dxa" w:w="3912"/>
            <w:vAlign w:val="center"/>
            <w:tcMar>
              <w:top w:w="85" w:type="dxa"/>
              <w:start w:w="90" w:type="dxa"/>
              <w:bottom w:w="85" w:type="dxa"/>
              <w:end w:w="90" w:type="dxa"/>
            </w:tcMar>
          </w:tcPr>
          <w:p>
            <w:pPr>
              <w:spacing w:after="0" w:line="257" w:lineRule="auto"/>
            </w:pPr>
            <w:r>
              <w:rPr>
                <w:sz w:val="16"/>
              </w:rPr>
              <w:t>[CONFIRM 4 service URLs from live deployment]</w:t>
            </w:r>
          </w:p>
        </w:tc>
        <w:tc>
          <w:tcPr>
            <w:tcW w:type="dxa" w:w="1531"/>
            <w:vAlign w:val="center"/>
            <w:tcMar>
              <w:top w:w="85" w:type="dxa"/>
              <w:start w:w="90" w:type="dxa"/>
              <w:bottom w:w="85" w:type="dxa"/>
              <w:end w:w="90" w:type="dxa"/>
            </w:tcMar>
          </w:tcPr>
          <w:p>
            <w:pPr>
              <w:spacing w:after="0" w:line="257" w:lineRule="auto"/>
            </w:pPr>
            <w:r>
              <w:rPr>
                <w:sz w:val="16"/>
              </w:rPr>
              <w:t>[CONFIRM]</w:t>
            </w:r>
          </w:p>
        </w:tc>
      </w:tr>
      <w:tr>
        <w:tc>
          <w:tcPr>
            <w:tcW w:type="dxa" w:w="1417"/>
            <w:vAlign w:val="center"/>
            <w:tcMar>
              <w:top w:w="85" w:type="dxa"/>
              <w:start w:w="90" w:type="dxa"/>
              <w:bottom w:w="85" w:type="dxa"/>
              <w:end w:w="90" w:type="dxa"/>
            </w:tcMar>
            <w:shd w:fill="F0F5F7"/>
          </w:tcPr>
          <w:p>
            <w:pPr>
              <w:spacing w:after="0" w:line="257" w:lineRule="auto"/>
            </w:pPr>
            <w:r>
              <w:rPr>
                <w:sz w:val="16"/>
              </w:rPr>
              <w:t>Non-production</w:t>
            </w:r>
          </w:p>
        </w:tc>
        <w:tc>
          <w:tcPr>
            <w:tcW w:type="dxa" w:w="2551"/>
            <w:vAlign w:val="center"/>
            <w:tcMar>
              <w:top w:w="85" w:type="dxa"/>
              <w:start w:w="90" w:type="dxa"/>
              <w:bottom w:w="85" w:type="dxa"/>
              <w:end w:w="90" w:type="dxa"/>
            </w:tcMar>
            <w:shd w:fill="F0F5F7"/>
          </w:tcPr>
          <w:p>
            <w:pPr>
              <w:spacing w:after="0" w:line="257" w:lineRule="auto"/>
            </w:pPr>
            <w:r>
              <w:rPr>
                <w:sz w:val="16"/>
              </w:rPr>
              <w:t>[CONFIRM]</w:t>
            </w:r>
          </w:p>
        </w:tc>
        <w:tc>
          <w:tcPr>
            <w:tcW w:type="dxa" w:w="3912"/>
            <w:vAlign w:val="center"/>
            <w:tcMar>
              <w:top w:w="85" w:type="dxa"/>
              <w:start w:w="90" w:type="dxa"/>
              <w:bottom w:w="85" w:type="dxa"/>
              <w:end w:w="90" w:type="dxa"/>
            </w:tcMar>
            <w:shd w:fill="F0F5F7"/>
          </w:tcPr>
          <w:p>
            <w:pPr>
              <w:spacing w:after="0" w:line="257" w:lineRule="auto"/>
            </w:pPr>
            <w:r>
              <w:rPr>
                <w:sz w:val="16"/>
              </w:rPr>
              <w:t>[CONFIRM]</w:t>
            </w:r>
          </w:p>
        </w:tc>
        <w:tc>
          <w:tcPr>
            <w:tcW w:type="dxa" w:w="1531"/>
            <w:vAlign w:val="center"/>
            <w:tcMar>
              <w:top w:w="85" w:type="dxa"/>
              <w:start w:w="90" w:type="dxa"/>
              <w:bottom w:w="85" w:type="dxa"/>
              <w:end w:w="90" w:type="dxa"/>
            </w:tcMar>
            <w:shd w:fill="F0F5F7"/>
          </w:tcPr>
          <w:p>
            <w:pPr>
              <w:spacing w:after="0" w:line="257" w:lineRule="auto"/>
            </w:pPr>
            <w:r>
              <w:rPr>
                <w:sz w:val="16"/>
              </w:rPr>
              <w:t>[CONFIRM]</w:t>
            </w:r>
          </w:p>
        </w:tc>
      </w:tr>
      <w:tr>
        <w:tc>
          <w:tcPr>
            <w:tcW w:type="dxa" w:w="1417"/>
            <w:vAlign w:val="center"/>
            <w:tcMar>
              <w:top w:w="85" w:type="dxa"/>
              <w:start w:w="90" w:type="dxa"/>
              <w:bottom w:w="85" w:type="dxa"/>
              <w:end w:w="90" w:type="dxa"/>
            </w:tcMar>
          </w:tcPr>
          <w:p>
            <w:pPr>
              <w:spacing w:after="0" w:line="257" w:lineRule="auto"/>
            </w:pPr>
            <w:r>
              <w:rPr>
                <w:sz w:val="16"/>
              </w:rPr>
              <w:t>Monitoring deployment</w:t>
            </w:r>
          </w:p>
        </w:tc>
        <w:tc>
          <w:tcPr>
            <w:tcW w:type="dxa" w:w="2551"/>
            <w:vAlign w:val="center"/>
            <w:tcMar>
              <w:top w:w="85" w:type="dxa"/>
              <w:start w:w="90" w:type="dxa"/>
              <w:bottom w:w="85" w:type="dxa"/>
              <w:end w:w="90" w:type="dxa"/>
            </w:tcMar>
          </w:tcPr>
          <w:p>
            <w:pPr>
              <w:spacing w:after="0" w:line="257" w:lineRule="auto"/>
            </w:pPr>
            <w:r>
              <w:rPr>
                <w:sz w:val="16"/>
              </w:rPr>
              <w:t>[CONFIRM if separate]</w:t>
            </w:r>
          </w:p>
        </w:tc>
        <w:tc>
          <w:tcPr>
            <w:tcW w:type="dxa" w:w="3912"/>
            <w:vAlign w:val="center"/>
            <w:tcMar>
              <w:top w:w="85" w:type="dxa"/>
              <w:start w:w="90" w:type="dxa"/>
              <w:bottom w:w="85" w:type="dxa"/>
              <w:end w:w="90" w:type="dxa"/>
            </w:tcMar>
          </w:tcPr>
          <w:p>
            <w:pPr>
              <w:spacing w:after="0" w:line="257" w:lineRule="auto"/>
            </w:pPr>
            <w:r>
              <w:rPr>
                <w:sz w:val="16"/>
              </w:rPr>
              <w:t>[CONFIRM if used]</w:t>
            </w:r>
          </w:p>
        </w:tc>
        <w:tc>
          <w:tcPr>
            <w:tcW w:type="dxa" w:w="1531"/>
            <w:vAlign w:val="center"/>
            <w:tcMar>
              <w:top w:w="85" w:type="dxa"/>
              <w:start w:w="90" w:type="dxa"/>
              <w:bottom w:w="85" w:type="dxa"/>
              <w:end w:w="90" w:type="dxa"/>
            </w:tcMar>
          </w:tcPr>
          <w:p>
            <w:pPr>
              <w:spacing w:after="0" w:line="257" w:lineRule="auto"/>
            </w:pPr>
            <w:r>
              <w:rPr>
                <w:sz w:val="16"/>
              </w:rPr>
              <w:t>[CONFIRM]</w:t>
            </w:r>
          </w:p>
        </w:tc>
      </w:tr>
    </w:tbl>
    <w:p>
      <w:pPr>
        <w:spacing w:after="0"/>
      </w:pPr>
    </w:p>
    <w:p>
      <w:pPr>
        <w:widowControl w:val="1"/>
      </w:pPr>
      <w:r>
        <w:t>The screenshots also reference Elastic Cloud Console, Elastic Support, documentation and community forums. Internal service URLs have intentionally not been transcribed from the photographed document; copy and validate them from the live deployment and approved CMDB rather than relying on a screenshot.</w:t>
      </w:r>
    </w:p>
    <w:p>
      <w:pPr>
        <w:pStyle w:val="Heading2"/>
        <w:widowControl w:val="1"/>
      </w:pPr>
      <w:r>
        <w:t>3.4 Operational inventory fields</w:t>
      </w:r>
    </w:p>
    <w:p>
      <w:pPr>
        <w:widowControl w:val="1"/>
      </w:pPr>
      <w:r>
        <w:t>For every host, agent, application and integration, record: application/service name; hostname or asset ID; environment; business unit; service owner; support group; data type; source technology; collection method; Fleet policy or Beats config; dataset/data stream; expected frequency; monitoring criticality; retention policy; PII classification; last-seen time; onboarding date; decommission status; and CMDB/change reference.</w:t>
      </w:r>
    </w:p>
    <w:p>
      <w:pPr>
        <w:pStyle w:val="Heading1"/>
        <w:widowControl w:val="1"/>
      </w:pPr>
      <w:r>
        <w:t>4. Operating model, security boundaries and escalation</w:t>
      </w:r>
    </w:p>
    <w:p>
      <w:pPr>
        <w:pStyle w:val="Heading2"/>
        <w:widowControl w:val="1"/>
      </w:pPr>
      <w:r>
        <w:t>4.1 Responsibility matrix (proposed; agree locally)</w:t>
      </w:r>
    </w:p>
    <w:tbl>
      <w:tblPr>
        <w:tblStyle w:val="TableGrid"/>
        <w:tblW w:type="auto" w:w="0"/>
        <w:jc w:val="center"/>
        <w:tblLayout w:type="fixed"/>
        <w:tblLook w:firstColumn="1" w:firstRow="1" w:lastColumn="0" w:lastRow="0" w:noHBand="0" w:noVBand="1" w:val="04A0"/>
      </w:tblPr>
      <w:tblGrid>
        <w:gridCol w:w="2388"/>
        <w:gridCol w:w="2388"/>
        <w:gridCol w:w="2388"/>
        <w:gridCol w:w="2388"/>
      </w:tblGrid>
      <w:tr>
        <w:trPr>
          <w:tblHeader w:val="true"/>
        </w:trPr>
        <w:tc>
          <w:tcPr>
            <w:tcW w:type="dxa" w:w="2353"/>
            <w:shd w:fill="15456B"/>
            <w:tcMar>
              <w:top w:w="85" w:type="dxa"/>
              <w:start w:w="90" w:type="dxa"/>
              <w:bottom w:w="85" w:type="dxa"/>
              <w:end w:w="90" w:type="dxa"/>
            </w:tcMar>
          </w:tcPr>
          <w:p>
            <w:pPr>
              <w:spacing w:after="0"/>
            </w:pPr>
            <w:r>
              <w:rPr>
                <w:b/>
                <w:color w:val="FFFFFF"/>
                <w:sz w:val="16"/>
              </w:rPr>
              <w:t>Activity</w:t>
            </w:r>
          </w:p>
        </w:tc>
        <w:tc>
          <w:tcPr>
            <w:tcW w:type="dxa" w:w="2551"/>
            <w:shd w:fill="15456B"/>
            <w:tcMar>
              <w:top w:w="85" w:type="dxa"/>
              <w:start w:w="90" w:type="dxa"/>
              <w:bottom w:w="85" w:type="dxa"/>
              <w:end w:w="90" w:type="dxa"/>
            </w:tcMar>
          </w:tcPr>
          <w:p>
            <w:pPr>
              <w:spacing w:after="0"/>
            </w:pPr>
            <w:r>
              <w:rPr>
                <w:b/>
                <w:color w:val="FFFFFF"/>
                <w:sz w:val="16"/>
              </w:rPr>
              <w:t>ScottishPower service/operations</w:t>
            </w:r>
          </w:p>
        </w:tc>
        <w:tc>
          <w:tcPr>
            <w:tcW w:type="dxa" w:w="2126"/>
            <w:shd w:fill="15456B"/>
            <w:tcMar>
              <w:top w:w="85" w:type="dxa"/>
              <w:start w:w="90" w:type="dxa"/>
              <w:bottom w:w="85" w:type="dxa"/>
              <w:end w:w="90" w:type="dxa"/>
            </w:tcMar>
          </w:tcPr>
          <w:p>
            <w:pPr>
              <w:spacing w:after="0"/>
            </w:pPr>
            <w:r>
              <w:rPr>
                <w:b/>
                <w:color w:val="FFFFFF"/>
                <w:sz w:val="16"/>
              </w:rPr>
              <w:t>Elastic support</w:t>
            </w:r>
          </w:p>
        </w:tc>
        <w:tc>
          <w:tcPr>
            <w:tcW w:type="dxa" w:w="2381"/>
            <w:shd w:fill="15456B"/>
            <w:tcMar>
              <w:top w:w="85" w:type="dxa"/>
              <w:start w:w="90" w:type="dxa"/>
              <w:bottom w:w="85" w:type="dxa"/>
              <w:end w:w="90" w:type="dxa"/>
            </w:tcMar>
          </w:tcPr>
          <w:p>
            <w:pPr>
              <w:spacing w:after="0"/>
            </w:pPr>
            <w:r>
              <w:rPr>
                <w:b/>
                <w:color w:val="FFFFFF"/>
                <w:sz w:val="16"/>
              </w:rPr>
              <w:t>Application or infrastructure owner</w:t>
            </w:r>
          </w:p>
        </w:tc>
      </w:tr>
      <w:tr>
        <w:tc>
          <w:tcPr>
            <w:tcW w:type="dxa" w:w="2353"/>
            <w:vAlign w:val="center"/>
            <w:tcMar>
              <w:top w:w="85" w:type="dxa"/>
              <w:start w:w="90" w:type="dxa"/>
              <w:bottom w:w="85" w:type="dxa"/>
              <w:end w:w="90" w:type="dxa"/>
            </w:tcMar>
          </w:tcPr>
          <w:p>
            <w:pPr>
              <w:spacing w:after="0" w:line="257" w:lineRule="auto"/>
            </w:pPr>
            <w:r>
              <w:rPr>
                <w:sz w:val="16"/>
              </w:rPr>
              <w:t>Check dashboards and raise incidents</w:t>
            </w:r>
          </w:p>
        </w:tc>
        <w:tc>
          <w:tcPr>
            <w:tcW w:type="dxa" w:w="2551"/>
            <w:vAlign w:val="center"/>
            <w:tcMar>
              <w:top w:w="85" w:type="dxa"/>
              <w:start w:w="90" w:type="dxa"/>
              <w:bottom w:w="85" w:type="dxa"/>
              <w:end w:w="90" w:type="dxa"/>
            </w:tcMar>
          </w:tcPr>
          <w:p>
            <w:pPr>
              <w:spacing w:after="0" w:line="257" w:lineRule="auto"/>
            </w:pPr>
            <w:r>
              <w:rPr>
                <w:sz w:val="16"/>
              </w:rPr>
              <w:t>Accountable and performs</w:t>
            </w:r>
          </w:p>
        </w:tc>
        <w:tc>
          <w:tcPr>
            <w:tcW w:type="dxa" w:w="2126"/>
            <w:vAlign w:val="center"/>
            <w:tcMar>
              <w:top w:w="85" w:type="dxa"/>
              <w:start w:w="90" w:type="dxa"/>
              <w:bottom w:w="85" w:type="dxa"/>
              <w:end w:w="90" w:type="dxa"/>
            </w:tcMar>
          </w:tcPr>
          <w:p>
            <w:pPr>
              <w:spacing w:after="0" w:line="257" w:lineRule="auto"/>
            </w:pPr>
            <w:r>
              <w:rPr>
                <w:sz w:val="16"/>
              </w:rPr>
              <w:t>Consult if hosted-side fault</w:t>
            </w:r>
          </w:p>
        </w:tc>
        <w:tc>
          <w:tcPr>
            <w:tcW w:type="dxa" w:w="2381"/>
            <w:vAlign w:val="center"/>
            <w:tcMar>
              <w:top w:w="85" w:type="dxa"/>
              <w:start w:w="90" w:type="dxa"/>
              <w:bottom w:w="85" w:type="dxa"/>
              <w:end w:w="90" w:type="dxa"/>
            </w:tcMar>
          </w:tcPr>
          <w:p>
            <w:pPr>
              <w:spacing w:after="0" w:line="257" w:lineRule="auto"/>
            </w:pPr>
            <w:r>
              <w:rPr>
                <w:sz w:val="16"/>
              </w:rPr>
              <w:t>Informed / consulted</w:t>
            </w:r>
          </w:p>
        </w:tc>
      </w:tr>
      <w:tr>
        <w:tc>
          <w:tcPr>
            <w:tcW w:type="dxa" w:w="2353"/>
            <w:vAlign w:val="center"/>
            <w:tcMar>
              <w:top w:w="85" w:type="dxa"/>
              <w:start w:w="90" w:type="dxa"/>
              <w:bottom w:w="85" w:type="dxa"/>
              <w:end w:w="90" w:type="dxa"/>
            </w:tcMar>
            <w:shd w:fill="F0F5F7"/>
          </w:tcPr>
          <w:p>
            <w:pPr>
              <w:spacing w:after="0" w:line="257" w:lineRule="auto"/>
            </w:pPr>
            <w:r>
              <w:rPr>
                <w:sz w:val="16"/>
              </w:rPr>
              <w:t>Scale/upgrade hosted deployment</w:t>
            </w:r>
          </w:p>
        </w:tc>
        <w:tc>
          <w:tcPr>
            <w:tcW w:type="dxa" w:w="2551"/>
            <w:vAlign w:val="center"/>
            <w:tcMar>
              <w:top w:w="85" w:type="dxa"/>
              <w:start w:w="90" w:type="dxa"/>
              <w:bottom w:w="85" w:type="dxa"/>
              <w:end w:w="90" w:type="dxa"/>
            </w:tcMar>
            <w:shd w:fill="F0F5F7"/>
          </w:tcPr>
          <w:p>
            <w:pPr>
              <w:spacing w:after="0" w:line="257" w:lineRule="auto"/>
            </w:pPr>
            <w:r>
              <w:rPr>
                <w:sz w:val="16"/>
              </w:rPr>
              <w:t>Request, authorise and validate</w:t>
            </w:r>
          </w:p>
        </w:tc>
        <w:tc>
          <w:tcPr>
            <w:tcW w:type="dxa" w:w="2126"/>
            <w:vAlign w:val="center"/>
            <w:tcMar>
              <w:top w:w="85" w:type="dxa"/>
              <w:start w:w="90" w:type="dxa"/>
              <w:bottom w:w="85" w:type="dxa"/>
              <w:end w:w="90" w:type="dxa"/>
            </w:tcMar>
            <w:shd w:fill="F0F5F7"/>
          </w:tcPr>
          <w:p>
            <w:pPr>
              <w:spacing w:after="0" w:line="257" w:lineRule="auto"/>
            </w:pPr>
            <w:r>
              <w:rPr>
                <w:sz w:val="16"/>
              </w:rPr>
              <w:t>Runs/assists managed operations</w:t>
            </w:r>
          </w:p>
        </w:tc>
        <w:tc>
          <w:tcPr>
            <w:tcW w:type="dxa" w:w="2381"/>
            <w:vAlign w:val="center"/>
            <w:tcMar>
              <w:top w:w="85" w:type="dxa"/>
              <w:start w:w="90" w:type="dxa"/>
              <w:bottom w:w="85" w:type="dxa"/>
              <w:end w:w="90" w:type="dxa"/>
            </w:tcMar>
            <w:shd w:fill="F0F5F7"/>
          </w:tcPr>
          <w:p>
            <w:pPr>
              <w:spacing w:after="0" w:line="257" w:lineRule="auto"/>
            </w:pPr>
            <w:r>
              <w:rPr>
                <w:sz w:val="16"/>
              </w:rPr>
              <w:t>Validate downstream compatibility</w:t>
            </w:r>
          </w:p>
        </w:tc>
      </w:tr>
      <w:tr>
        <w:tc>
          <w:tcPr>
            <w:tcW w:type="dxa" w:w="2353"/>
            <w:vAlign w:val="center"/>
            <w:tcMar>
              <w:top w:w="85" w:type="dxa"/>
              <w:start w:w="90" w:type="dxa"/>
              <w:bottom w:w="85" w:type="dxa"/>
              <w:end w:w="90" w:type="dxa"/>
            </w:tcMar>
          </w:tcPr>
          <w:p>
            <w:pPr>
              <w:spacing w:after="0" w:line="257" w:lineRule="auto"/>
            </w:pPr>
            <w:r>
              <w:rPr>
                <w:sz w:val="16"/>
              </w:rPr>
              <w:t>Agent, Beats and Logstash maintenance</w:t>
            </w:r>
          </w:p>
        </w:tc>
        <w:tc>
          <w:tcPr>
            <w:tcW w:type="dxa" w:w="2551"/>
            <w:vAlign w:val="center"/>
            <w:tcMar>
              <w:top w:w="85" w:type="dxa"/>
              <w:start w:w="90" w:type="dxa"/>
              <w:bottom w:w="85" w:type="dxa"/>
              <w:end w:w="90" w:type="dxa"/>
            </w:tcMar>
          </w:tcPr>
          <w:p>
            <w:pPr>
              <w:spacing w:after="0" w:line="257" w:lineRule="auto"/>
            </w:pPr>
            <w:r>
              <w:rPr>
                <w:sz w:val="16"/>
              </w:rPr>
              <w:t>Coordinate and verify</w:t>
            </w:r>
          </w:p>
        </w:tc>
        <w:tc>
          <w:tcPr>
            <w:tcW w:type="dxa" w:w="2126"/>
            <w:vAlign w:val="center"/>
            <w:tcMar>
              <w:top w:w="85" w:type="dxa"/>
              <w:start w:w="90" w:type="dxa"/>
              <w:bottom w:w="85" w:type="dxa"/>
              <w:end w:w="90" w:type="dxa"/>
            </w:tcMar>
          </w:tcPr>
          <w:p>
            <w:pPr>
              <w:spacing w:after="0" w:line="257" w:lineRule="auto"/>
            </w:pPr>
            <w:r>
              <w:rPr>
                <w:sz w:val="16"/>
              </w:rPr>
              <w:t>Consult for vendor defects</w:t>
            </w:r>
          </w:p>
        </w:tc>
        <w:tc>
          <w:tcPr>
            <w:tcW w:type="dxa" w:w="2381"/>
            <w:vAlign w:val="center"/>
            <w:tcMar>
              <w:top w:w="85" w:type="dxa"/>
              <w:start w:w="90" w:type="dxa"/>
              <w:bottom w:w="85" w:type="dxa"/>
              <w:end w:w="90" w:type="dxa"/>
            </w:tcMar>
          </w:tcPr>
          <w:p>
            <w:pPr>
              <w:spacing w:after="0" w:line="257" w:lineRule="auto"/>
            </w:pPr>
            <w:r>
              <w:rPr>
                <w:sz w:val="16"/>
              </w:rPr>
              <w:t>Own host changes or managed pipeline as agreed</w:t>
            </w:r>
          </w:p>
        </w:tc>
      </w:tr>
      <w:tr>
        <w:tc>
          <w:tcPr>
            <w:tcW w:type="dxa" w:w="2353"/>
            <w:vAlign w:val="center"/>
            <w:tcMar>
              <w:top w:w="85" w:type="dxa"/>
              <w:start w:w="90" w:type="dxa"/>
              <w:bottom w:w="85" w:type="dxa"/>
              <w:end w:w="90" w:type="dxa"/>
            </w:tcMar>
            <w:shd w:fill="F0F5F7"/>
          </w:tcPr>
          <w:p>
            <w:pPr>
              <w:spacing w:after="0" w:line="257" w:lineRule="auto"/>
            </w:pPr>
            <w:r>
              <w:rPr>
                <w:sz w:val="16"/>
              </w:rPr>
              <w:t>Data quality and tag standards</w:t>
            </w:r>
          </w:p>
        </w:tc>
        <w:tc>
          <w:tcPr>
            <w:tcW w:type="dxa" w:w="2551"/>
            <w:vAlign w:val="center"/>
            <w:tcMar>
              <w:top w:w="85" w:type="dxa"/>
              <w:start w:w="90" w:type="dxa"/>
              <w:bottom w:w="85" w:type="dxa"/>
              <w:end w:w="90" w:type="dxa"/>
            </w:tcMar>
            <w:shd w:fill="F0F5F7"/>
          </w:tcPr>
          <w:p>
            <w:pPr>
              <w:spacing w:after="0" w:line="257" w:lineRule="auto"/>
            </w:pPr>
            <w:r>
              <w:rPr>
                <w:sz w:val="16"/>
              </w:rPr>
              <w:t>Define and verify</w:t>
            </w:r>
          </w:p>
        </w:tc>
        <w:tc>
          <w:tcPr>
            <w:tcW w:type="dxa" w:w="2126"/>
            <w:vAlign w:val="center"/>
            <w:tcMar>
              <w:top w:w="85" w:type="dxa"/>
              <w:start w:w="90" w:type="dxa"/>
              <w:bottom w:w="85" w:type="dxa"/>
              <w:end w:w="90" w:type="dxa"/>
            </w:tcMar>
            <w:shd w:fill="F0F5F7"/>
          </w:tcPr>
          <w:p>
            <w:pPr>
              <w:spacing w:after="0" w:line="257" w:lineRule="auto"/>
            </w:pPr>
            <w:r>
              <w:rPr>
                <w:sz w:val="16"/>
              </w:rPr>
              <w:t>Consult for stack issues</w:t>
            </w:r>
          </w:p>
        </w:tc>
        <w:tc>
          <w:tcPr>
            <w:tcW w:type="dxa" w:w="2381"/>
            <w:vAlign w:val="center"/>
            <w:tcMar>
              <w:top w:w="85" w:type="dxa"/>
              <w:start w:w="90" w:type="dxa"/>
              <w:bottom w:w="85" w:type="dxa"/>
              <w:end w:w="90" w:type="dxa"/>
            </w:tcMar>
            <w:shd w:fill="F0F5F7"/>
          </w:tcPr>
          <w:p>
            <w:pPr>
              <w:spacing w:after="0" w:line="257" w:lineRule="auto"/>
            </w:pPr>
            <w:r>
              <w:rPr>
                <w:sz w:val="16"/>
              </w:rPr>
              <w:t>Own source data corrections</w:t>
            </w:r>
          </w:p>
        </w:tc>
      </w:tr>
      <w:tr>
        <w:tc>
          <w:tcPr>
            <w:tcW w:type="dxa" w:w="2353"/>
            <w:vAlign w:val="center"/>
            <w:tcMar>
              <w:top w:w="85" w:type="dxa"/>
              <w:start w:w="90" w:type="dxa"/>
              <w:bottom w:w="85" w:type="dxa"/>
              <w:end w:w="90" w:type="dxa"/>
            </w:tcMar>
          </w:tcPr>
          <w:p>
            <w:pPr>
              <w:spacing w:after="0" w:line="257" w:lineRule="auto"/>
            </w:pPr>
            <w:r>
              <w:rPr>
                <w:sz w:val="16"/>
              </w:rPr>
              <w:t>Access and API-key reviews</w:t>
            </w:r>
          </w:p>
        </w:tc>
        <w:tc>
          <w:tcPr>
            <w:tcW w:type="dxa" w:w="2551"/>
            <w:vAlign w:val="center"/>
            <w:tcMar>
              <w:top w:w="85" w:type="dxa"/>
              <w:start w:w="90" w:type="dxa"/>
              <w:bottom w:w="85" w:type="dxa"/>
              <w:end w:w="90" w:type="dxa"/>
            </w:tcMar>
          </w:tcPr>
          <w:p>
            <w:pPr>
              <w:spacing w:after="0" w:line="257" w:lineRule="auto"/>
            </w:pPr>
            <w:r>
              <w:rPr>
                <w:sz w:val="16"/>
              </w:rPr>
              <w:t>Own approvals and review</w:t>
            </w:r>
          </w:p>
        </w:tc>
        <w:tc>
          <w:tcPr>
            <w:tcW w:type="dxa" w:w="2126"/>
            <w:vAlign w:val="center"/>
            <w:tcMar>
              <w:top w:w="85" w:type="dxa"/>
              <w:start w:w="90" w:type="dxa"/>
              <w:bottom w:w="85" w:type="dxa"/>
              <w:end w:w="90" w:type="dxa"/>
            </w:tcMar>
          </w:tcPr>
          <w:p>
            <w:pPr>
              <w:spacing w:after="0" w:line="257" w:lineRule="auto"/>
            </w:pPr>
            <w:r>
              <w:rPr>
                <w:sz w:val="16"/>
              </w:rPr>
              <w:t>Platform support only</w:t>
            </w:r>
          </w:p>
        </w:tc>
        <w:tc>
          <w:tcPr>
            <w:tcW w:type="dxa" w:w="2381"/>
            <w:vAlign w:val="center"/>
            <w:tcMar>
              <w:top w:w="85" w:type="dxa"/>
              <w:start w:w="90" w:type="dxa"/>
              <w:bottom w:w="85" w:type="dxa"/>
              <w:end w:w="90" w:type="dxa"/>
            </w:tcMar>
          </w:tcPr>
          <w:p>
            <w:pPr>
              <w:spacing w:after="0" w:line="257" w:lineRule="auto"/>
            </w:pPr>
            <w:r>
              <w:rPr>
                <w:sz w:val="16"/>
              </w:rPr>
              <w:t>Approve service need</w:t>
            </w:r>
          </w:p>
        </w:tc>
      </w:tr>
      <w:tr>
        <w:tc>
          <w:tcPr>
            <w:tcW w:type="dxa" w:w="2353"/>
            <w:vAlign w:val="center"/>
            <w:tcMar>
              <w:top w:w="85" w:type="dxa"/>
              <w:start w:w="90" w:type="dxa"/>
              <w:bottom w:w="85" w:type="dxa"/>
              <w:end w:w="90" w:type="dxa"/>
            </w:tcMar>
            <w:shd w:fill="F0F5F7"/>
          </w:tcPr>
          <w:p>
            <w:pPr>
              <w:spacing w:after="0" w:line="257" w:lineRule="auto"/>
            </w:pPr>
            <w:r>
              <w:rPr>
                <w:sz w:val="16"/>
              </w:rPr>
              <w:t>Restore and disaster recovery</w:t>
            </w:r>
          </w:p>
        </w:tc>
        <w:tc>
          <w:tcPr>
            <w:tcW w:type="dxa" w:w="2551"/>
            <w:vAlign w:val="center"/>
            <w:tcMar>
              <w:top w:w="85" w:type="dxa"/>
              <w:start w:w="90" w:type="dxa"/>
              <w:bottom w:w="85" w:type="dxa"/>
              <w:end w:w="90" w:type="dxa"/>
            </w:tcMar>
            <w:shd w:fill="F0F5F7"/>
          </w:tcPr>
          <w:p>
            <w:pPr>
              <w:spacing w:after="0" w:line="257" w:lineRule="auto"/>
            </w:pPr>
            <w:r>
              <w:rPr>
                <w:sz w:val="16"/>
              </w:rPr>
              <w:t>Own business decision and test</w:t>
            </w:r>
          </w:p>
        </w:tc>
        <w:tc>
          <w:tcPr>
            <w:tcW w:type="dxa" w:w="2126"/>
            <w:vAlign w:val="center"/>
            <w:tcMar>
              <w:top w:w="85" w:type="dxa"/>
              <w:start w:w="90" w:type="dxa"/>
              <w:bottom w:w="85" w:type="dxa"/>
              <w:end w:w="90" w:type="dxa"/>
            </w:tcMar>
            <w:shd w:fill="F0F5F7"/>
          </w:tcPr>
          <w:p>
            <w:pPr>
              <w:spacing w:after="0" w:line="257" w:lineRule="auto"/>
            </w:pPr>
            <w:r>
              <w:rPr>
                <w:sz w:val="16"/>
              </w:rPr>
              <w:t>Assist with ECH platform restore</w:t>
            </w:r>
          </w:p>
        </w:tc>
        <w:tc>
          <w:tcPr>
            <w:tcW w:type="dxa" w:w="2381"/>
            <w:vAlign w:val="center"/>
            <w:tcMar>
              <w:top w:w="85" w:type="dxa"/>
              <w:start w:w="90" w:type="dxa"/>
              <w:bottom w:w="85" w:type="dxa"/>
              <w:end w:w="90" w:type="dxa"/>
            </w:tcMar>
            <w:shd w:fill="F0F5F7"/>
          </w:tcPr>
          <w:p>
            <w:pPr>
              <w:spacing w:after="0" w:line="257" w:lineRule="auto"/>
            </w:pPr>
            <w:r>
              <w:rPr>
                <w:sz w:val="16"/>
              </w:rPr>
              <w:t>Validate application data and functionality</w:t>
            </w:r>
          </w:p>
        </w:tc>
      </w:tr>
      <w:tr>
        <w:tc>
          <w:tcPr>
            <w:tcW w:type="dxa" w:w="2353"/>
            <w:vAlign w:val="center"/>
            <w:tcMar>
              <w:top w:w="85" w:type="dxa"/>
              <w:start w:w="90" w:type="dxa"/>
              <w:bottom w:w="85" w:type="dxa"/>
              <w:end w:w="90" w:type="dxa"/>
            </w:tcMar>
          </w:tcPr>
          <w:p>
            <w:pPr>
              <w:spacing w:after="0" w:line="257" w:lineRule="auto"/>
            </w:pPr>
            <w:r>
              <w:rPr>
                <w:sz w:val="16"/>
              </w:rPr>
              <w:t>Incident communications</w:t>
            </w:r>
          </w:p>
        </w:tc>
        <w:tc>
          <w:tcPr>
            <w:tcW w:type="dxa" w:w="2551"/>
            <w:vAlign w:val="center"/>
            <w:tcMar>
              <w:top w:w="85" w:type="dxa"/>
              <w:start w:w="90" w:type="dxa"/>
              <w:bottom w:w="85" w:type="dxa"/>
              <w:end w:w="90" w:type="dxa"/>
            </w:tcMar>
          </w:tcPr>
          <w:p>
            <w:pPr>
              <w:spacing w:after="0" w:line="257" w:lineRule="auto"/>
            </w:pPr>
            <w:r>
              <w:rPr>
                <w:sz w:val="16"/>
              </w:rPr>
              <w:t>Own internal timeline and stakeholders</w:t>
            </w:r>
          </w:p>
        </w:tc>
        <w:tc>
          <w:tcPr>
            <w:tcW w:type="dxa" w:w="2126"/>
            <w:vAlign w:val="center"/>
            <w:tcMar>
              <w:top w:w="85" w:type="dxa"/>
              <w:start w:w="90" w:type="dxa"/>
              <w:bottom w:w="85" w:type="dxa"/>
              <w:end w:w="90" w:type="dxa"/>
            </w:tcMar>
          </w:tcPr>
          <w:p>
            <w:pPr>
              <w:spacing w:after="0" w:line="257" w:lineRule="auto"/>
            </w:pPr>
            <w:r>
              <w:rPr>
                <w:sz w:val="16"/>
              </w:rPr>
              <w:t>Provide case updates</w:t>
            </w:r>
          </w:p>
        </w:tc>
        <w:tc>
          <w:tcPr>
            <w:tcW w:type="dxa" w:w="2381"/>
            <w:vAlign w:val="center"/>
            <w:tcMar>
              <w:top w:w="85" w:type="dxa"/>
              <w:start w:w="90" w:type="dxa"/>
              <w:bottom w:w="85" w:type="dxa"/>
              <w:end w:w="90" w:type="dxa"/>
            </w:tcMar>
          </w:tcPr>
          <w:p>
            <w:pPr>
              <w:spacing w:after="0" w:line="257" w:lineRule="auto"/>
            </w:pPr>
            <w:r>
              <w:rPr>
                <w:sz w:val="16"/>
              </w:rPr>
              <w:t>Support diagnosis and fixes</w:t>
            </w:r>
          </w:p>
        </w:tc>
      </w:tr>
    </w:tbl>
    <w:p>
      <w:pPr>
        <w:spacing w:after="0"/>
      </w:pPr>
    </w:p>
    <w:p>
      <w:pPr>
        <w:pStyle w:val="Heading2"/>
        <w:widowControl w:val="1"/>
      </w:pPr>
      <w:r>
        <w:t>4.2 Security and role boundaries</w:t>
      </w:r>
    </w:p>
    <w:p>
      <w:pPr>
        <w:pStyle w:val="ListBullet"/>
        <w:widowControl w:val="1"/>
      </w:pPr>
      <w:r>
        <w:t>Elastic Cloud ORGANISATION access to the Cloud console is distinct from deployment-level Kibana/Elasticsearch role privileges. Review both scopes.</w:t>
      </w:r>
    </w:p>
    <w:p>
      <w:pPr>
        <w:pStyle w:val="ListBullet"/>
        <w:widowControl w:val="1"/>
      </w:pPr>
      <w:r>
        <w:t>Use SSO/SAML where approved, MFA via corporate identity policy, periodic joiner/mover/leaver reviews, individual identities and tightly controlled break-glass access.</w:t>
      </w:r>
    </w:p>
    <w:p>
      <w:pPr>
        <w:pStyle w:val="ListBullet"/>
        <w:widowControl w:val="1"/>
      </w:pPr>
      <w:r>
        <w:t>Elasticsearch API keys for data-plane operations are not interchangeable with Elastic Cloud organisation API keys for control-plane APIs. Keep separate credential ownership and rotation schedules.</w:t>
      </w:r>
    </w:p>
    <w:p>
      <w:pPr>
        <w:pStyle w:val="ListBullet"/>
        <w:widowControl w:val="1"/>
      </w:pPr>
      <w:r>
        <w:t>Runbooks should reference secret vault paths and named owners, never embed secrets. Redact hostnames, email addresses, document payloads and personal data in supplier cases unless approved.</w:t>
      </w:r>
    </w:p>
    <w:p>
      <w:pPr>
        <w:pStyle w:val="ListBullet"/>
        <w:widowControl w:val="1"/>
      </w:pPr>
      <w:r>
        <w:t>Prefer narrowly scoped read-only roles for checks. Create/rotate/revoke API keys only through approved access requests and log evidence of the change.</w:t>
      </w:r>
    </w:p>
    <w:p>
      <w:pPr>
        <w:pStyle w:val="Heading2"/>
        <w:widowControl w:val="1"/>
      </w:pPr>
      <w:r>
        <w:t>4.3 Escalation and severity</w:t>
      </w:r>
    </w:p>
    <w:tbl>
      <w:tblPr>
        <w:tblStyle w:val="TableGrid"/>
        <w:tblW w:type="auto" w:w="0"/>
        <w:jc w:val="center"/>
        <w:tblLayout w:type="fixed"/>
        <w:tblLook w:firstColumn="1" w:firstRow="1" w:lastColumn="0" w:lastRow="0" w:noHBand="0" w:noVBand="1" w:val="04A0"/>
      </w:tblPr>
      <w:tblGrid>
        <w:gridCol w:w="2388"/>
        <w:gridCol w:w="2388"/>
        <w:gridCol w:w="2388"/>
        <w:gridCol w:w="2388"/>
      </w:tblGrid>
      <w:tr>
        <w:trPr>
          <w:tblHeader w:val="true"/>
        </w:trPr>
        <w:tc>
          <w:tcPr>
            <w:tcW w:type="dxa" w:w="1701"/>
            <w:shd w:fill="15456B"/>
            <w:tcMar>
              <w:top w:w="85" w:type="dxa"/>
              <w:start w:w="90" w:type="dxa"/>
              <w:bottom w:w="85" w:type="dxa"/>
              <w:end w:w="90" w:type="dxa"/>
            </w:tcMar>
          </w:tcPr>
          <w:p>
            <w:pPr>
              <w:spacing w:after="0"/>
            </w:pPr>
            <w:r>
              <w:rPr>
                <w:b/>
                <w:color w:val="FFFFFF"/>
                <w:sz w:val="16"/>
              </w:rPr>
              <w:t>Priority (example)</w:t>
            </w:r>
          </w:p>
        </w:tc>
        <w:tc>
          <w:tcPr>
            <w:tcW w:type="dxa" w:w="3175"/>
            <w:shd w:fill="15456B"/>
            <w:tcMar>
              <w:top w:w="85" w:type="dxa"/>
              <w:start w:w="90" w:type="dxa"/>
              <w:bottom w:w="85" w:type="dxa"/>
              <w:end w:w="90" w:type="dxa"/>
            </w:tcMar>
          </w:tcPr>
          <w:p>
            <w:pPr>
              <w:spacing w:after="0"/>
            </w:pPr>
            <w:r>
              <w:rPr>
                <w:b/>
                <w:color w:val="FFFFFF"/>
                <w:sz w:val="16"/>
              </w:rPr>
              <w:t>Trigger</w:t>
            </w:r>
          </w:p>
        </w:tc>
        <w:tc>
          <w:tcPr>
            <w:tcW w:type="dxa" w:w="2381"/>
            <w:shd w:fill="15456B"/>
            <w:tcMar>
              <w:top w:w="85" w:type="dxa"/>
              <w:start w:w="90" w:type="dxa"/>
              <w:bottom w:w="85" w:type="dxa"/>
              <w:end w:w="90" w:type="dxa"/>
            </w:tcMar>
          </w:tcPr>
          <w:p>
            <w:pPr>
              <w:spacing w:after="0"/>
            </w:pPr>
            <w:r>
              <w:rPr>
                <w:b/>
                <w:color w:val="FFFFFF"/>
                <w:sz w:val="16"/>
              </w:rPr>
              <w:t>Initial response route</w:t>
            </w:r>
          </w:p>
        </w:tc>
        <w:tc>
          <w:tcPr>
            <w:tcW w:type="dxa" w:w="2154"/>
            <w:shd w:fill="15456B"/>
            <w:tcMar>
              <w:top w:w="85" w:type="dxa"/>
              <w:start w:w="90" w:type="dxa"/>
              <w:bottom w:w="85" w:type="dxa"/>
              <w:end w:w="90" w:type="dxa"/>
            </w:tcMar>
          </w:tcPr>
          <w:p>
            <w:pPr>
              <w:spacing w:after="0"/>
            </w:pPr>
            <w:r>
              <w:rPr>
                <w:b/>
                <w:color w:val="FFFFFF"/>
                <w:sz w:val="16"/>
              </w:rPr>
              <w:t>Communication</w:t>
            </w:r>
          </w:p>
        </w:tc>
      </w:tr>
      <w:tr>
        <w:tc>
          <w:tcPr>
            <w:tcW w:type="dxa" w:w="1701"/>
            <w:vAlign w:val="center"/>
            <w:tcMar>
              <w:top w:w="85" w:type="dxa"/>
              <w:start w:w="90" w:type="dxa"/>
              <w:bottom w:w="85" w:type="dxa"/>
              <w:end w:w="90" w:type="dxa"/>
            </w:tcMar>
          </w:tcPr>
          <w:p>
            <w:pPr>
              <w:spacing w:after="0" w:line="257" w:lineRule="auto"/>
            </w:pPr>
            <w:r>
              <w:rPr>
                <w:sz w:val="16"/>
              </w:rPr>
              <w:t>P1 / Critical</w:t>
            </w:r>
          </w:p>
        </w:tc>
        <w:tc>
          <w:tcPr>
            <w:tcW w:type="dxa" w:w="3175"/>
            <w:vAlign w:val="center"/>
            <w:tcMar>
              <w:top w:w="85" w:type="dxa"/>
              <w:start w:w="90" w:type="dxa"/>
              <w:bottom w:w="85" w:type="dxa"/>
              <w:end w:w="90" w:type="dxa"/>
            </w:tcMar>
          </w:tcPr>
          <w:p>
            <w:pPr>
              <w:spacing w:after="0" w:line="257" w:lineRule="auto"/>
            </w:pPr>
            <w:r>
              <w:rPr>
                <w:sz w:val="16"/>
              </w:rPr>
              <w:t>Production platform unavailable, red primary-shard failures affecting critical data, widespread data loss</w:t>
            </w:r>
          </w:p>
        </w:tc>
        <w:tc>
          <w:tcPr>
            <w:tcW w:type="dxa" w:w="2381"/>
            <w:vAlign w:val="center"/>
            <w:tcMar>
              <w:top w:w="85" w:type="dxa"/>
              <w:start w:w="90" w:type="dxa"/>
              <w:bottom w:w="85" w:type="dxa"/>
              <w:end w:w="90" w:type="dxa"/>
            </w:tcMar>
          </w:tcPr>
          <w:p>
            <w:pPr>
              <w:spacing w:after="0" w:line="257" w:lineRule="auto"/>
            </w:pPr>
            <w:r>
              <w:rPr>
                <w:sz w:val="16"/>
              </w:rPr>
              <w:t>Major incident process + Elastic critical case</w:t>
            </w:r>
          </w:p>
        </w:tc>
        <w:tc>
          <w:tcPr>
            <w:tcW w:type="dxa" w:w="2154"/>
            <w:vAlign w:val="center"/>
            <w:tcMar>
              <w:top w:w="85" w:type="dxa"/>
              <w:start w:w="90" w:type="dxa"/>
              <w:bottom w:w="85" w:type="dxa"/>
              <w:end w:w="90" w:type="dxa"/>
            </w:tcMar>
          </w:tcPr>
          <w:p>
            <w:pPr>
              <w:spacing w:after="0" w:line="257" w:lineRule="auto"/>
            </w:pPr>
            <w:r>
              <w:rPr>
                <w:sz w:val="16"/>
              </w:rPr>
              <w:t>As per organisation P1 SLA</w:t>
            </w:r>
          </w:p>
        </w:tc>
      </w:tr>
      <w:tr>
        <w:tc>
          <w:tcPr>
            <w:tcW w:type="dxa" w:w="1701"/>
            <w:vAlign w:val="center"/>
            <w:tcMar>
              <w:top w:w="85" w:type="dxa"/>
              <w:start w:w="90" w:type="dxa"/>
              <w:bottom w:w="85" w:type="dxa"/>
              <w:end w:w="90" w:type="dxa"/>
            </w:tcMar>
            <w:shd w:fill="F0F5F7"/>
          </w:tcPr>
          <w:p>
            <w:pPr>
              <w:spacing w:after="0" w:line="257" w:lineRule="auto"/>
            </w:pPr>
            <w:r>
              <w:rPr>
                <w:sz w:val="16"/>
              </w:rPr>
              <w:t>P2 / High</w:t>
            </w:r>
          </w:p>
        </w:tc>
        <w:tc>
          <w:tcPr>
            <w:tcW w:type="dxa" w:w="3175"/>
            <w:vAlign w:val="center"/>
            <w:tcMar>
              <w:top w:w="85" w:type="dxa"/>
              <w:start w:w="90" w:type="dxa"/>
              <w:bottom w:w="85" w:type="dxa"/>
              <w:end w:w="90" w:type="dxa"/>
            </w:tcMar>
            <w:shd w:fill="F0F5F7"/>
          </w:tcPr>
          <w:p>
            <w:pPr>
              <w:spacing w:after="0" w:line="257" w:lineRule="auto"/>
            </w:pPr>
            <w:r>
              <w:rPr>
                <w:sz w:val="16"/>
              </w:rPr>
              <w:t>Sustained partial outage, critical ingest stalled, data at imminent write-block risk</w:t>
            </w:r>
          </w:p>
        </w:tc>
        <w:tc>
          <w:tcPr>
            <w:tcW w:type="dxa" w:w="2381"/>
            <w:vAlign w:val="center"/>
            <w:tcMar>
              <w:top w:w="85" w:type="dxa"/>
              <w:start w:w="90" w:type="dxa"/>
              <w:bottom w:w="85" w:type="dxa"/>
              <w:end w:w="90" w:type="dxa"/>
            </w:tcMar>
            <w:shd w:fill="F0F5F7"/>
          </w:tcPr>
          <w:p>
            <w:pPr>
              <w:spacing w:after="0" w:line="257" w:lineRule="auto"/>
            </w:pPr>
            <w:r>
              <w:rPr>
                <w:sz w:val="16"/>
              </w:rPr>
              <w:t>On-call operations, source owner, vendor when required</w:t>
            </w:r>
          </w:p>
        </w:tc>
        <w:tc>
          <w:tcPr>
            <w:tcW w:type="dxa" w:w="2154"/>
            <w:vAlign w:val="center"/>
            <w:tcMar>
              <w:top w:w="85" w:type="dxa"/>
              <w:start w:w="90" w:type="dxa"/>
              <w:bottom w:w="85" w:type="dxa"/>
              <w:end w:w="90" w:type="dxa"/>
            </w:tcMar>
            <w:shd w:fill="F0F5F7"/>
          </w:tcPr>
          <w:p>
            <w:pPr>
              <w:spacing w:after="0" w:line="257" w:lineRule="auto"/>
            </w:pPr>
            <w:r>
              <w:rPr>
                <w:sz w:val="16"/>
              </w:rPr>
              <w:t>As per P2 SLA</w:t>
            </w:r>
          </w:p>
        </w:tc>
      </w:tr>
      <w:tr>
        <w:tc>
          <w:tcPr>
            <w:tcW w:type="dxa" w:w="1701"/>
            <w:vAlign w:val="center"/>
            <w:tcMar>
              <w:top w:w="85" w:type="dxa"/>
              <w:start w:w="90" w:type="dxa"/>
              <w:bottom w:w="85" w:type="dxa"/>
              <w:end w:w="90" w:type="dxa"/>
            </w:tcMar>
          </w:tcPr>
          <w:p>
            <w:pPr>
              <w:spacing w:after="0" w:line="257" w:lineRule="auto"/>
            </w:pPr>
            <w:r>
              <w:rPr>
                <w:sz w:val="16"/>
              </w:rPr>
              <w:t>P3 / Medium</w:t>
            </w:r>
          </w:p>
        </w:tc>
        <w:tc>
          <w:tcPr>
            <w:tcW w:type="dxa" w:w="3175"/>
            <w:vAlign w:val="center"/>
            <w:tcMar>
              <w:top w:w="85" w:type="dxa"/>
              <w:start w:w="90" w:type="dxa"/>
              <w:bottom w:w="85" w:type="dxa"/>
              <w:end w:w="90" w:type="dxa"/>
            </w:tcMar>
          </w:tcPr>
          <w:p>
            <w:pPr>
              <w:spacing w:after="0" w:line="257" w:lineRule="auto"/>
            </w:pPr>
            <w:r>
              <w:rPr>
                <w:sz w:val="16"/>
              </w:rPr>
              <w:t>Single non-critical host or integration impaired; no broad business impact</w:t>
            </w:r>
          </w:p>
        </w:tc>
        <w:tc>
          <w:tcPr>
            <w:tcW w:type="dxa" w:w="2381"/>
            <w:vAlign w:val="center"/>
            <w:tcMar>
              <w:top w:w="85" w:type="dxa"/>
              <w:start w:w="90" w:type="dxa"/>
              <w:bottom w:w="85" w:type="dxa"/>
              <w:end w:w="90" w:type="dxa"/>
            </w:tcMar>
          </w:tcPr>
          <w:p>
            <w:pPr>
              <w:spacing w:after="0" w:line="257" w:lineRule="auto"/>
            </w:pPr>
            <w:r>
              <w:rPr>
                <w:sz w:val="16"/>
              </w:rPr>
              <w:t>Service owner work queue</w:t>
            </w:r>
          </w:p>
        </w:tc>
        <w:tc>
          <w:tcPr>
            <w:tcW w:type="dxa" w:w="2154"/>
            <w:vAlign w:val="center"/>
            <w:tcMar>
              <w:top w:w="85" w:type="dxa"/>
              <w:start w:w="90" w:type="dxa"/>
              <w:bottom w:w="85" w:type="dxa"/>
              <w:end w:w="90" w:type="dxa"/>
            </w:tcMar>
          </w:tcPr>
          <w:p>
            <w:pPr>
              <w:spacing w:after="0" w:line="257" w:lineRule="auto"/>
            </w:pPr>
            <w:r>
              <w:rPr>
                <w:sz w:val="16"/>
              </w:rPr>
              <w:t>Routine progress</w:t>
            </w:r>
          </w:p>
        </w:tc>
      </w:tr>
      <w:tr>
        <w:tc>
          <w:tcPr>
            <w:tcW w:type="dxa" w:w="1701"/>
            <w:vAlign w:val="center"/>
            <w:tcMar>
              <w:top w:w="85" w:type="dxa"/>
              <w:start w:w="90" w:type="dxa"/>
              <w:bottom w:w="85" w:type="dxa"/>
              <w:end w:w="90" w:type="dxa"/>
            </w:tcMar>
            <w:shd w:fill="F0F5F7"/>
          </w:tcPr>
          <w:p>
            <w:pPr>
              <w:spacing w:after="0" w:line="257" w:lineRule="auto"/>
            </w:pPr>
            <w:r>
              <w:rPr>
                <w:sz w:val="16"/>
              </w:rPr>
              <w:t>P4 / Low</w:t>
            </w:r>
          </w:p>
        </w:tc>
        <w:tc>
          <w:tcPr>
            <w:tcW w:type="dxa" w:w="3175"/>
            <w:vAlign w:val="center"/>
            <w:tcMar>
              <w:top w:w="85" w:type="dxa"/>
              <w:start w:w="90" w:type="dxa"/>
              <w:bottom w:w="85" w:type="dxa"/>
              <w:end w:w="90" w:type="dxa"/>
            </w:tcMar>
            <w:shd w:fill="F0F5F7"/>
          </w:tcPr>
          <w:p>
            <w:pPr>
              <w:spacing w:after="0" w:line="257" w:lineRule="auto"/>
            </w:pPr>
            <w:r>
              <w:rPr>
                <w:sz w:val="16"/>
              </w:rPr>
              <w:t>Cosmetic, documentation, improvement or planned review</w:t>
            </w:r>
          </w:p>
        </w:tc>
        <w:tc>
          <w:tcPr>
            <w:tcW w:type="dxa" w:w="2381"/>
            <w:vAlign w:val="center"/>
            <w:tcMar>
              <w:top w:w="85" w:type="dxa"/>
              <w:start w:w="90" w:type="dxa"/>
              <w:bottom w:w="85" w:type="dxa"/>
              <w:end w:w="90" w:type="dxa"/>
            </w:tcMar>
            <w:shd w:fill="F0F5F7"/>
          </w:tcPr>
          <w:p>
            <w:pPr>
              <w:spacing w:after="0" w:line="257" w:lineRule="auto"/>
            </w:pPr>
            <w:r>
              <w:rPr>
                <w:sz w:val="16"/>
              </w:rPr>
              <w:t>Change/problem backlog</w:t>
            </w:r>
          </w:p>
        </w:tc>
        <w:tc>
          <w:tcPr>
            <w:tcW w:type="dxa" w:w="2154"/>
            <w:vAlign w:val="center"/>
            <w:tcMar>
              <w:top w:w="85" w:type="dxa"/>
              <w:start w:w="90" w:type="dxa"/>
              <w:bottom w:w="85" w:type="dxa"/>
              <w:end w:w="90" w:type="dxa"/>
            </w:tcMar>
            <w:shd w:fill="F0F5F7"/>
          </w:tcPr>
          <w:p>
            <w:pPr>
              <w:spacing w:after="0" w:line="257" w:lineRule="auto"/>
            </w:pPr>
            <w:r>
              <w:rPr>
                <w:sz w:val="16"/>
              </w:rPr>
              <w:t>Normal governance</w:t>
            </w:r>
          </w:p>
        </w:tc>
      </w:tr>
    </w:tbl>
    <w:p>
      <w:pPr>
        <w:spacing w:after="0"/>
      </w:pPr>
    </w:p>
    <w:tbl>
      <w:tblPr>
        <w:tblW w:type="auto" w:w="0"/>
        <w:tblLayout w:type="fixed"/>
        <w:tblLook w:firstColumn="1" w:firstRow="1" w:lastColumn="0" w:lastRow="0" w:noHBand="0" w:noVBand="1" w:val="04A0"/>
      </w:tblPr>
      <w:tblGrid>
        <w:gridCol w:w="9553"/>
      </w:tblGrid>
      <w:tr>
        <w:tc>
          <w:tcPr>
            <w:tcW w:type="dxa" w:w="9553"/>
            <w:shd w:fill="E8F2F2"/>
            <w:tcMar>
              <w:top w:w="100" w:type="dxa"/>
              <w:start w:w="150" w:type="dxa"/>
              <w:bottom w:w="100" w:type="dxa"/>
              <w:end w:w="150" w:type="dxa"/>
            </w:tcMar>
          </w:tcPr>
          <w:p>
            <w:r>
              <w:rPr>
                <w:b/>
                <w:color w:val="00747E"/>
              </w:rPr>
              <w:t xml:space="preserve">APPROVAL NEEDED  </w:t>
            </w:r>
            <w:r>
              <w:t>Priority definitions, support channels, on-call contacts, SLA/OLA timings, RTO, RPO and escalation timeouts must come from ScottishPower policy; the example above must not override a published incident process.</w:t>
            </w:r>
          </w:p>
        </w:tc>
      </w:tr>
    </w:tbl>
    <w:p>
      <w:pPr>
        <w:spacing w:after="0"/>
      </w:pPr>
    </w:p>
    <w:p>
      <w:pPr>
        <w:pStyle w:val="Heading1"/>
        <w:widowControl w:val="1"/>
      </w:pPr>
      <w:r>
        <w:t>5. Operating cadence and health-check matrix</w:t>
      </w:r>
    </w:p>
    <w:p>
      <w:pPr>
        <w:widowControl w:val="1"/>
      </w:pPr>
      <w:r>
        <w:t>Organise checks by frequency so the team can quickly distinguish routine prevention from deep problem investigation.</w:t>
      </w:r>
    </w:p>
    <w:tbl>
      <w:tblPr>
        <w:tblStyle w:val="TableGrid"/>
        <w:tblW w:type="auto" w:w="0"/>
        <w:jc w:val="center"/>
        <w:tblLayout w:type="fixed"/>
        <w:tblLook w:firstColumn="1" w:firstRow="1" w:lastColumn="0" w:lastRow="0" w:noHBand="0" w:noVBand="1" w:val="04A0"/>
      </w:tblPr>
      <w:tblGrid>
        <w:gridCol w:w="3184"/>
        <w:gridCol w:w="3184"/>
        <w:gridCol w:w="3184"/>
      </w:tblGrid>
      <w:tr>
        <w:trPr>
          <w:tblHeader w:val="true"/>
        </w:trPr>
        <w:tc>
          <w:tcPr>
            <w:tcW w:type="dxa" w:w="1531"/>
            <w:shd w:fill="15456B"/>
            <w:tcMar>
              <w:top w:w="85" w:type="dxa"/>
              <w:start w:w="90" w:type="dxa"/>
              <w:bottom w:w="85" w:type="dxa"/>
              <w:end w:w="90" w:type="dxa"/>
            </w:tcMar>
          </w:tcPr>
          <w:p>
            <w:pPr>
              <w:spacing w:after="0"/>
            </w:pPr>
            <w:r>
              <w:rPr>
                <w:b/>
                <w:color w:val="FFFFFF"/>
                <w:sz w:val="16"/>
              </w:rPr>
              <w:t>Cadence</w:t>
            </w:r>
          </w:p>
        </w:tc>
        <w:tc>
          <w:tcPr>
            <w:tcW w:type="dxa" w:w="5443"/>
            <w:shd w:fill="15456B"/>
            <w:tcMar>
              <w:top w:w="85" w:type="dxa"/>
              <w:start w:w="90" w:type="dxa"/>
              <w:bottom w:w="85" w:type="dxa"/>
              <w:end w:w="90" w:type="dxa"/>
            </w:tcMar>
          </w:tcPr>
          <w:p>
            <w:pPr>
              <w:spacing w:after="0"/>
            </w:pPr>
            <w:r>
              <w:rPr>
                <w:b/>
                <w:color w:val="FFFFFF"/>
                <w:sz w:val="16"/>
              </w:rPr>
              <w:t>Checks</w:t>
            </w:r>
          </w:p>
        </w:tc>
        <w:tc>
          <w:tcPr>
            <w:tcW w:type="dxa" w:w="2438"/>
            <w:shd w:fill="15456B"/>
            <w:tcMar>
              <w:top w:w="85" w:type="dxa"/>
              <w:start w:w="90" w:type="dxa"/>
              <w:bottom w:w="85" w:type="dxa"/>
              <w:end w:w="90" w:type="dxa"/>
            </w:tcMar>
          </w:tcPr>
          <w:p>
            <w:pPr>
              <w:spacing w:after="0"/>
            </w:pPr>
            <w:r>
              <w:rPr>
                <w:b/>
                <w:color w:val="FFFFFF"/>
                <w:sz w:val="16"/>
              </w:rPr>
              <w:t>Expected output</w:t>
            </w:r>
          </w:p>
        </w:tc>
      </w:tr>
      <w:tr>
        <w:tc>
          <w:tcPr>
            <w:tcW w:type="dxa" w:w="1531"/>
            <w:vAlign w:val="center"/>
            <w:tcMar>
              <w:top w:w="85" w:type="dxa"/>
              <w:start w:w="90" w:type="dxa"/>
              <w:bottom w:w="85" w:type="dxa"/>
              <w:end w:w="90" w:type="dxa"/>
            </w:tcMar>
          </w:tcPr>
          <w:p>
            <w:pPr>
              <w:spacing w:after="0" w:line="257" w:lineRule="auto"/>
            </w:pPr>
            <w:r>
              <w:rPr>
                <w:sz w:val="16"/>
              </w:rPr>
              <w:t>Daily / shift start</w:t>
            </w:r>
          </w:p>
        </w:tc>
        <w:tc>
          <w:tcPr>
            <w:tcW w:type="dxa" w:w="5443"/>
            <w:vAlign w:val="center"/>
            <w:tcMar>
              <w:top w:w="85" w:type="dxa"/>
              <w:start w:w="90" w:type="dxa"/>
              <w:bottom w:w="85" w:type="dxa"/>
              <w:end w:w="90" w:type="dxa"/>
            </w:tcMar>
          </w:tcPr>
          <w:p>
            <w:pPr>
              <w:spacing w:after="0" w:line="257" w:lineRule="auto"/>
            </w:pPr>
            <w:r>
              <w:rPr>
                <w:sz w:val="16"/>
              </w:rPr>
              <w:t>D01-D12: Cloud/cluster, nodes, shards, heap/CPU, storage, indexing, snapshots, ILM, source freshness, Fleet/Beats, APM/Synthetics, alerts</w:t>
            </w:r>
          </w:p>
        </w:tc>
        <w:tc>
          <w:tcPr>
            <w:tcW w:type="dxa" w:w="2438"/>
            <w:vAlign w:val="center"/>
            <w:tcMar>
              <w:top w:w="85" w:type="dxa"/>
              <w:start w:w="90" w:type="dxa"/>
              <w:bottom w:w="85" w:type="dxa"/>
              <w:end w:w="90" w:type="dxa"/>
            </w:tcMar>
          </w:tcPr>
          <w:p>
            <w:pPr>
              <w:spacing w:after="0" w:line="257" w:lineRule="auto"/>
            </w:pPr>
            <w:r>
              <w:rPr>
                <w:sz w:val="16"/>
              </w:rPr>
              <w:t>Daily health record; incident for red/failed checks</w:t>
            </w:r>
          </w:p>
        </w:tc>
      </w:tr>
      <w:tr>
        <w:tc>
          <w:tcPr>
            <w:tcW w:type="dxa" w:w="1531"/>
            <w:vAlign w:val="center"/>
            <w:tcMar>
              <w:top w:w="85" w:type="dxa"/>
              <w:start w:w="90" w:type="dxa"/>
              <w:bottom w:w="85" w:type="dxa"/>
              <w:end w:w="90" w:type="dxa"/>
            </w:tcMar>
            <w:shd w:fill="F0F5F7"/>
          </w:tcPr>
          <w:p>
            <w:pPr>
              <w:spacing w:after="0" w:line="257" w:lineRule="auto"/>
            </w:pPr>
            <w:r>
              <w:rPr>
                <w:sz w:val="16"/>
              </w:rPr>
              <w:t>Weekly</w:t>
            </w:r>
          </w:p>
        </w:tc>
        <w:tc>
          <w:tcPr>
            <w:tcW w:type="dxa" w:w="5443"/>
            <w:vAlign w:val="center"/>
            <w:tcMar>
              <w:top w:w="85" w:type="dxa"/>
              <w:start w:w="90" w:type="dxa"/>
              <w:bottom w:w="85" w:type="dxa"/>
              <w:end w:w="90" w:type="dxa"/>
            </w:tcMar>
            <w:shd w:fill="F0F5F7"/>
          </w:tcPr>
          <w:p>
            <w:pPr>
              <w:spacing w:after="0" w:line="257" w:lineRule="auto"/>
            </w:pPr>
            <w:r>
              <w:rPr>
                <w:sz w:val="16"/>
              </w:rPr>
              <w:t>Agent version and connectivity trends; pipeline failures; tag completeness; index/retention anomalies; alert quality; capacity trend</w:t>
            </w:r>
          </w:p>
        </w:tc>
        <w:tc>
          <w:tcPr>
            <w:tcW w:type="dxa" w:w="2438"/>
            <w:vAlign w:val="center"/>
            <w:tcMar>
              <w:top w:w="85" w:type="dxa"/>
              <w:start w:w="90" w:type="dxa"/>
              <w:bottom w:w="85" w:type="dxa"/>
              <w:end w:w="90" w:type="dxa"/>
            </w:tcMar>
            <w:shd w:fill="F0F5F7"/>
          </w:tcPr>
          <w:p>
            <w:pPr>
              <w:spacing w:after="0" w:line="257" w:lineRule="auto"/>
            </w:pPr>
            <w:r>
              <w:rPr>
                <w:sz w:val="16"/>
              </w:rPr>
              <w:t>Action list and owners</w:t>
            </w:r>
          </w:p>
        </w:tc>
      </w:tr>
      <w:tr>
        <w:tc>
          <w:tcPr>
            <w:tcW w:type="dxa" w:w="1531"/>
            <w:vAlign w:val="center"/>
            <w:tcMar>
              <w:top w:w="85" w:type="dxa"/>
              <w:start w:w="90" w:type="dxa"/>
              <w:bottom w:w="85" w:type="dxa"/>
              <w:end w:w="90" w:type="dxa"/>
            </w:tcMar>
          </w:tcPr>
          <w:p>
            <w:pPr>
              <w:spacing w:after="0" w:line="257" w:lineRule="auto"/>
            </w:pPr>
            <w:r>
              <w:rPr>
                <w:sz w:val="16"/>
              </w:rPr>
              <w:t>Monthly</w:t>
            </w:r>
          </w:p>
        </w:tc>
        <w:tc>
          <w:tcPr>
            <w:tcW w:type="dxa" w:w="5443"/>
            <w:vAlign w:val="center"/>
            <w:tcMar>
              <w:top w:w="85" w:type="dxa"/>
              <w:start w:w="90" w:type="dxa"/>
              <w:bottom w:w="85" w:type="dxa"/>
              <w:end w:w="90" w:type="dxa"/>
            </w:tcMar>
          </w:tcPr>
          <w:p>
            <w:pPr>
              <w:spacing w:after="0" w:line="257" w:lineRule="auto"/>
            </w:pPr>
            <w:r>
              <w:rPr>
                <w:sz w:val="16"/>
              </w:rPr>
              <w:t>Security/access/API key review; growth forecast; backup/restore evidence; integration version review; patch risk assessment</w:t>
            </w:r>
          </w:p>
        </w:tc>
        <w:tc>
          <w:tcPr>
            <w:tcW w:type="dxa" w:w="2438"/>
            <w:vAlign w:val="center"/>
            <w:tcMar>
              <w:top w:w="85" w:type="dxa"/>
              <w:start w:w="90" w:type="dxa"/>
              <w:bottom w:w="85" w:type="dxa"/>
              <w:end w:w="90" w:type="dxa"/>
            </w:tcMar>
          </w:tcPr>
          <w:p>
            <w:pPr>
              <w:spacing w:after="0" w:line="257" w:lineRule="auto"/>
            </w:pPr>
            <w:r>
              <w:rPr>
                <w:sz w:val="16"/>
              </w:rPr>
              <w:t>Monthly operational report and change backlog</w:t>
            </w:r>
          </w:p>
        </w:tc>
      </w:tr>
      <w:tr>
        <w:tc>
          <w:tcPr>
            <w:tcW w:type="dxa" w:w="1531"/>
            <w:vAlign w:val="center"/>
            <w:tcMar>
              <w:top w:w="85" w:type="dxa"/>
              <w:start w:w="90" w:type="dxa"/>
              <w:bottom w:w="85" w:type="dxa"/>
              <w:end w:w="90" w:type="dxa"/>
            </w:tcMar>
            <w:shd w:fill="F0F5F7"/>
          </w:tcPr>
          <w:p>
            <w:pPr>
              <w:spacing w:after="0" w:line="257" w:lineRule="auto"/>
            </w:pPr>
            <w:r>
              <w:rPr>
                <w:sz w:val="16"/>
              </w:rPr>
              <w:t>Quarterly</w:t>
            </w:r>
          </w:p>
        </w:tc>
        <w:tc>
          <w:tcPr>
            <w:tcW w:type="dxa" w:w="5443"/>
            <w:vAlign w:val="center"/>
            <w:tcMar>
              <w:top w:w="85" w:type="dxa"/>
              <w:start w:w="90" w:type="dxa"/>
              <w:bottom w:w="85" w:type="dxa"/>
              <w:end w:w="90" w:type="dxa"/>
            </w:tcMar>
            <w:shd w:fill="F0F5F7"/>
          </w:tcPr>
          <w:p>
            <w:pPr>
              <w:spacing w:after="0" w:line="257" w:lineRule="auto"/>
            </w:pPr>
            <w:r>
              <w:rPr>
                <w:sz w:val="16"/>
              </w:rPr>
              <w:t>Supported-version roadmap; resilience tabletop/restore test; policy and dependency review; ownership inventory; escalation drill</w:t>
            </w:r>
          </w:p>
        </w:tc>
        <w:tc>
          <w:tcPr>
            <w:tcW w:type="dxa" w:w="2438"/>
            <w:vAlign w:val="center"/>
            <w:tcMar>
              <w:top w:w="85" w:type="dxa"/>
              <w:start w:w="90" w:type="dxa"/>
              <w:bottom w:w="85" w:type="dxa"/>
              <w:end w:w="90" w:type="dxa"/>
            </w:tcMar>
            <w:shd w:fill="F0F5F7"/>
          </w:tcPr>
          <w:p>
            <w:pPr>
              <w:spacing w:after="0" w:line="257" w:lineRule="auto"/>
            </w:pPr>
            <w:r>
              <w:rPr>
                <w:sz w:val="16"/>
              </w:rPr>
              <w:t>Quarterly service assurance sign-off</w:t>
            </w:r>
          </w:p>
        </w:tc>
      </w:tr>
      <w:tr>
        <w:tc>
          <w:tcPr>
            <w:tcW w:type="dxa" w:w="1531"/>
            <w:vAlign w:val="center"/>
            <w:tcMar>
              <w:top w:w="85" w:type="dxa"/>
              <w:start w:w="90" w:type="dxa"/>
              <w:bottom w:w="85" w:type="dxa"/>
              <w:end w:w="90" w:type="dxa"/>
            </w:tcMar>
          </w:tcPr>
          <w:p>
            <w:pPr>
              <w:spacing w:after="0" w:line="257" w:lineRule="auto"/>
            </w:pPr>
            <w:r>
              <w:rPr>
                <w:sz w:val="16"/>
              </w:rPr>
              <w:t>Event-driven</w:t>
            </w:r>
          </w:p>
        </w:tc>
        <w:tc>
          <w:tcPr>
            <w:tcW w:type="dxa" w:w="5443"/>
            <w:vAlign w:val="center"/>
            <w:tcMar>
              <w:top w:w="85" w:type="dxa"/>
              <w:start w:w="90" w:type="dxa"/>
              <w:bottom w:w="85" w:type="dxa"/>
              <w:end w:w="90" w:type="dxa"/>
            </w:tcMar>
          </w:tcPr>
          <w:p>
            <w:pPr>
              <w:spacing w:after="0" w:line="257" w:lineRule="auto"/>
            </w:pPr>
            <w:r>
              <w:rPr>
                <w:sz w:val="16"/>
              </w:rPr>
              <w:t>Upgrade, new integration, source decommission, outage, failed snapshot, large change, detected security event</w:t>
            </w:r>
          </w:p>
        </w:tc>
        <w:tc>
          <w:tcPr>
            <w:tcW w:type="dxa" w:w="2438"/>
            <w:vAlign w:val="center"/>
            <w:tcMar>
              <w:top w:w="85" w:type="dxa"/>
              <w:start w:w="90" w:type="dxa"/>
              <w:bottom w:w="85" w:type="dxa"/>
              <w:end w:w="90" w:type="dxa"/>
            </w:tcMar>
          </w:tcPr>
          <w:p>
            <w:pPr>
              <w:spacing w:after="0" w:line="257" w:lineRule="auto"/>
            </w:pPr>
            <w:r>
              <w:rPr>
                <w:sz w:val="16"/>
              </w:rPr>
              <w:t>Approved change record or incident/postmortem</w:t>
            </w:r>
          </w:p>
        </w:tc>
      </w:tr>
    </w:tbl>
    <w:p>
      <w:pPr>
        <w:spacing w:after="0"/>
      </w:pPr>
    </w:p>
    <w:p>
      <w:pPr>
        <w:pStyle w:val="Heading2"/>
        <w:widowControl w:val="1"/>
      </w:pPr>
      <w:r>
        <w:t>5.1 Standard check recording format</w:t>
      </w:r>
    </w:p>
    <w:p>
      <w:pPr>
        <w:widowControl w:val="1"/>
      </w:pPr>
      <w:r>
        <w:t>Log Date/time (UTC), environment, operator, control ID, observed value, expected range, status (Green/Amber/Red/N/A), affected service(s), supporting link, ticket ID, corrective action owner, next review time and closure approval. Explain every N/A entry; do not mark a failed metric green only because the main cluster is green.</w:t>
      </w:r>
    </w:p>
    <w:p>
      <w:pPr>
        <w:pStyle w:val="Heading1"/>
        <w:widowControl w:val="1"/>
      </w:pPr>
      <w:r>
        <w:t>6. Daily operations: detailed checks (D01-D12)</w:t>
      </w:r>
    </w:p>
    <w:p>
      <w:pPr>
        <w:widowControl w:val="1"/>
      </w:pPr>
      <w:r>
        <w:t>For each procedure: where to go, simple meaning, what success looks like and what to do when the check fails. Authorized engineers may supplement these UI checks with read-only commands from Appendix A.</w:t>
      </w:r>
    </w:p>
    <w:p>
      <w:pPr>
        <w:pStyle w:val="Heading3"/>
        <w:widowControl w:val="1"/>
      </w:pPr>
      <w:r>
        <w:t>D01 Elastic Cloud deployment availability</w:t>
      </w:r>
    </w:p>
    <w:p>
      <w:pPr>
        <w:widowControl w:val="1"/>
      </w:pPr>
      <w:r>
        <w:t>Why it matters: The hosted environment must be running before dashboards or applications can use it.</w:t>
      </w:r>
    </w:p>
    <w:p>
      <w:pPr>
        <w:widowControl w:val="1"/>
      </w:pPr>
      <w:r>
        <w:rPr>
          <w:b/>
        </w:rPr>
        <w:t xml:space="preserve">Navigation: </w:t>
      </w:r>
      <w:r>
        <w:t>Elastic Cloud Console → Hosted deployments → [ScottishPower deployment] → Overview / Activity</w:t>
      </w:r>
    </w:p>
    <w:p>
      <w:pPr>
        <w:widowControl w:val="1"/>
      </w:pPr>
      <w:r>
        <w:rPr>
          <w:b/>
        </w:rPr>
        <w:t>Verification steps:</w:t>
      </w:r>
      <w:r/>
    </w:p>
    <w:p>
      <w:pPr>
        <w:widowControl w:val="1"/>
        <w:spacing w:after="56"/>
        <w:ind w:left="317" w:hanging="210"/>
      </w:pPr>
      <w:r>
        <w:t>1.  Select the PRODUCTION deployment and verify its region, version and deployment identifier.</w:t>
      </w:r>
    </w:p>
    <w:p>
      <w:pPr>
        <w:widowControl w:val="1"/>
        <w:spacing w:after="56"/>
        <w:ind w:left="317" w:hanging="210"/>
      </w:pPr>
      <w:r>
        <w:t>2.  Review deployment health, running instances, recent plan changes and any failed activity.</w:t>
      </w:r>
    </w:p>
    <w:p>
      <w:pPr>
        <w:widowControl w:val="1"/>
        <w:spacing w:after="56"/>
        <w:ind w:left="317" w:hanging="210"/>
      </w:pPr>
      <w:r>
        <w:t>3.  Open the registered Kibana URL and confirm successful loading and approved SSO access.</w:t>
      </w:r>
    </w:p>
    <w:p>
      <w:pPr>
        <w:widowControl w:val="1"/>
        <w:spacing w:after="56"/>
        <w:ind w:left="317" w:hanging="210"/>
      </w:pPr>
      <w:r>
        <w:t>4.  Check whether an ongoing planned maintenance/change explains any temporary status.</w:t>
      </w:r>
    </w:p>
    <w:p>
      <w:pPr>
        <w:widowControl w:val="1"/>
      </w:pPr>
      <w:r>
        <w:rPr>
          <w:b/>
        </w:rPr>
        <w:t xml:space="preserve">Expected outcome: </w:t>
      </w:r>
      <w:r>
        <w:t>Deployment is available, expected components are running and no unexplained failed activity is present.</w:t>
      </w:r>
    </w:p>
    <w:p>
      <w:pPr>
        <w:widowControl w:val="1"/>
      </w:pPr>
      <w:r>
        <w:rPr>
          <w:b/>
        </w:rPr>
        <w:t xml:space="preserve">If not OK: </w:t>
      </w:r>
      <w:r>
        <w:t>If deployment is unavailable, log timestamps and error details; check provider events; raise internal incident and Elastic support case as required.</w:t>
      </w:r>
    </w:p>
    <w:p>
      <w:pPr>
        <w:pStyle w:val="SmallGray"/>
        <w:widowControl w:val="1"/>
      </w:pPr>
      <w:r>
        <w:t>Owner: Cloud Operations  |  Evidence: Deployment screenshot, changes/events and incident reference</w:t>
      </w:r>
    </w:p>
    <w:p>
      <w:pPr>
        <w:pStyle w:val="Heading3"/>
        <w:widowControl w:val="1"/>
      </w:pPr>
      <w:r>
        <w:t>D02 Cluster health and node availability</w:t>
      </w:r>
    </w:p>
    <w:p>
      <w:pPr>
        <w:widowControl w:val="1"/>
      </w:pPr>
      <w:r>
        <w:t>Why it matters: Green means primary and replica shards are allocated; red can mean some primary data is unavailable.</w:t>
      </w:r>
    </w:p>
    <w:p>
      <w:pPr>
        <w:widowControl w:val="1"/>
      </w:pPr>
      <w:r>
        <w:rPr>
          <w:b/>
        </w:rPr>
        <w:t xml:space="preserve">Navigation: </w:t>
      </w:r>
      <w:r>
        <w:t>Kibana → Stack Monitoring → Elasticsearch → Overview / Nodes; Dev Tools → GET /_cluster/health</w:t>
      </w:r>
    </w:p>
    <w:p>
      <w:pPr>
        <w:widowControl w:val="1"/>
      </w:pPr>
      <w:r>
        <w:rPr>
          <w:b/>
        </w:rPr>
        <w:t>Verification steps:</w:t>
      </w:r>
      <w:r/>
    </w:p>
    <w:p>
      <w:pPr>
        <w:widowControl w:val="1"/>
        <w:spacing w:after="56"/>
        <w:ind w:left="317" w:hanging="210"/>
      </w:pPr>
      <w:r>
        <w:t>1.  Verify cluster status, number of data nodes, node count and unassigned shards.</w:t>
      </w:r>
    </w:p>
    <w:p>
      <w:pPr>
        <w:widowControl w:val="1"/>
        <w:spacing w:after="56"/>
        <w:ind w:left="317" w:hanging="210"/>
      </w:pPr>
      <w:r>
        <w:t>2.  Compare current roles and counts against the approved architecture inventory.</w:t>
      </w:r>
    </w:p>
    <w:p>
      <w:pPr>
        <w:widowControl w:val="1"/>
        <w:spacing w:after="56"/>
        <w:ind w:left="317" w:hanging="210"/>
      </w:pPr>
      <w:r>
        <w:t>3.  Check for repeated node restarts, CPU pressure, JVM pressure or abnormal activity.</w:t>
      </w:r>
    </w:p>
    <w:p>
      <w:pPr>
        <w:widowControl w:val="1"/>
      </w:pPr>
      <w:r>
        <w:rPr>
          <w:b/>
        </w:rPr>
        <w:t xml:space="preserve">Expected outcome: </w:t>
      </w:r>
      <w:r>
        <w:t>Green in normal production operation; expected node roles and capacity present; no unexpected unassigned shards.</w:t>
      </w:r>
    </w:p>
    <w:p>
      <w:pPr>
        <w:widowControl w:val="1"/>
      </w:pPr>
      <w:r>
        <w:rPr>
          <w:b/>
        </w:rPr>
        <w:t xml:space="preserve">If not OK: </w:t>
      </w:r>
      <w:r>
        <w:t>Yellow: identify replica allocation issues and resilience impact. Red: escalate immediately; follow IR01. A green cluster is not proof of healthy data ingestion.</w:t>
      </w:r>
    </w:p>
    <w:p>
      <w:pPr>
        <w:pStyle w:val="SmallGray"/>
        <w:widowControl w:val="1"/>
      </w:pPr>
      <w:r>
        <w:t>Owner: Observability Operations  |  Evidence: Cluster status, node count, recent event history</w:t>
      </w:r>
    </w:p>
    <w:p>
      <w:pPr>
        <w:pStyle w:val="Heading3"/>
        <w:widowControl w:val="1"/>
      </w:pPr>
      <w:r>
        <w:t>D03 Shard allocation and master stability</w:t>
      </w:r>
    </w:p>
    <w:p>
      <w:pPr>
        <w:widowControl w:val="1"/>
      </w:pPr>
      <w:r>
        <w:t>Why it matters: Shards are pieces of stored data. Unassigned replicas reduce resilience; unassigned primaries can interrupt access.</w:t>
      </w:r>
    </w:p>
    <w:p>
      <w:pPr>
        <w:widowControl w:val="1"/>
      </w:pPr>
      <w:r>
        <w:rPr>
          <w:b/>
        </w:rPr>
        <w:t xml:space="preserve">Navigation: </w:t>
      </w:r>
      <w:r>
        <w:t>Stack Monitoring → Indices / Nodes; Dev Tools → _cat/shards and _cluster/allocation/explain</w:t>
      </w:r>
    </w:p>
    <w:p>
      <w:pPr>
        <w:widowControl w:val="1"/>
      </w:pPr>
      <w:r>
        <w:rPr>
          <w:b/>
        </w:rPr>
        <w:t>Verification steps:</w:t>
      </w:r>
      <w:r/>
    </w:p>
    <w:p>
      <w:pPr>
        <w:widowControl w:val="1"/>
        <w:spacing w:after="56"/>
        <w:ind w:left="317" w:hanging="210"/>
      </w:pPr>
      <w:r>
        <w:t>1.  Check unassigned shard counts and recent changes.</w:t>
      </w:r>
    </w:p>
    <w:p>
      <w:pPr>
        <w:widowControl w:val="1"/>
        <w:spacing w:after="56"/>
        <w:ind w:left="317" w:hanging="210"/>
      </w:pPr>
      <w:r>
        <w:t>2.  If non-zero, identify whether the affected shards are PRIMARY or REPLICA.</w:t>
      </w:r>
    </w:p>
    <w:p>
      <w:pPr>
        <w:widowControl w:val="1"/>
        <w:spacing w:after="56"/>
        <w:ind w:left="317" w:hanging="210"/>
      </w:pPr>
      <w:r>
        <w:t>3.  Check allocation explanation, node capacity, awareness rules and recent maintenance; do not manually reassign without approval.</w:t>
      </w:r>
    </w:p>
    <w:p>
      <w:pPr>
        <w:widowControl w:val="1"/>
      </w:pPr>
      <w:r>
        <w:rPr>
          <w:b/>
        </w:rPr>
        <w:t xml:space="preserve">Expected outcome: </w:t>
      </w:r>
      <w:r>
        <w:t>Unassigned shards = 0 during normal conditions (exceptions documented). Stable cluster-manager/master election and no repeat disruptions.</w:t>
      </w:r>
    </w:p>
    <w:p>
      <w:pPr>
        <w:widowControl w:val="1"/>
      </w:pPr>
      <w:r>
        <w:rPr>
          <w:b/>
        </w:rPr>
        <w:t xml:space="preserve">If not OK: </w:t>
      </w:r>
      <w:r>
        <w:t>Use IR01; route a red cluster or critical primary failure to incident management and Elastic support.</w:t>
      </w:r>
    </w:p>
    <w:p>
      <w:pPr>
        <w:pStyle w:val="SmallGray"/>
        <w:widowControl w:val="1"/>
      </w:pPr>
      <w:r>
        <w:t>Owner: Cloud Operations  |  Evidence: Shard list, allocation explanation and affected index names</w:t>
      </w:r>
    </w:p>
    <w:p>
      <w:pPr>
        <w:pStyle w:val="Heading3"/>
        <w:widowControl w:val="1"/>
      </w:pPr>
      <w:r>
        <w:t>D04 JVM heap, CPU and search responsiveness</w:t>
      </w:r>
    </w:p>
    <w:p>
      <w:pPr>
        <w:widowControl w:val="1"/>
      </w:pPr>
      <w:r>
        <w:t>Why it matters: JVM heap is the memory used by Elasticsearch processes; sustained pressure may slow searches and trigger garbage collection.</w:t>
      </w:r>
    </w:p>
    <w:p>
      <w:pPr>
        <w:widowControl w:val="1"/>
      </w:pPr>
      <w:r>
        <w:rPr>
          <w:b/>
        </w:rPr>
        <w:t xml:space="preserve">Navigation: </w:t>
      </w:r>
      <w:r>
        <w:t>Stack Monitoring → Elasticsearch → Nodes; Cloud performance metrics</w:t>
      </w:r>
    </w:p>
    <w:p>
      <w:pPr>
        <w:widowControl w:val="1"/>
      </w:pPr>
      <w:r>
        <w:rPr>
          <w:b/>
        </w:rPr>
        <w:t>Verification steps:</w:t>
      </w:r>
      <w:r/>
    </w:p>
    <w:p>
      <w:pPr>
        <w:widowControl w:val="1"/>
        <w:spacing w:after="56"/>
        <w:ind w:left="317" w:hanging="210"/>
      </w:pPr>
      <w:r>
        <w:t>1.  Inspect JVM heap utilisation and trends, CPU usage and garbage collection rate for each node.</w:t>
      </w:r>
    </w:p>
    <w:p>
      <w:pPr>
        <w:widowControl w:val="1"/>
        <w:spacing w:after="56"/>
        <w:ind w:left="317" w:hanging="210"/>
      </w:pPr>
      <w:r>
        <w:t>2.  Compare the same period with normal daily peaks.</w:t>
      </w:r>
    </w:p>
    <w:p>
      <w:pPr>
        <w:widowControl w:val="1"/>
        <w:spacing w:after="56"/>
        <w:ind w:left="317" w:hanging="210"/>
      </w:pPr>
      <w:r>
        <w:t>3.  Review slow queries, thread-pool rejections and node restarts if pressure is sustained.</w:t>
      </w:r>
    </w:p>
    <w:p>
      <w:pPr>
        <w:widowControl w:val="1"/>
      </w:pPr>
      <w:r>
        <w:rPr>
          <w:b/>
        </w:rPr>
        <w:t xml:space="preserve">Expected outcome: </w:t>
      </w:r>
      <w:r>
        <w:t>No persistent high-pressure trend or out-of-memory evidence; user search and ingestion response remain within agreed SLOs.</w:t>
      </w:r>
    </w:p>
    <w:p>
      <w:pPr>
        <w:widowControl w:val="1"/>
      </w:pPr>
      <w:r>
        <w:rPr>
          <w:b/>
        </w:rPr>
        <w:t xml:space="preserve">If not OK: </w:t>
      </w:r>
      <w:r>
        <w:t>Follow IR03; investigate expensive queries, indexing patterns and capacity. Do not alter heap settings directly on Elastic Cloud Hosted.</w:t>
      </w:r>
    </w:p>
    <w:p>
      <w:pPr>
        <w:pStyle w:val="SmallGray"/>
        <w:widowControl w:val="1"/>
      </w:pPr>
      <w:r>
        <w:t>Owner: Cloud Operations  |  Evidence: Max/average heap trend and CPU charts</w:t>
      </w:r>
    </w:p>
    <w:p>
      <w:pPr>
        <w:pStyle w:val="Heading3"/>
        <w:widowControl w:val="1"/>
      </w:pPr>
      <w:r>
        <w:t>D05 Disk space and data-tier capacity</w:t>
      </w:r>
    </w:p>
    <w:p>
      <w:pPr>
        <w:widowControl w:val="1"/>
      </w:pPr>
      <w:r>
        <w:t>Why it matters: Storage fills as logs arrive; high use can prevent new data from being written.</w:t>
      </w:r>
    </w:p>
    <w:p>
      <w:pPr>
        <w:widowControl w:val="1"/>
      </w:pPr>
      <w:r>
        <w:rPr>
          <w:b/>
        </w:rPr>
        <w:t xml:space="preserve">Navigation: </w:t>
      </w:r>
      <w:r>
        <w:t>Stack Monitoring → Nodes / Indices; Cloud console → Elasticsearch topology / autoscaling</w:t>
      </w:r>
    </w:p>
    <w:p>
      <w:pPr>
        <w:widowControl w:val="1"/>
      </w:pPr>
      <w:r>
        <w:rPr>
          <w:b/>
        </w:rPr>
        <w:t>Verification steps:</w:t>
      </w:r>
      <w:r/>
    </w:p>
    <w:p>
      <w:pPr>
        <w:widowControl w:val="1"/>
        <w:spacing w:after="56"/>
        <w:ind w:left="317" w:hanging="210"/>
      </w:pPr>
      <w:r>
        <w:t>1.  Review used/free storage per hot and warm tier, not only overall cluster average.</w:t>
      </w:r>
    </w:p>
    <w:p>
      <w:pPr>
        <w:widowControl w:val="1"/>
        <w:spacing w:after="56"/>
        <w:ind w:left="317" w:hanging="210"/>
      </w:pPr>
      <w:r>
        <w:t>2.  Identify largest indices/data streams and unexpected daily growth.</w:t>
      </w:r>
    </w:p>
    <w:p>
      <w:pPr>
        <w:widowControl w:val="1"/>
        <w:spacing w:after="56"/>
        <w:ind w:left="317" w:hanging="210"/>
      </w:pPr>
      <w:r>
        <w:t>3.  Check whether Elastic autoscaling is available/enabled and whether its maximum limit leaves enough capacity.</w:t>
      </w:r>
    </w:p>
    <w:p>
      <w:pPr>
        <w:widowControl w:val="1"/>
      </w:pPr>
      <w:r>
        <w:rPr>
          <w:b/>
        </w:rPr>
        <w:t xml:space="preserve">Expected outcome: </w:t>
      </w:r>
      <w:r>
        <w:t>Comfortable headroom below configured Elasticsearch disk watermarks, with no write blocks or unexplained growth.</w:t>
      </w:r>
    </w:p>
    <w:p>
      <w:pPr>
        <w:widowControl w:val="1"/>
      </w:pPr>
      <w:r>
        <w:rPr>
          <w:b/>
        </w:rPr>
        <w:t xml:space="preserve">If not OK: </w:t>
      </w:r>
      <w:r>
        <w:t>At internal warning threshold, forecast and raise capacity action; at imminent/high watermark risk, follow IR02 and escalate. Do not delete indices ad hoc.</w:t>
      </w:r>
    </w:p>
    <w:p>
      <w:pPr>
        <w:pStyle w:val="SmallGray"/>
        <w:widowControl w:val="1"/>
      </w:pPr>
      <w:r>
        <w:t>Owner: Cloud Operations  |  Evidence: Per-tier headroom, largest indices and forecast</w:t>
      </w:r>
    </w:p>
    <w:p>
      <w:pPr>
        <w:pStyle w:val="Heading3"/>
        <w:widowControl w:val="1"/>
      </w:pPr>
      <w:r>
        <w:t>D06 Ingestion rate and data freshness</w:t>
      </w:r>
    </w:p>
    <w:p>
      <w:pPr>
        <w:widowControl w:val="1"/>
      </w:pPr>
      <w:r>
        <w:t>Why it matters: Incoming records can stop even when Elasticsearch is healthy.</w:t>
      </w:r>
    </w:p>
    <w:p>
      <w:pPr>
        <w:widowControl w:val="1"/>
      </w:pPr>
      <w:r>
        <w:rPr>
          <w:b/>
        </w:rPr>
        <w:t xml:space="preserve">Navigation: </w:t>
      </w:r>
      <w:r>
        <w:t>Stack Monitoring → Indexing; Discover → critical service data views</w:t>
      </w:r>
    </w:p>
    <w:p>
      <w:pPr>
        <w:widowControl w:val="1"/>
      </w:pPr>
      <w:r>
        <w:rPr>
          <w:b/>
        </w:rPr>
        <w:t>Verification steps:</w:t>
      </w:r>
      <w:r/>
    </w:p>
    <w:p>
      <w:pPr>
        <w:widowControl w:val="1"/>
        <w:spacing w:after="56"/>
        <w:ind w:left="317" w:hanging="210"/>
      </w:pPr>
      <w:r>
        <w:t>1.  Compare index rate with normal baseline for the hour/day and watch for sudden drops or spikes.</w:t>
      </w:r>
    </w:p>
    <w:p>
      <w:pPr>
        <w:widowControl w:val="1"/>
        <w:spacing w:after="56"/>
        <w:ind w:left="317" w:hanging="210"/>
      </w:pPr>
      <w:r>
        <w:t>2.  Check latest event ingestion time and @timestamp for each critical service.</w:t>
      </w:r>
    </w:p>
    <w:p>
      <w:pPr>
        <w:widowControl w:val="1"/>
        <w:spacing w:after="56"/>
        <w:ind w:left="317" w:hanging="210"/>
      </w:pPr>
      <w:r>
        <w:t>3.  Validate source count against the approved monitoring inventory and alert thresholds.</w:t>
      </w:r>
    </w:p>
    <w:p>
      <w:pPr>
        <w:widowControl w:val="1"/>
        <w:spacing w:after="56"/>
        <w:ind w:left="317" w:hanging="210"/>
      </w:pPr>
      <w:r>
        <w:t>4.  If data is missing, determine whether it is a source outage, agent fault, pipeline issue, timestamp issue or permissions problem.</w:t>
      </w:r>
    </w:p>
    <w:p>
      <w:pPr>
        <w:widowControl w:val="1"/>
      </w:pPr>
      <w:r>
        <w:rPr>
          <w:b/>
        </w:rPr>
        <w:t xml:space="preserve">Expected outcome: </w:t>
      </w:r>
      <w:r>
        <w:t>Critical data streams receive expected records within defined freshness SLA; no unexplained gaps or mapping errors.</w:t>
      </w:r>
    </w:p>
    <w:p>
      <w:pPr>
        <w:widowControl w:val="1"/>
      </w:pPr>
      <w:r>
        <w:rPr>
          <w:b/>
        </w:rPr>
        <w:t xml:space="preserve">If not OK: </w:t>
      </w:r>
      <w:r>
        <w:t>Follow IR04/IR06 and involve the source-owning team. Capture first/last successful timestamps.</w:t>
      </w:r>
    </w:p>
    <w:p>
      <w:pPr>
        <w:pStyle w:val="SmallGray"/>
        <w:widowControl w:val="1"/>
      </w:pPr>
      <w:r>
        <w:t>Owner: Observability Operations / Application owners  |  Evidence: Missing data list, counts, timestamps, source owner</w:t>
      </w:r>
    </w:p>
    <w:p>
      <w:pPr>
        <w:pStyle w:val="Heading3"/>
        <w:widowControl w:val="1"/>
      </w:pPr>
      <w:r>
        <w:t>D07 Snapshot and recovery readiness</w:t>
      </w:r>
    </w:p>
    <w:p>
      <w:pPr>
        <w:widowControl w:val="1"/>
      </w:pPr>
      <w:r>
        <w:t>Why it matters: Snapshots preserve recoverable copies of eligible Elasticsearch data and metadata, subject to policy/compatibility.</w:t>
      </w:r>
    </w:p>
    <w:p>
      <w:pPr>
        <w:widowControl w:val="1"/>
      </w:pPr>
      <w:r>
        <w:rPr>
          <w:b/>
        </w:rPr>
        <w:t xml:space="preserve">Navigation: </w:t>
      </w:r>
      <w:r>
        <w:t>Kibana → Stack Management → Snapshot and Restore / Cloud console snapshot area</w:t>
      </w:r>
    </w:p>
    <w:p>
      <w:pPr>
        <w:widowControl w:val="1"/>
      </w:pPr>
      <w:r>
        <w:rPr>
          <w:b/>
        </w:rPr>
        <w:t>Verification steps:</w:t>
      </w:r>
      <w:r/>
    </w:p>
    <w:p>
      <w:pPr>
        <w:widowControl w:val="1"/>
        <w:spacing w:after="56"/>
        <w:ind w:left="317" w:hanging="210"/>
      </w:pPr>
      <w:r>
        <w:t>1.  Review latest successful snapshot and last failed operation.</w:t>
      </w:r>
    </w:p>
    <w:p>
      <w:pPr>
        <w:widowControl w:val="1"/>
        <w:spacing w:after="56"/>
        <w:ind w:left="317" w:hanging="210"/>
      </w:pPr>
      <w:r>
        <w:t>2.  Inspect SLM policy history, repository health and expected cadence/retention.</w:t>
      </w:r>
    </w:p>
    <w:p>
      <w:pPr>
        <w:widowControl w:val="1"/>
        <w:spacing w:after="56"/>
        <w:ind w:left="317" w:hanging="210"/>
      </w:pPr>
      <w:r>
        <w:t>3.  Confirm any recent deployment change has a recoverable snapshot checkpoint.</w:t>
      </w:r>
    </w:p>
    <w:p>
      <w:pPr>
        <w:widowControl w:val="1"/>
      </w:pPr>
      <w:r>
        <w:rPr>
          <w:b/>
        </w:rPr>
        <w:t xml:space="preserve">Expected outcome: </w:t>
      </w:r>
      <w:r>
        <w:t>Recent successful snapshot within approved RPO and no unresolved backup failures.</w:t>
      </w:r>
    </w:p>
    <w:p>
      <w:pPr>
        <w:widowControl w:val="1"/>
      </w:pPr>
      <w:r>
        <w:rPr>
          <w:b/>
        </w:rPr>
        <w:t xml:space="preserve">If not OK: </w:t>
      </w:r>
      <w:r>
        <w:t>Open incident/change task for stale/failed backup; investigate repository/policy; do not delete managed snapshots. Follow section 10.</w:t>
      </w:r>
    </w:p>
    <w:p>
      <w:pPr>
        <w:pStyle w:val="SmallGray"/>
        <w:widowControl w:val="1"/>
      </w:pPr>
      <w:r>
        <w:t>Owner: Cloud Operations  |  Evidence: Latest completed snapshot time, failed snapshot count</w:t>
      </w:r>
    </w:p>
    <w:p>
      <w:pPr>
        <w:pStyle w:val="Heading3"/>
        <w:widowControl w:val="1"/>
      </w:pPr>
      <w:r>
        <w:t>D08 ILM, retention and data tier movement</w:t>
      </w:r>
    </w:p>
    <w:p>
      <w:pPr>
        <w:widowControl w:val="1"/>
      </w:pPr>
      <w:r>
        <w:t>Why it matters: Lifecycle rules keep old data from filling fast storage and remove it when policy allows.</w:t>
      </w:r>
    </w:p>
    <w:p>
      <w:pPr>
        <w:widowControl w:val="1"/>
      </w:pPr>
      <w:r>
        <w:rPr>
          <w:b/>
        </w:rPr>
        <w:t xml:space="preserve">Navigation: </w:t>
      </w:r>
      <w:r>
        <w:t>Kibana → Stack Management → Index Lifecycle Policies / Data Streams; Dev Tools → _ilm/explain</w:t>
      </w:r>
    </w:p>
    <w:p>
      <w:pPr>
        <w:widowControl w:val="1"/>
      </w:pPr>
      <w:r>
        <w:rPr>
          <w:b/>
        </w:rPr>
        <w:t>Verification steps:</w:t>
      </w:r>
      <w:r/>
    </w:p>
    <w:p>
      <w:pPr>
        <w:widowControl w:val="1"/>
        <w:spacing w:after="56"/>
        <w:ind w:left="317" w:hanging="210"/>
      </w:pPr>
      <w:r>
        <w:t>1.  Review any ILM indices reporting ERROR and identify stuck phase/action.</w:t>
      </w:r>
    </w:p>
    <w:p>
      <w:pPr>
        <w:widowControl w:val="1"/>
        <w:spacing w:after="56"/>
        <w:ind w:left="317" w:hanging="210"/>
      </w:pPr>
      <w:r>
        <w:t>2.  Check expected rollover/age/size and hot/warm placement of representative critical streams.</w:t>
      </w:r>
    </w:p>
    <w:p>
      <w:pPr>
        <w:widowControl w:val="1"/>
        <w:spacing w:after="56"/>
        <w:ind w:left="317" w:hanging="210"/>
      </w:pPr>
      <w:r>
        <w:t>3.  Verify aged data is not held beyond the approved retention or prematurely deleted.</w:t>
      </w:r>
    </w:p>
    <w:p>
      <w:pPr>
        <w:widowControl w:val="1"/>
      </w:pPr>
      <w:r>
        <w:rPr>
          <w:b/>
        </w:rPr>
        <w:t xml:space="preserve">Expected outcome: </w:t>
      </w:r>
      <w:r>
        <w:t>Indices/data streams progress under their assigned lifecycle mechanism; no persistent policy errors.</w:t>
      </w:r>
    </w:p>
    <w:p>
      <w:pPr>
        <w:widowControl w:val="1"/>
      </w:pPr>
      <w:r>
        <w:rPr>
          <w:b/>
        </w:rPr>
        <w:t xml:space="preserve">If not OK: </w:t>
      </w:r>
      <w:r>
        <w:t>Follow IR02 or IR07. Verify whether a stream uses ILM or a different data lifecycle mechanism before changing policy.</w:t>
      </w:r>
    </w:p>
    <w:p>
      <w:pPr>
        <w:pStyle w:val="SmallGray"/>
        <w:widowControl w:val="1"/>
      </w:pPr>
      <w:r>
        <w:t>Owner: Cloud Operations / Data governance  |  Evidence: Error phase/step, policy name, retention impact</w:t>
      </w:r>
    </w:p>
    <w:p>
      <w:pPr>
        <w:pStyle w:val="Heading3"/>
        <w:widowControl w:val="1"/>
      </w:pPr>
      <w:r>
        <w:t>D09 Fleet and Elastic Agent status</w:t>
      </w:r>
    </w:p>
    <w:p>
      <w:pPr>
        <w:widowControl w:val="1"/>
      </w:pPr>
      <w:r>
        <w:t>Why it matters: Fleet shows the collection software connected to hosts; unhealthy/offline collectors can lead to silent monitoring gaps.</w:t>
      </w:r>
    </w:p>
    <w:p>
      <w:pPr>
        <w:widowControl w:val="1"/>
      </w:pPr>
      <w:r>
        <w:rPr>
          <w:b/>
        </w:rPr>
        <w:t xml:space="preserve">Navigation: </w:t>
      </w:r>
      <w:r>
        <w:t>Kibana → Fleet → Agents</w:t>
      </w:r>
    </w:p>
    <w:p>
      <w:pPr>
        <w:widowControl w:val="1"/>
      </w:pPr>
      <w:r>
        <w:rPr>
          <w:b/>
        </w:rPr>
        <w:t>Verification steps:</w:t>
      </w:r>
      <w:r/>
    </w:p>
    <w:p>
      <w:pPr>
        <w:widowControl w:val="1"/>
        <w:spacing w:after="56"/>
        <w:ind w:left="317" w:hanging="210"/>
      </w:pPr>
      <w:r>
        <w:t>1.  Filter by Unhealthy, Offline, Inactive and Updating; compare with yesterday and the approved inventory.</w:t>
      </w:r>
    </w:p>
    <w:p>
      <w:pPr>
        <w:widowControl w:val="1"/>
        <w:spacing w:after="56"/>
        <w:ind w:left="317" w:hanging="210"/>
      </w:pPr>
      <w:r>
        <w:t>2.  Check last check-in, operating system, agent version and assigned policy for affected business-critical hosts.</w:t>
      </w:r>
    </w:p>
    <w:p>
      <w:pPr>
        <w:widowControl w:val="1"/>
        <w:spacing w:after="56"/>
        <w:ind w:left="317" w:hanging="210"/>
      </w:pPr>
      <w:r>
        <w:t>3.  Open agent detail for underlying component/error messages; confirm decommissioned hosts are excluded.</w:t>
      </w:r>
    </w:p>
    <w:p>
      <w:pPr>
        <w:widowControl w:val="1"/>
      </w:pPr>
      <w:r>
        <w:rPr>
          <w:b/>
        </w:rPr>
        <w:t xml:space="preserve">Expected outcome: </w:t>
      </w:r>
      <w:r>
        <w:t>Business-critical agents Healthy and checking in; exceptions have an owner and ticket.</w:t>
      </w:r>
    </w:p>
    <w:p>
      <w:pPr>
        <w:widowControl w:val="1"/>
      </w:pPr>
      <w:r>
        <w:rPr>
          <w:b/>
        </w:rPr>
        <w:t xml:space="preserve">If not OK: </w:t>
      </w:r>
      <w:r>
        <w:t>Use IR05. Do not bulk-unenroll or force-upgrade agents without change control.</w:t>
      </w:r>
    </w:p>
    <w:p>
      <w:pPr>
        <w:pStyle w:val="SmallGray"/>
        <w:widowControl w:val="1"/>
      </w:pPr>
      <w:r>
        <w:t>Owner: Observability Operations / Host owners  |  Evidence: Agent status counts and exception list</w:t>
      </w:r>
    </w:p>
    <w:p>
      <w:pPr>
        <w:pStyle w:val="Heading3"/>
        <w:widowControl w:val="1"/>
      </w:pPr>
      <w:r>
        <w:t>D10 Beats and Logstash processing health</w:t>
      </w:r>
    </w:p>
    <w:p>
      <w:pPr>
        <w:widowControl w:val="1"/>
      </w:pPr>
      <w:r>
        <w:t>Why it matters: Beats are log/metric collectors; Logstash may transform and route data. Failures can disrupt only certain sources.</w:t>
      </w:r>
    </w:p>
    <w:p>
      <w:pPr>
        <w:widowControl w:val="1"/>
      </w:pPr>
      <w:r>
        <w:rPr>
          <w:b/>
        </w:rPr>
        <w:t xml:space="preserve">Navigation: </w:t>
      </w:r>
      <w:r>
        <w:t>Stack Monitoring → Beats / Logstash (if configured); pipeline and host logs</w:t>
      </w:r>
    </w:p>
    <w:p>
      <w:pPr>
        <w:widowControl w:val="1"/>
      </w:pPr>
      <w:r>
        <w:rPr>
          <w:b/>
        </w:rPr>
        <w:t>Verification steps:</w:t>
      </w:r>
      <w:r/>
    </w:p>
    <w:p>
      <w:pPr>
        <w:widowControl w:val="1"/>
        <w:spacing w:after="56"/>
        <w:ind w:left="317" w:hanging="210"/>
      </w:pPr>
      <w:r>
        <w:t>1.  Check monitored Filebeat/Metricbeat instances, restarts, output errors and newest event delivery.</w:t>
      </w:r>
    </w:p>
    <w:p>
      <w:pPr>
        <w:widowControl w:val="1"/>
        <w:spacing w:after="56"/>
        <w:ind w:left="317" w:hanging="210"/>
      </w:pPr>
      <w:r>
        <w:t>2.  Check Logstash pipeline throughput, worker errors, back-pressure and queue size where Logstash is actually in use.</w:t>
      </w:r>
    </w:p>
    <w:p>
      <w:pPr>
        <w:widowControl w:val="1"/>
        <w:spacing w:after="56"/>
        <w:ind w:left="317" w:hanging="210"/>
      </w:pPr>
      <w:r>
        <w:t>3.  Cross-check representative source events in Discover and compare against baseline volumes.</w:t>
      </w:r>
    </w:p>
    <w:p>
      <w:pPr>
        <w:widowControl w:val="1"/>
      </w:pPr>
      <w:r>
        <w:rPr>
          <w:b/>
        </w:rPr>
        <w:t xml:space="preserve">Expected outcome: </w:t>
      </w:r>
      <w:r>
        <w:t>Configured collectors/pipelines run normally; no unresolved output failures, growing queues or persistent mapping errors.</w:t>
      </w:r>
    </w:p>
    <w:p>
      <w:pPr>
        <w:widowControl w:val="1"/>
      </w:pPr>
      <w:r>
        <w:rPr>
          <w:b/>
        </w:rPr>
        <w:t xml:space="preserve">If not OK: </w:t>
      </w:r>
      <w:r>
        <w:t>Follow IR06. If Logstash/Beats is not deployed for a service, record N/A and document its ingestion route.</w:t>
      </w:r>
    </w:p>
    <w:p>
      <w:pPr>
        <w:pStyle w:val="SmallGray"/>
        <w:widowControl w:val="1"/>
      </w:pPr>
      <w:r>
        <w:t>Owner: Observability Operations / Platform and host owners  |  Evidence: Pipeline rates, agent/Beat status and error examples</w:t>
      </w:r>
    </w:p>
    <w:p>
      <w:pPr>
        <w:pStyle w:val="Heading3"/>
        <w:widowControl w:val="1"/>
      </w:pPr>
      <w:r>
        <w:t>D11 APM, synthetics and application availability</w:t>
      </w:r>
    </w:p>
    <w:p>
      <w:pPr>
        <w:widowControl w:val="1"/>
      </w:pPr>
      <w:r>
        <w:t>Why it matters: APM tracks application transactions, while synthetics tests whether an endpoint works from a monitoring location.</w:t>
      </w:r>
    </w:p>
    <w:p>
      <w:pPr>
        <w:widowControl w:val="1"/>
      </w:pPr>
      <w:r>
        <w:rPr>
          <w:b/>
        </w:rPr>
        <w:t xml:space="preserve">Navigation: </w:t>
      </w:r>
      <w:r>
        <w:t>Kibana → Observability → APM / Services; Synthetics → Monitors</w:t>
      </w:r>
    </w:p>
    <w:p>
      <w:pPr>
        <w:widowControl w:val="1"/>
      </w:pPr>
      <w:r>
        <w:rPr>
          <w:b/>
        </w:rPr>
        <w:t>Verification steps:</w:t>
      </w:r>
      <w:r/>
    </w:p>
    <w:p>
      <w:pPr>
        <w:widowControl w:val="1"/>
        <w:spacing w:after="56"/>
        <w:ind w:left="317" w:hanging="210"/>
      </w:pPr>
      <w:r>
        <w:t>1.  Confirm critical applications appear within the correct time range and environment.</w:t>
      </w:r>
    </w:p>
    <w:p>
      <w:pPr>
        <w:widowControl w:val="1"/>
        <w:spacing w:after="56"/>
        <w:ind w:left="317" w:hanging="210"/>
      </w:pPr>
      <w:r>
        <w:t>2.  Inspect latency, throughput and error-rate changes; identify services with missing traces.</w:t>
      </w:r>
    </w:p>
    <w:p>
      <w:pPr>
        <w:widowControl w:val="1"/>
        <w:spacing w:after="56"/>
        <w:ind w:left="317" w:hanging="210"/>
      </w:pPr>
      <w:r>
        <w:t>3.  Review failed, disabled or stale synthetic checks, their testing locations and response errors.</w:t>
      </w:r>
    </w:p>
    <w:p>
      <w:pPr>
        <w:widowControl w:val="1"/>
        <w:spacing w:after="56"/>
        <w:ind w:left="317" w:hanging="210"/>
      </w:pPr>
      <w:r>
        <w:t>4.  Escalate application failures to service owners; separate application outage from observability-data collection failure.</w:t>
      </w:r>
    </w:p>
    <w:p>
      <w:pPr>
        <w:widowControl w:val="1"/>
      </w:pPr>
      <w:r>
        <w:rPr>
          <w:b/>
        </w:rPr>
        <w:t xml:space="preserve">Expected outcome: </w:t>
      </w:r>
      <w:r>
        <w:t>Expected applications reporting; latency/error trends within SLO; critical synthetics enabled and passing.</w:t>
      </w:r>
    </w:p>
    <w:p>
      <w:pPr>
        <w:widowControl w:val="1"/>
      </w:pPr>
      <w:r>
        <w:rPr>
          <w:b/>
        </w:rPr>
        <w:t xml:space="preserve">If not OK: </w:t>
      </w:r>
      <w:r>
        <w:t>Follow IR08; validate whether the service is truly down or only telemetry is missing.</w:t>
      </w:r>
    </w:p>
    <w:p>
      <w:pPr>
        <w:pStyle w:val="SmallGray"/>
        <w:widowControl w:val="1"/>
      </w:pPr>
      <w:r>
        <w:t>Owner: Application owners / Observability Operations  |  Evidence: Service inventory, latency/error chart, monitor result</w:t>
      </w:r>
    </w:p>
    <w:p>
      <w:pPr>
        <w:pStyle w:val="Heading3"/>
        <w:widowControl w:val="1"/>
      </w:pPr>
      <w:r>
        <w:t>D12 Alert rule and notification health</w:t>
      </w:r>
    </w:p>
    <w:p>
      <w:pPr>
        <w:widowControl w:val="1"/>
      </w:pPr>
      <w:r>
        <w:t>Why it matters: A monitoring platform is less useful if its warnings never reach responders.</w:t>
      </w:r>
    </w:p>
    <w:p>
      <w:pPr>
        <w:widowControl w:val="1"/>
      </w:pPr>
      <w:r>
        <w:rPr>
          <w:b/>
        </w:rPr>
        <w:t xml:space="preserve">Navigation: </w:t>
      </w:r>
      <w:r>
        <w:t>Kibana → Stack Management → Rules / Connectors / Alerts; incident tool</w:t>
      </w:r>
    </w:p>
    <w:p>
      <w:pPr>
        <w:widowControl w:val="1"/>
      </w:pPr>
      <w:r>
        <w:rPr>
          <w:b/>
        </w:rPr>
        <w:t>Verification steps:</w:t>
      </w:r>
      <w:r/>
    </w:p>
    <w:p>
      <w:pPr>
        <w:widowControl w:val="1"/>
        <w:spacing w:after="56"/>
        <w:ind w:left="317" w:hanging="210"/>
      </w:pPr>
      <w:r>
        <w:t>1.  Review active critical alerts, rule execution errors and suppressed or disabled rules.</w:t>
      </w:r>
    </w:p>
    <w:p>
      <w:pPr>
        <w:widowControl w:val="1"/>
        <w:spacing w:after="56"/>
        <w:ind w:left="317" w:hanging="210"/>
      </w:pPr>
      <w:r>
        <w:t>2.  Check connector delivery failures and routing to approved support channels.</w:t>
      </w:r>
    </w:p>
    <w:p>
      <w:pPr>
        <w:widowControl w:val="1"/>
        <w:spacing w:after="56"/>
        <w:ind w:left="317" w:hanging="210"/>
      </w:pPr>
      <w:r>
        <w:t>3.  Confirm alerts have acknowledged owners and tickets; identify repeated false positives.</w:t>
      </w:r>
    </w:p>
    <w:p>
      <w:pPr>
        <w:widowControl w:val="1"/>
        <w:spacing w:after="56"/>
        <w:ind w:left="317" w:hanging="210"/>
      </w:pPr>
      <w:r>
        <w:t>4.  Review silences/maintenance windows for unexpected or expired exclusions.</w:t>
      </w:r>
    </w:p>
    <w:p>
      <w:pPr>
        <w:widowControl w:val="1"/>
      </w:pPr>
      <w:r>
        <w:rPr>
          <w:b/>
        </w:rPr>
        <w:t xml:space="preserve">Expected outcome: </w:t>
      </w:r>
      <w:r>
        <w:t>Critical rules execute, deliver to correct responders and have an explicit owner and action.</w:t>
      </w:r>
    </w:p>
    <w:p>
      <w:pPr>
        <w:widowControl w:val="1"/>
      </w:pPr>
      <w:r>
        <w:rPr>
          <w:b/>
        </w:rPr>
        <w:t xml:space="preserve">If not OK: </w:t>
      </w:r>
      <w:r>
        <w:t>Follow IR09; use alternate incident communications if notifications fail.</w:t>
      </w:r>
    </w:p>
    <w:p>
      <w:pPr>
        <w:pStyle w:val="SmallGray"/>
        <w:widowControl w:val="1"/>
      </w:pPr>
      <w:r>
        <w:t>Owner: Observability Operations / Service desk  |  Evidence: Failed rules/connector list and actions taken</w:t>
      </w:r>
    </w:p>
    <w:p>
      <w:pPr>
        <w:pStyle w:val="Heading1"/>
        <w:widowControl w:val="1"/>
      </w:pPr>
      <w:r>
        <w:t>7. Preventive maintenance by frequency</w:t>
      </w:r>
    </w:p>
    <w:p>
      <w:pPr>
        <w:pStyle w:val="Heading2"/>
        <w:widowControl w:val="1"/>
      </w:pPr>
      <w:r>
        <w:t>7.1 Weekly: detailed review</w:t>
      </w:r>
    </w:p>
    <w:tbl>
      <w:tblPr>
        <w:tblStyle w:val="TableGrid"/>
        <w:tblW w:type="auto" w:w="0"/>
        <w:jc w:val="center"/>
        <w:tblLayout w:type="fixed"/>
        <w:tblLook w:firstColumn="1" w:firstRow="1" w:lastColumn="0" w:lastRow="0" w:noHBand="0" w:noVBand="1" w:val="04A0"/>
      </w:tblPr>
      <w:tblGrid>
        <w:gridCol w:w="3184"/>
        <w:gridCol w:w="3184"/>
        <w:gridCol w:w="3184"/>
      </w:tblGrid>
      <w:tr>
        <w:trPr>
          <w:tblHeader w:val="true"/>
        </w:trPr>
        <w:tc>
          <w:tcPr>
            <w:tcW w:type="dxa" w:w="1871"/>
            <w:shd w:fill="15456B"/>
            <w:tcMar>
              <w:top w:w="85" w:type="dxa"/>
              <w:start w:w="90" w:type="dxa"/>
              <w:bottom w:w="85" w:type="dxa"/>
              <w:end w:w="90" w:type="dxa"/>
            </w:tcMar>
          </w:tcPr>
          <w:p>
            <w:pPr>
              <w:spacing w:after="0"/>
            </w:pPr>
            <w:r>
              <w:rPr>
                <w:b/>
                <w:color w:val="FFFFFF"/>
                <w:sz w:val="16"/>
              </w:rPr>
              <w:t>Control</w:t>
            </w:r>
          </w:p>
        </w:tc>
        <w:tc>
          <w:tcPr>
            <w:tcW w:type="dxa" w:w="5386"/>
            <w:shd w:fill="15456B"/>
            <w:tcMar>
              <w:top w:w="85" w:type="dxa"/>
              <w:start w:w="90" w:type="dxa"/>
              <w:bottom w:w="85" w:type="dxa"/>
              <w:end w:w="90" w:type="dxa"/>
            </w:tcMar>
          </w:tcPr>
          <w:p>
            <w:pPr>
              <w:spacing w:after="0"/>
            </w:pPr>
            <w:r>
              <w:rPr>
                <w:b/>
                <w:color w:val="FFFFFF"/>
                <w:sz w:val="16"/>
              </w:rPr>
              <w:t>Actions and what to record</w:t>
            </w:r>
          </w:p>
        </w:tc>
        <w:tc>
          <w:tcPr>
            <w:tcW w:type="dxa" w:w="2154"/>
            <w:shd w:fill="15456B"/>
            <w:tcMar>
              <w:top w:w="85" w:type="dxa"/>
              <w:start w:w="90" w:type="dxa"/>
              <w:bottom w:w="85" w:type="dxa"/>
              <w:end w:w="90" w:type="dxa"/>
            </w:tcMar>
          </w:tcPr>
          <w:p>
            <w:pPr>
              <w:spacing w:after="0"/>
            </w:pPr>
            <w:r>
              <w:rPr>
                <w:b/>
                <w:color w:val="FFFFFF"/>
                <w:sz w:val="16"/>
              </w:rPr>
              <w:t>Passing result</w:t>
            </w:r>
          </w:p>
        </w:tc>
      </w:tr>
      <w:tr>
        <w:tc>
          <w:tcPr>
            <w:tcW w:type="dxa" w:w="1871"/>
            <w:vAlign w:val="center"/>
            <w:tcMar>
              <w:top w:w="85" w:type="dxa"/>
              <w:start w:w="90" w:type="dxa"/>
              <w:bottom w:w="85" w:type="dxa"/>
              <w:end w:w="90" w:type="dxa"/>
            </w:tcMar>
          </w:tcPr>
          <w:p>
            <w:pPr>
              <w:spacing w:after="0" w:line="257" w:lineRule="auto"/>
            </w:pPr>
            <w:r>
              <w:rPr>
                <w:sz w:val="16"/>
              </w:rPr>
              <w:t>W01 Agent/Beat hygiene</w:t>
            </w:r>
          </w:p>
        </w:tc>
        <w:tc>
          <w:tcPr>
            <w:tcW w:type="dxa" w:w="5386"/>
            <w:vAlign w:val="center"/>
            <w:tcMar>
              <w:top w:w="85" w:type="dxa"/>
              <w:start w:w="90" w:type="dxa"/>
              <w:bottom w:w="85" w:type="dxa"/>
              <w:end w:w="90" w:type="dxa"/>
            </w:tcMar>
          </w:tcPr>
          <w:p>
            <w:pPr>
              <w:spacing w:after="0" w:line="257" w:lineRule="auto"/>
            </w:pPr>
            <w:r>
              <w:rPr>
                <w:sz w:val="16"/>
              </w:rPr>
              <w:t>Compare offline/unhealthy/inactive agent counts by team, review outdated versions and policy drift; identify retired assets</w:t>
            </w:r>
          </w:p>
        </w:tc>
        <w:tc>
          <w:tcPr>
            <w:tcW w:type="dxa" w:w="2154"/>
            <w:vAlign w:val="center"/>
            <w:tcMar>
              <w:top w:w="85" w:type="dxa"/>
              <w:start w:w="90" w:type="dxa"/>
              <w:bottom w:w="85" w:type="dxa"/>
              <w:end w:w="90" w:type="dxa"/>
            </w:tcMar>
          </w:tcPr>
          <w:p>
            <w:pPr>
              <w:spacing w:after="0" w:line="257" w:lineRule="auto"/>
            </w:pPr>
            <w:r>
              <w:rPr>
                <w:sz w:val="16"/>
              </w:rPr>
              <w:t>All material exceptions assigned</w:t>
            </w:r>
          </w:p>
        </w:tc>
      </w:tr>
      <w:tr>
        <w:tc>
          <w:tcPr>
            <w:tcW w:type="dxa" w:w="1871"/>
            <w:vAlign w:val="center"/>
            <w:tcMar>
              <w:top w:w="85" w:type="dxa"/>
              <w:start w:w="90" w:type="dxa"/>
              <w:bottom w:w="85" w:type="dxa"/>
              <w:end w:w="90" w:type="dxa"/>
            </w:tcMar>
            <w:shd w:fill="F0F5F7"/>
          </w:tcPr>
          <w:p>
            <w:pPr>
              <w:spacing w:after="0" w:line="257" w:lineRule="auto"/>
            </w:pPr>
            <w:r>
              <w:rPr>
                <w:sz w:val="16"/>
              </w:rPr>
              <w:t>W02 Pipeline quality</w:t>
            </w:r>
          </w:p>
        </w:tc>
        <w:tc>
          <w:tcPr>
            <w:tcW w:type="dxa" w:w="5386"/>
            <w:vAlign w:val="center"/>
            <w:tcMar>
              <w:top w:w="85" w:type="dxa"/>
              <w:start w:w="90" w:type="dxa"/>
              <w:bottom w:w="85" w:type="dxa"/>
              <w:end w:w="90" w:type="dxa"/>
            </w:tcMar>
            <w:shd w:fill="F0F5F7"/>
          </w:tcPr>
          <w:p>
            <w:pPr>
              <w:spacing w:after="0" w:line="257" w:lineRule="auto"/>
            </w:pPr>
            <w:r>
              <w:rPr>
                <w:sz w:val="16"/>
              </w:rPr>
              <w:t>Review Logstash event rates, dropped/failed records, ingest processor failures, DLQ/PQ if configured, and last seven days of errors</w:t>
            </w:r>
          </w:p>
        </w:tc>
        <w:tc>
          <w:tcPr>
            <w:tcW w:type="dxa" w:w="2154"/>
            <w:vAlign w:val="center"/>
            <w:tcMar>
              <w:top w:w="85" w:type="dxa"/>
              <w:start w:w="90" w:type="dxa"/>
              <w:bottom w:w="85" w:type="dxa"/>
              <w:end w:w="90" w:type="dxa"/>
            </w:tcMar>
            <w:shd w:fill="F0F5F7"/>
          </w:tcPr>
          <w:p>
            <w:pPr>
              <w:spacing w:after="0" w:line="257" w:lineRule="auto"/>
            </w:pPr>
            <w:r>
              <w:rPr>
                <w:sz w:val="16"/>
              </w:rPr>
              <w:t>No unowned growing failure trend</w:t>
            </w:r>
          </w:p>
        </w:tc>
      </w:tr>
      <w:tr>
        <w:tc>
          <w:tcPr>
            <w:tcW w:type="dxa" w:w="1871"/>
            <w:vAlign w:val="center"/>
            <w:tcMar>
              <w:top w:w="85" w:type="dxa"/>
              <w:start w:w="90" w:type="dxa"/>
              <w:bottom w:w="85" w:type="dxa"/>
              <w:end w:w="90" w:type="dxa"/>
            </w:tcMar>
          </w:tcPr>
          <w:p>
            <w:pPr>
              <w:spacing w:after="0" w:line="257" w:lineRule="auto"/>
            </w:pPr>
            <w:r>
              <w:rPr>
                <w:sz w:val="16"/>
              </w:rPr>
              <w:t>W03 Inventory and metadata</w:t>
            </w:r>
          </w:p>
        </w:tc>
        <w:tc>
          <w:tcPr>
            <w:tcW w:type="dxa" w:w="5386"/>
            <w:vAlign w:val="center"/>
            <w:tcMar>
              <w:top w:w="85" w:type="dxa"/>
              <w:start w:w="90" w:type="dxa"/>
              <w:bottom w:w="85" w:type="dxa"/>
              <w:end w:w="90" w:type="dxa"/>
            </w:tcMar>
          </w:tcPr>
          <w:p>
            <w:pPr>
              <w:spacing w:after="0" w:line="257" w:lineRule="auto"/>
            </w:pPr>
            <w:r>
              <w:rPr>
                <w:sz w:val="16"/>
              </w:rPr>
              <w:t>Sample important records for host.name, service.name, environment, team/owner tags and naming conventions</w:t>
            </w:r>
          </w:p>
        </w:tc>
        <w:tc>
          <w:tcPr>
            <w:tcW w:type="dxa" w:w="2154"/>
            <w:vAlign w:val="center"/>
            <w:tcMar>
              <w:top w:w="85" w:type="dxa"/>
              <w:start w:w="90" w:type="dxa"/>
              <w:bottom w:w="85" w:type="dxa"/>
              <w:end w:w="90" w:type="dxa"/>
            </w:tcMar>
          </w:tcPr>
          <w:p>
            <w:pPr>
              <w:spacing w:after="0" w:line="257" w:lineRule="auto"/>
            </w:pPr>
            <w:r>
              <w:rPr>
                <w:sz w:val="16"/>
              </w:rPr>
              <w:t>Required tags complete and consistent</w:t>
            </w:r>
          </w:p>
        </w:tc>
      </w:tr>
      <w:tr>
        <w:tc>
          <w:tcPr>
            <w:tcW w:type="dxa" w:w="1871"/>
            <w:vAlign w:val="center"/>
            <w:tcMar>
              <w:top w:w="85" w:type="dxa"/>
              <w:start w:w="90" w:type="dxa"/>
              <w:bottom w:w="85" w:type="dxa"/>
              <w:end w:w="90" w:type="dxa"/>
            </w:tcMar>
            <w:shd w:fill="F0F5F7"/>
          </w:tcPr>
          <w:p>
            <w:pPr>
              <w:spacing w:after="0" w:line="257" w:lineRule="auto"/>
            </w:pPr>
            <w:r>
              <w:rPr>
                <w:sz w:val="16"/>
              </w:rPr>
              <w:t>W04 Source data freshness</w:t>
            </w:r>
          </w:p>
        </w:tc>
        <w:tc>
          <w:tcPr>
            <w:tcW w:type="dxa" w:w="5386"/>
            <w:vAlign w:val="center"/>
            <w:tcMar>
              <w:top w:w="85" w:type="dxa"/>
              <w:start w:w="90" w:type="dxa"/>
              <w:bottom w:w="85" w:type="dxa"/>
              <w:end w:w="90" w:type="dxa"/>
            </w:tcMar>
            <w:shd w:fill="F0F5F7"/>
          </w:tcPr>
          <w:p>
            <w:pPr>
              <w:spacing w:after="0" w:line="257" w:lineRule="auto"/>
            </w:pPr>
            <w:r>
              <w:rPr>
                <w:sz w:val="16"/>
              </w:rPr>
              <w:t>Check each tier-1 source was seen within its SLA; distinguish expected quiet periods from gaps</w:t>
            </w:r>
          </w:p>
        </w:tc>
        <w:tc>
          <w:tcPr>
            <w:tcW w:type="dxa" w:w="2154"/>
            <w:vAlign w:val="center"/>
            <w:tcMar>
              <w:top w:w="85" w:type="dxa"/>
              <w:start w:w="90" w:type="dxa"/>
              <w:bottom w:w="85" w:type="dxa"/>
              <w:end w:w="90" w:type="dxa"/>
            </w:tcMar>
            <w:shd w:fill="F0F5F7"/>
          </w:tcPr>
          <w:p>
            <w:pPr>
              <w:spacing w:after="0" w:line="257" w:lineRule="auto"/>
            </w:pPr>
            <w:r>
              <w:rPr>
                <w:sz w:val="16"/>
              </w:rPr>
              <w:t>No unexplained critical gaps</w:t>
            </w:r>
          </w:p>
        </w:tc>
      </w:tr>
      <w:tr>
        <w:tc>
          <w:tcPr>
            <w:tcW w:type="dxa" w:w="1871"/>
            <w:vAlign w:val="center"/>
            <w:tcMar>
              <w:top w:w="85" w:type="dxa"/>
              <w:start w:w="90" w:type="dxa"/>
              <w:bottom w:w="85" w:type="dxa"/>
              <w:end w:w="90" w:type="dxa"/>
            </w:tcMar>
          </w:tcPr>
          <w:p>
            <w:pPr>
              <w:spacing w:after="0" w:line="257" w:lineRule="auto"/>
            </w:pPr>
            <w:r>
              <w:rPr>
                <w:sz w:val="16"/>
              </w:rPr>
              <w:t>W05 ILM/storage</w:t>
            </w:r>
          </w:p>
        </w:tc>
        <w:tc>
          <w:tcPr>
            <w:tcW w:type="dxa" w:w="5386"/>
            <w:vAlign w:val="center"/>
            <w:tcMar>
              <w:top w:w="85" w:type="dxa"/>
              <w:start w:w="90" w:type="dxa"/>
              <w:bottom w:w="85" w:type="dxa"/>
              <w:end w:w="90" w:type="dxa"/>
            </w:tcMar>
          </w:tcPr>
          <w:p>
            <w:pPr>
              <w:spacing w:after="0" w:line="257" w:lineRule="auto"/>
            </w:pPr>
            <w:r>
              <w:rPr>
                <w:sz w:val="16"/>
              </w:rPr>
              <w:t>Review rollover failures, stuck policies, large shards, unallocated shards and hot/warm efficiency</w:t>
            </w:r>
          </w:p>
        </w:tc>
        <w:tc>
          <w:tcPr>
            <w:tcW w:type="dxa" w:w="2154"/>
            <w:vAlign w:val="center"/>
            <w:tcMar>
              <w:top w:w="85" w:type="dxa"/>
              <w:start w:w="90" w:type="dxa"/>
              <w:bottom w:w="85" w:type="dxa"/>
              <w:end w:w="90" w:type="dxa"/>
            </w:tcMar>
          </w:tcPr>
          <w:p>
            <w:pPr>
              <w:spacing w:after="0" w:line="257" w:lineRule="auto"/>
            </w:pPr>
            <w:r>
              <w:rPr>
                <w:sz w:val="16"/>
              </w:rPr>
              <w:t>No unowned policy/storage risk</w:t>
            </w:r>
          </w:p>
        </w:tc>
      </w:tr>
      <w:tr>
        <w:tc>
          <w:tcPr>
            <w:tcW w:type="dxa" w:w="1871"/>
            <w:vAlign w:val="center"/>
            <w:tcMar>
              <w:top w:w="85" w:type="dxa"/>
              <w:start w:w="90" w:type="dxa"/>
              <w:bottom w:w="85" w:type="dxa"/>
              <w:end w:w="90" w:type="dxa"/>
            </w:tcMar>
            <w:shd w:fill="F0F5F7"/>
          </w:tcPr>
          <w:p>
            <w:pPr>
              <w:spacing w:after="0" w:line="257" w:lineRule="auto"/>
            </w:pPr>
            <w:r>
              <w:rPr>
                <w:sz w:val="16"/>
              </w:rPr>
              <w:t>W06 Alert effectiveness</w:t>
            </w:r>
          </w:p>
        </w:tc>
        <w:tc>
          <w:tcPr>
            <w:tcW w:type="dxa" w:w="5386"/>
            <w:vAlign w:val="center"/>
            <w:tcMar>
              <w:top w:w="85" w:type="dxa"/>
              <w:start w:w="90" w:type="dxa"/>
              <w:bottom w:w="85" w:type="dxa"/>
              <w:end w:w="90" w:type="dxa"/>
            </w:tcMar>
            <w:shd w:fill="F0F5F7"/>
          </w:tcPr>
          <w:p>
            <w:pPr>
              <w:spacing w:after="0" w:line="257" w:lineRule="auto"/>
            </w:pPr>
            <w:r>
              <w:rPr>
                <w:sz w:val="16"/>
              </w:rPr>
              <w:t>Review false positives, missed incidents, disabled rules, thresholds and contact accuracy</w:t>
            </w:r>
          </w:p>
        </w:tc>
        <w:tc>
          <w:tcPr>
            <w:tcW w:type="dxa" w:w="2154"/>
            <w:vAlign w:val="center"/>
            <w:tcMar>
              <w:top w:w="85" w:type="dxa"/>
              <w:start w:w="90" w:type="dxa"/>
              <w:bottom w:w="85" w:type="dxa"/>
              <w:end w:w="90" w:type="dxa"/>
            </w:tcMar>
            <w:shd w:fill="F0F5F7"/>
          </w:tcPr>
          <w:p>
            <w:pPr>
              <w:spacing w:after="0" w:line="257" w:lineRule="auto"/>
            </w:pPr>
            <w:r>
              <w:rPr>
                <w:sz w:val="16"/>
              </w:rPr>
              <w:t>Critical controls effective</w:t>
            </w:r>
          </w:p>
        </w:tc>
      </w:tr>
      <w:tr>
        <w:tc>
          <w:tcPr>
            <w:tcW w:type="dxa" w:w="1871"/>
            <w:vAlign w:val="center"/>
            <w:tcMar>
              <w:top w:w="85" w:type="dxa"/>
              <w:start w:w="90" w:type="dxa"/>
              <w:bottom w:w="85" w:type="dxa"/>
              <w:end w:w="90" w:type="dxa"/>
            </w:tcMar>
          </w:tcPr>
          <w:p>
            <w:pPr>
              <w:spacing w:after="0" w:line="257" w:lineRule="auto"/>
            </w:pPr>
            <w:r>
              <w:rPr>
                <w:sz w:val="16"/>
              </w:rPr>
              <w:t>W07 Change review</w:t>
            </w:r>
          </w:p>
        </w:tc>
        <w:tc>
          <w:tcPr>
            <w:tcW w:type="dxa" w:w="5386"/>
            <w:vAlign w:val="center"/>
            <w:tcMar>
              <w:top w:w="85" w:type="dxa"/>
              <w:start w:w="90" w:type="dxa"/>
              <w:bottom w:w="85" w:type="dxa"/>
              <w:end w:w="90" w:type="dxa"/>
            </w:tcMar>
          </w:tcPr>
          <w:p>
            <w:pPr>
              <w:spacing w:after="0" w:line="257" w:lineRule="auto"/>
            </w:pPr>
            <w:r>
              <w:rPr>
                <w:sz w:val="16"/>
              </w:rPr>
              <w:t>Correlate service changes with errors, version skew and new telemetry gaps</w:t>
            </w:r>
          </w:p>
        </w:tc>
        <w:tc>
          <w:tcPr>
            <w:tcW w:type="dxa" w:w="2154"/>
            <w:vAlign w:val="center"/>
            <w:tcMar>
              <w:top w:w="85" w:type="dxa"/>
              <w:start w:w="90" w:type="dxa"/>
              <w:bottom w:w="85" w:type="dxa"/>
              <w:end w:w="90" w:type="dxa"/>
            </w:tcMar>
          </w:tcPr>
          <w:p>
            <w:pPr>
              <w:spacing w:after="0" w:line="257" w:lineRule="auto"/>
            </w:pPr>
            <w:r>
              <w:rPr>
                <w:sz w:val="16"/>
              </w:rPr>
              <w:t>Regressions tracked</w:t>
            </w:r>
          </w:p>
        </w:tc>
      </w:tr>
    </w:tbl>
    <w:p>
      <w:pPr>
        <w:spacing w:after="0"/>
      </w:pPr>
    </w:p>
    <w:p>
      <w:pPr>
        <w:pStyle w:val="Heading2"/>
        <w:widowControl w:val="1"/>
      </w:pPr>
      <w:r>
        <w:t>7.2 Monthly: service assurance</w:t>
      </w:r>
    </w:p>
    <w:p>
      <w:pPr>
        <w:widowControl w:val="1"/>
        <w:spacing w:after="56"/>
        <w:ind w:left="317" w:hanging="210"/>
      </w:pPr>
      <w:r>
        <w:t>1.  Review storage trend, forecast weeks-to-capacity and planned scaling ceiling; record business growth assumptions.</w:t>
      </w:r>
    </w:p>
    <w:p>
      <w:pPr>
        <w:widowControl w:val="1"/>
        <w:spacing w:after="56"/>
        <w:ind w:left="317" w:hanging="210"/>
      </w:pPr>
      <w:r>
        <w:t>2.  Compare actual ingest/document volume with licence/subscription and expenditure commitments where applicable.</w:t>
      </w:r>
    </w:p>
    <w:p>
      <w:pPr>
        <w:widowControl w:val="1"/>
        <w:spacing w:after="56"/>
        <w:ind w:left="317" w:hanging="210"/>
      </w:pPr>
      <w:r>
        <w:t>3.  Review new Elastic security/patch releases, end-of-support risk, upgrade prerequisites and external ingest component compatibility.</w:t>
      </w:r>
    </w:p>
    <w:p>
      <w:pPr>
        <w:widowControl w:val="1"/>
        <w:spacing w:after="56"/>
        <w:ind w:left="317" w:hanging="210"/>
      </w:pPr>
      <w:r>
        <w:t>4.  Audit users, high privilege roles, SSO mappings and all active Elasticsearch/Cloud API keys; verify expiration, least privilege and service ownership.</w:t>
      </w:r>
    </w:p>
    <w:p>
      <w:pPr>
        <w:widowControl w:val="1"/>
        <w:spacing w:after="56"/>
        <w:ind w:left="317" w:hanging="210"/>
      </w:pPr>
      <w:r>
        <w:t>5.  Validate snapshot success, RPO evidence and the recovery test schedule; inspect any unresolved backup alerts.</w:t>
      </w:r>
    </w:p>
    <w:p>
      <w:pPr>
        <w:widowControl w:val="1"/>
        <w:spacing w:after="56"/>
        <w:ind w:left="317" w:hanging="210"/>
      </w:pPr>
      <w:r>
        <w:t>6.  Review APM/trace service coverage, failed and inactive synthetics, and monitoring owner assignments.</w:t>
      </w:r>
    </w:p>
    <w:p>
      <w:pPr>
        <w:widowControl w:val="1"/>
        <w:spacing w:after="56"/>
        <w:ind w:left="317" w:hanging="210"/>
      </w:pPr>
      <w:r>
        <w:t>7.  Review the source inventory and CMDB alignment, data retention, sensitivity classification and decommission requests.</w:t>
      </w:r>
    </w:p>
    <w:p>
      <w:pPr>
        <w:widowControl w:val="1"/>
        <w:spacing w:after="56"/>
        <w:ind w:left="317" w:hanging="210"/>
      </w:pPr>
      <w:r>
        <w:t>8.  Publish monthly service report with trends, incidents, corrective actions, risk and sign-off.</w:t>
      </w:r>
    </w:p>
    <w:p>
      <w:pPr>
        <w:pStyle w:val="Heading2"/>
        <w:widowControl w:val="1"/>
      </w:pPr>
      <w:r>
        <w:t>7.3 Quarterly: governance and resilience</w:t>
      </w:r>
    </w:p>
    <w:p>
      <w:pPr>
        <w:widowControl w:val="1"/>
        <w:spacing w:after="56"/>
        <w:ind w:left="317" w:hanging="210"/>
      </w:pPr>
      <w:r>
        <w:t>1.  Validate production architecture and availability-zone resilience; confirm master/quorum, replicas and application dependency assumptions.</w:t>
      </w:r>
    </w:p>
    <w:p>
      <w:pPr>
        <w:widowControl w:val="1"/>
        <w:spacing w:after="56"/>
        <w:ind w:left="317" w:hanging="210"/>
      </w:pPr>
      <w:r>
        <w:t>2.  Perform a controlled snapshot restoration exercise in an isolated, approved target if policy permits; measure actual recovery times and verify restored application data.</w:t>
      </w:r>
    </w:p>
    <w:p>
      <w:pPr>
        <w:widowControl w:val="1"/>
        <w:spacing w:after="56"/>
        <w:ind w:left="317" w:hanging="210"/>
      </w:pPr>
      <w:r>
        <w:t>3.  Reassess alert severity/thresholds and support/incident escalation routes, including a simulated critical alert.</w:t>
      </w:r>
    </w:p>
    <w:p>
      <w:pPr>
        <w:widowControl w:val="1"/>
        <w:spacing w:after="56"/>
        <w:ind w:left="317" w:hanging="210"/>
      </w:pPr>
      <w:r>
        <w:t>4.  Review upgrade roadmap and vendor support windows; document tested compatibility of Logstash/Beats/agents/APM SDKs.</w:t>
      </w:r>
    </w:p>
    <w:p>
      <w:pPr>
        <w:widowControl w:val="1"/>
        <w:spacing w:after="56"/>
        <w:ind w:left="317" w:hanging="210"/>
      </w:pPr>
      <w:r>
        <w:t>5.  Run privilege/secret lifecycle, retention, data quality and monitoring coverage assurance reviews.</w:t>
      </w:r>
    </w:p>
    <w:p>
      <w:pPr>
        <w:widowControl w:val="1"/>
        <w:spacing w:after="56"/>
        <w:ind w:left="317" w:hanging="210"/>
      </w:pPr>
      <w:r>
        <w:t>6.  Retire stale agent records, policies, data streams and dashboards only under approved change with retention safeguards.</w:t>
      </w:r>
    </w:p>
    <w:p>
      <w:pPr>
        <w:widowControl w:val="1"/>
        <w:spacing w:after="56"/>
        <w:ind w:left="317" w:hanging="210"/>
      </w:pPr>
      <w:r>
        <w:t>7.  Review and republish this runbook after approval, material service change or post-incident learning.</w:t>
      </w:r>
    </w:p>
    <w:p>
      <w:pPr>
        <w:pStyle w:val="Heading1"/>
        <w:widowControl w:val="1"/>
      </w:pPr>
      <w:r>
        <w:t>8. Incident and troubleshooting playbooks</w:t>
      </w:r>
    </w:p>
    <w:p>
      <w:pPr>
        <w:widowControl w:val="1"/>
      </w:pPr>
      <w:r>
        <w:t>The following playbooks are designed for deep investigation. Start with read-only checks. Assign a responsible resolver, preserve the incident timeline and obtain an approved change before any destructive or system-modifying step.</w:t>
      </w:r>
    </w:p>
    <w:p>
      <w:pPr>
        <w:pStyle w:val="Heading2"/>
        <w:widowControl w:val="1"/>
      </w:pPr>
      <w:r>
        <w:t>IR01  Cluster yellow/red or unassigned shards</w:t>
      </w:r>
    </w:p>
    <w:p>
      <w:pPr>
        <w:widowControl w:val="1"/>
      </w:pPr>
      <w:r>
        <w:rPr>
          <w:b/>
        </w:rPr>
        <w:t xml:space="preserve">Trigger / business effect: </w:t>
      </w:r>
      <w:r>
        <w:t>Reduced fault tolerance (yellow) or inaccessible primary data (red).</w:t>
      </w:r>
    </w:p>
    <w:p>
      <w:pPr>
        <w:widowControl w:val="1"/>
      </w:pPr>
      <w:r>
        <w:t>Investigation:</w:t>
      </w:r>
    </w:p>
    <w:p>
      <w:pPr>
        <w:widowControl w:val="1"/>
        <w:spacing w:after="56"/>
        <w:ind w:left="317" w:hanging="210"/>
      </w:pPr>
      <w:r>
        <w:t>1.  Confirm exact time, affected index/shard, cluster status and number of unassigned primary versus replica shards.</w:t>
      </w:r>
    </w:p>
    <w:p>
      <w:pPr>
        <w:widowControl w:val="1"/>
        <w:spacing w:after="56"/>
        <w:ind w:left="317" w:hanging="210"/>
      </w:pPr>
      <w:r>
        <w:t>2.  Review Cloud instance events and node loss; use _cat/shards and POST /_cluster/allocation/explain with an explicit shard body if needed.</w:t>
      </w:r>
    </w:p>
    <w:p>
      <w:pPr>
        <w:widowControl w:val="1"/>
        <w:spacing w:after="56"/>
        <w:ind w:left="317" w:hanging="210"/>
      </w:pPr>
      <w:r>
        <w:t>3.  Check watermarks, replica count, zone awareness and node availability.</w:t>
      </w:r>
    </w:p>
    <w:p>
      <w:pPr>
        <w:widowControl w:val="1"/>
      </w:pPr>
      <w:r>
        <w:t>Controlled corrective actions:</w:t>
      </w:r>
    </w:p>
    <w:p>
      <w:pPr>
        <w:widowControl w:val="1"/>
        <w:spacing w:after="56"/>
        <w:ind w:left="317" w:hanging="210"/>
      </w:pPr>
      <w:r>
        <w:t>1.  Raise an incident based on business impact; engage Elastic support for provider/zone issues.</w:t>
      </w:r>
    </w:p>
    <w:p>
      <w:pPr>
        <w:widowControl w:val="1"/>
        <w:spacing w:after="56"/>
        <w:ind w:left="317" w:hanging="210"/>
      </w:pPr>
      <w:r>
        <w:t>2.  Recover lost node/capacity using approved Cloud Console procedure; request additional resources if allocation is blocked by capacity.</w:t>
      </w:r>
    </w:p>
    <w:p>
      <w:pPr>
        <w:widowControl w:val="1"/>
        <w:spacing w:after="56"/>
        <w:ind w:left="317" w:hanging="210"/>
      </w:pPr>
      <w:r>
        <w:t>3.  Only apply allocation configuration fixes after cause is understood and change approval obtained.</w:t>
      </w:r>
    </w:p>
    <w:p>
      <w:pPr>
        <w:widowControl w:val="1"/>
      </w:pPr>
      <w:r>
        <w:rPr>
          <w:b/>
        </w:rPr>
        <w:t xml:space="preserve">Recovery verification: </w:t>
      </w:r>
      <w:r>
        <w:t>Cluster returns to agreed condition; primaries active, replicas assigned, ingest and search verified.</w:t>
      </w:r>
    </w:p>
    <w:p>
      <w:pPr>
        <w:widowControl w:val="1"/>
      </w:pPr>
      <w:r>
        <w:rPr>
          <w:b/>
        </w:rPr>
        <w:t xml:space="preserve">Escalate when: </w:t>
      </w:r>
      <w:r>
        <w:t>Any red cluster impacting critical services, missing primary shard, quorum issue or unexplained allocation failure.</w:t>
      </w:r>
    </w:p>
    <w:p>
      <w:pPr>
        <w:pStyle w:val="Heading2"/>
        <w:widowControl w:val="1"/>
      </w:pPr>
      <w:r>
        <w:t>IR02  Disk pressure, write block or stuck lifecycle</w:t>
      </w:r>
    </w:p>
    <w:p>
      <w:pPr>
        <w:widowControl w:val="1"/>
      </w:pPr>
      <w:r>
        <w:rPr>
          <w:b/>
        </w:rPr>
        <w:t xml:space="preserve">Trigger / business effect: </w:t>
      </w:r>
      <w:r>
        <w:t>New events may stop indexing; retention or historical queries may be affected.</w:t>
      </w:r>
    </w:p>
    <w:p>
      <w:pPr>
        <w:widowControl w:val="1"/>
      </w:pPr>
      <w:r>
        <w:t>Investigation:</w:t>
      </w:r>
    </w:p>
    <w:p>
      <w:pPr>
        <w:widowControl w:val="1"/>
        <w:spacing w:after="56"/>
        <w:ind w:left="317" w:hanging="210"/>
      </w:pPr>
      <w:r>
        <w:t>1.  Inspect free storage by node/data tier, ILM/DSL policies and largest indices; identify recent ingest growth.</w:t>
      </w:r>
    </w:p>
    <w:p>
      <w:pPr>
        <w:widowControl w:val="1"/>
        <w:spacing w:after="56"/>
        <w:ind w:left="317" w:hanging="210"/>
      </w:pPr>
      <w:r>
        <w:t>2.  Determine whether low/high/flood-stage disk watermark is reached; check autoscaling settings and ceilings.</w:t>
      </w:r>
    </w:p>
    <w:p>
      <w:pPr>
        <w:widowControl w:val="1"/>
        <w:spacing w:after="56"/>
        <w:ind w:left="317" w:hanging="210"/>
      </w:pPr>
      <w:r>
        <w:t>3.  Check read-only index blocks and ILM explain error steps.</w:t>
      </w:r>
    </w:p>
    <w:p>
      <w:pPr>
        <w:widowControl w:val="1"/>
      </w:pPr>
      <w:r>
        <w:t>Controlled corrective actions:</w:t>
      </w:r>
    </w:p>
    <w:p>
      <w:pPr>
        <w:widowControl w:val="1"/>
        <w:spacing w:after="56"/>
        <w:ind w:left="317" w:hanging="210"/>
      </w:pPr>
      <w:r>
        <w:t>1.  Raise scaling request and coordinate Cloud capacity change; correct accidental ingestion spikes at source if approved.</w:t>
      </w:r>
    </w:p>
    <w:p>
      <w:pPr>
        <w:widowControl w:val="1"/>
        <w:spacing w:after="56"/>
        <w:ind w:left="317" w:hanging="210"/>
      </w:pPr>
      <w:r>
        <w:t>2.  Review retention with data owner; adjust lifecycle policy only after compliance/data-retention approval.</w:t>
      </w:r>
    </w:p>
    <w:p>
      <w:pPr>
        <w:widowControl w:val="1"/>
        <w:spacing w:after="56"/>
        <w:ind w:left="317" w:hanging="210"/>
      </w:pPr>
      <w:r>
        <w:t>3.  Remove write restrictions only via a validated, approved procedure after space is recovered; never manually delete system indices or snapshots.</w:t>
      </w:r>
    </w:p>
    <w:p>
      <w:pPr>
        <w:widowControl w:val="1"/>
      </w:pPr>
      <w:r>
        <w:rPr>
          <w:b/>
        </w:rPr>
        <w:t xml:space="preserve">Recovery verification: </w:t>
      </w:r>
      <w:r>
        <w:t>Disk headroom sustainable; indexing resumes; lifecycle phase progressing and source counts recovered.</w:t>
      </w:r>
    </w:p>
    <w:p>
      <w:pPr>
        <w:widowControl w:val="1"/>
      </w:pPr>
      <w:r>
        <w:rPr>
          <w:b/>
        </w:rPr>
        <w:t xml:space="preserve">Escalate when: </w:t>
      </w:r>
      <w:r>
        <w:t>Capacity cannot be added promptly, a flood-stage block is active, or a critical source is missing data.</w:t>
      </w:r>
    </w:p>
    <w:p>
      <w:pPr>
        <w:pStyle w:val="Heading2"/>
        <w:widowControl w:val="1"/>
      </w:pPr>
      <w:r>
        <w:t>IR03  High heap/CPU, slow dashboards, search delays</w:t>
      </w:r>
    </w:p>
    <w:p>
      <w:pPr>
        <w:widowControl w:val="1"/>
      </w:pPr>
      <w:r>
        <w:rPr>
          <w:b/>
        </w:rPr>
        <w:t xml:space="preserve">Trigger / business effect: </w:t>
      </w:r>
      <w:r>
        <w:t>Searches or ingestion slow down and JVM/CPU may be saturated.</w:t>
      </w:r>
    </w:p>
    <w:p>
      <w:pPr>
        <w:widowControl w:val="1"/>
      </w:pPr>
      <w:r>
        <w:t>Investigation:</w:t>
      </w:r>
    </w:p>
    <w:p>
      <w:pPr>
        <w:widowControl w:val="1"/>
        <w:spacing w:after="56"/>
        <w:ind w:left="317" w:hanging="210"/>
      </w:pPr>
      <w:r>
        <w:t>1.  Compare CPU, heap, garbage collection, search/index queue, rejections and node stats with baseline.</w:t>
      </w:r>
    </w:p>
    <w:p>
      <w:pPr>
        <w:widowControl w:val="1"/>
        <w:spacing w:after="56"/>
        <w:ind w:left="317" w:hanging="210"/>
      </w:pPr>
      <w:r>
        <w:t>2.  Identify timing of dashboard queries, bulk indexing and data-tier movement; review recent changes.</w:t>
      </w:r>
    </w:p>
    <w:p>
      <w:pPr>
        <w:widowControl w:val="1"/>
        <w:spacing w:after="56"/>
        <w:ind w:left="317" w:hanging="210"/>
      </w:pPr>
      <w:r>
        <w:t>3.  Check largest shards and index count; if authorised review search profiling/slow logs as available.</w:t>
      </w:r>
    </w:p>
    <w:p>
      <w:pPr>
        <w:widowControl w:val="1"/>
      </w:pPr>
      <w:r>
        <w:t>Controlled corrective actions:</w:t>
      </w:r>
    </w:p>
    <w:p>
      <w:pPr>
        <w:widowControl w:val="1"/>
        <w:spacing w:after="56"/>
        <w:ind w:left="317" w:hanging="210"/>
      </w:pPr>
      <w:r>
        <w:t>1.  Reduce or reschedule known noisy workload with owner approval.</w:t>
      </w:r>
    </w:p>
    <w:p>
      <w:pPr>
        <w:widowControl w:val="1"/>
        <w:spacing w:after="56"/>
        <w:ind w:left="317" w:hanging="210"/>
      </w:pPr>
      <w:r>
        <w:t>2.  Tune queries/visualisations and index/shard policies via change control.</w:t>
      </w:r>
    </w:p>
    <w:p>
      <w:pPr>
        <w:widowControl w:val="1"/>
        <w:spacing w:after="56"/>
        <w:ind w:left="317" w:hanging="210"/>
      </w:pPr>
      <w:r>
        <w:t>3.  Request vertical/horizontal scaling in Elastic Cloud Hosted if baseline capacity inadequate.</w:t>
      </w:r>
    </w:p>
    <w:p>
      <w:pPr>
        <w:widowControl w:val="1"/>
      </w:pPr>
      <w:r>
        <w:rPr>
          <w:b/>
        </w:rPr>
        <w:t xml:space="preserve">Recovery verification: </w:t>
      </w:r>
      <w:r>
        <w:t>P95 query and ingestion latencies return to agreed SLO; stable garbage collection and no rejections.</w:t>
      </w:r>
    </w:p>
    <w:p>
      <w:pPr>
        <w:widowControl w:val="1"/>
      </w:pPr>
      <w:r>
        <w:rPr>
          <w:b/>
        </w:rPr>
        <w:t xml:space="preserve">Escalate when: </w:t>
      </w:r>
      <w:r>
        <w:t>Out-of-memory/restarts, production-wide latency or inability to recover with approved mitigations.</w:t>
      </w:r>
    </w:p>
    <w:p>
      <w:pPr>
        <w:pStyle w:val="Heading2"/>
        <w:widowControl w:val="1"/>
      </w:pPr>
      <w:r>
        <w:t>IR04  Missing logs, missing metrics or delayed timestamps</w:t>
      </w:r>
    </w:p>
    <w:p>
      <w:pPr>
        <w:widowControl w:val="1"/>
      </w:pPr>
      <w:r>
        <w:rPr>
          <w:b/>
        </w:rPr>
        <w:t xml:space="preserve">Trigger / business effect: </w:t>
      </w:r>
      <w:r>
        <w:t>Security/operational visibility is incomplete even if the Elastic cluster is green.</w:t>
      </w:r>
    </w:p>
    <w:p>
      <w:pPr>
        <w:widowControl w:val="1"/>
      </w:pPr>
      <w:r>
        <w:t>Investigation:</w:t>
      </w:r>
    </w:p>
    <w:p>
      <w:pPr>
        <w:widowControl w:val="1"/>
        <w:spacing w:after="56"/>
        <w:ind w:left="317" w:hanging="210"/>
      </w:pPr>
      <w:r>
        <w:t>1.  Confirm Kibana data view and time picker; search for source-specific host/service dataset and compare @timestamp to event.ingested when available.</w:t>
      </w:r>
    </w:p>
    <w:p>
      <w:pPr>
        <w:widowControl w:val="1"/>
        <w:spacing w:after="56"/>
        <w:ind w:left="317" w:hanging="210"/>
      </w:pPr>
      <w:r>
        <w:t>2.  Verify last known event, expected event frequency, agent/Beat/Logstash health and connectivity.</w:t>
      </w:r>
    </w:p>
    <w:p>
      <w:pPr>
        <w:widowControl w:val="1"/>
        <w:spacing w:after="56"/>
        <w:ind w:left="317" w:hanging="210"/>
      </w:pPr>
      <w:r>
        <w:t>3.  Inspect pipeline parse/mapping errors, rejected writes, wrong environment tag, clock skew and wrong index target.</w:t>
      </w:r>
    </w:p>
    <w:p>
      <w:pPr>
        <w:widowControl w:val="1"/>
      </w:pPr>
      <w:r>
        <w:t>Controlled corrective actions:</w:t>
      </w:r>
    </w:p>
    <w:p>
      <w:pPr>
        <w:widowControl w:val="1"/>
        <w:spacing w:after="56"/>
        <w:ind w:left="317" w:hanging="210"/>
      </w:pPr>
      <w:r>
        <w:t>1.  Open source-owner incident and restore collector/pipeline connectivity under service change process.</w:t>
      </w:r>
    </w:p>
    <w:p>
      <w:pPr>
        <w:widowControl w:val="1"/>
        <w:spacing w:after="56"/>
        <w:ind w:left="317" w:hanging="210"/>
      </w:pPr>
      <w:r>
        <w:t>2.  Repair field mapping/parse errors in tested pipeline; replay buffered data from approved queue when possible.</w:t>
      </w:r>
    </w:p>
    <w:p>
      <w:pPr>
        <w:widowControl w:val="1"/>
        <w:spacing w:after="56"/>
        <w:ind w:left="317" w:hanging="210"/>
      </w:pPr>
      <w:r>
        <w:t>3.  Validate event counts and time coverage; explicitly record unrecoverable gaps.</w:t>
      </w:r>
    </w:p>
    <w:p>
      <w:pPr>
        <w:widowControl w:val="1"/>
      </w:pPr>
      <w:r>
        <w:rPr>
          <w:b/>
        </w:rPr>
        <w:t xml:space="preserve">Recovery verification: </w:t>
      </w:r>
      <w:r>
        <w:t>Latest events appear at expected rate, correct environment and tags; backlog drained with no duplicate spike.</w:t>
      </w:r>
    </w:p>
    <w:p>
      <w:pPr>
        <w:widowControl w:val="1"/>
      </w:pPr>
      <w:r>
        <w:rPr>
          <w:b/>
        </w:rPr>
        <w:t xml:space="preserve">Escalate when: </w:t>
      </w:r>
      <w:r>
        <w:t>Business-critical logs disappear beyond freshness SLA or security audit coverage is compromised.</w:t>
      </w:r>
    </w:p>
    <w:p>
      <w:pPr>
        <w:pStyle w:val="Heading2"/>
        <w:widowControl w:val="1"/>
      </w:pPr>
      <w:r>
        <w:t>IR05  Fleet agent unhealthy, offline, inactive or out-of-date</w:t>
      </w:r>
    </w:p>
    <w:p>
      <w:pPr>
        <w:widowControl w:val="1"/>
      </w:pPr>
      <w:r>
        <w:rPr>
          <w:b/>
        </w:rPr>
        <w:t xml:space="preserve">Trigger / business effect: </w:t>
      </w:r>
      <w:r>
        <w:t>Host telemetry and configuration management may be impaired.</w:t>
      </w:r>
    </w:p>
    <w:p>
      <w:pPr>
        <w:widowControl w:val="1"/>
      </w:pPr>
      <w:r>
        <w:t>Investigation:</w:t>
      </w:r>
    </w:p>
    <w:p>
      <w:pPr>
        <w:widowControl w:val="1"/>
        <w:spacing w:after="56"/>
        <w:ind w:left="317" w:hanging="210"/>
      </w:pPr>
      <w:r>
        <w:t>1.  Filter affected agents by status; review last check-in, policy, component errors, version and related host status.</w:t>
      </w:r>
    </w:p>
    <w:p>
      <w:pPr>
        <w:widowControl w:val="1"/>
        <w:spacing w:after="56"/>
        <w:ind w:left="317" w:hanging="210"/>
      </w:pPr>
      <w:r>
        <w:t>2.  Confirm Windows service/Linux systemd service status, TLS trust, proxy/firewall, DNS and Fleet Server endpoint reachability.</w:t>
      </w:r>
    </w:p>
    <w:p>
      <w:pPr>
        <w:widowControl w:val="1"/>
        <w:spacing w:after="56"/>
        <w:ind w:left="317" w:hanging="210"/>
      </w:pPr>
      <w:r>
        <w:t>3.  Check whether agent is deliberately retired or host scheduled down; review recent policy changes.</w:t>
      </w:r>
    </w:p>
    <w:p>
      <w:pPr>
        <w:widowControl w:val="1"/>
      </w:pPr>
      <w:r>
        <w:t>Controlled corrective actions:</w:t>
      </w:r>
    </w:p>
    <w:p>
      <w:pPr>
        <w:widowControl w:val="1"/>
        <w:spacing w:after="56"/>
        <w:ind w:left="317" w:hanging="210"/>
      </w:pPr>
      <w:r>
        <w:t>1.  If authorised, restart an affected agent service after collecting logs/diagnostics.</w:t>
      </w:r>
    </w:p>
    <w:p>
      <w:pPr>
        <w:widowControl w:val="1"/>
        <w:spacing w:after="56"/>
        <w:ind w:left="317" w:hanging="210"/>
      </w:pPr>
      <w:r>
        <w:t>2.  Correct enrollment credentials/TLS/policy permissions with owner; re-enroll only when needed and approved.</w:t>
      </w:r>
    </w:p>
    <w:p>
      <w:pPr>
        <w:widowControl w:val="1"/>
        <w:spacing w:after="56"/>
        <w:ind w:left="317" w:hanging="210"/>
      </w:pPr>
      <w:r>
        <w:t>3.  For version lag use a staged upgrade; account for RPM/DEB agents that require package-manager upgrades rather than Fleet UI upgrades.</w:t>
      </w:r>
    </w:p>
    <w:p>
      <w:pPr>
        <w:widowControl w:val="1"/>
      </w:pPr>
      <w:r>
        <w:rPr>
          <w:b/>
        </w:rPr>
        <w:t xml:space="preserve">Recovery verification: </w:t>
      </w:r>
      <w:r>
        <w:t>Agent reports Healthy, last check-in recent, policy applied and telemetry present in Discover.</w:t>
      </w:r>
    </w:p>
    <w:p>
      <w:pPr>
        <w:widowControl w:val="1"/>
      </w:pPr>
      <w:r>
        <w:rPr>
          <w:b/>
        </w:rPr>
        <w:t xml:space="preserve">Escalate when: </w:t>
      </w:r>
      <w:r>
        <w:t>Fleet-wide outage, critical host telemetry missing or repeated upgrade failures.</w:t>
      </w:r>
    </w:p>
    <w:p>
      <w:pPr>
        <w:pStyle w:val="Heading2"/>
        <w:widowControl w:val="1"/>
      </w:pPr>
      <w:r>
        <w:t>IR06  Filebeat/Metricbeat/Logstash errors or pipeline blockage</w:t>
      </w:r>
    </w:p>
    <w:p>
      <w:pPr>
        <w:widowControl w:val="1"/>
      </w:pPr>
      <w:r>
        <w:rPr>
          <w:b/>
        </w:rPr>
        <w:t xml:space="preserve">Trigger / business effect: </w:t>
      </w:r>
      <w:r>
        <w:t>Telemetry is delayed, dropped or routed to an incorrect destination.</w:t>
      </w:r>
    </w:p>
    <w:p>
      <w:pPr>
        <w:widowControl w:val="1"/>
      </w:pPr>
      <w:r>
        <w:t>Investigation:</w:t>
      </w:r>
    </w:p>
    <w:p>
      <w:pPr>
        <w:widowControl w:val="1"/>
        <w:spacing w:after="56"/>
        <w:ind w:left="317" w:hanging="210"/>
      </w:pPr>
      <w:r>
        <w:t>1.  Determine collection path (standalone Beat, Agent-managed integration or Logstash); do not assume all are deployed.</w:t>
      </w:r>
    </w:p>
    <w:p>
      <w:pPr>
        <w:widowControl w:val="1"/>
        <w:spacing w:after="56"/>
        <w:ind w:left="317" w:hanging="210"/>
      </w:pPr>
      <w:r>
        <w:t>2.  Check Beat service/log output, connection errors and config validation; review Logstash pipeline stats if present.</w:t>
      </w:r>
    </w:p>
    <w:p>
      <w:pPr>
        <w:widowControl w:val="1"/>
        <w:spacing w:after="56"/>
        <w:ind w:left="317" w:hanging="210"/>
      </w:pPr>
      <w:r>
        <w:t>3.  Check growing persistent queue / dead-letter queue, mapping rejects, worker exhaustion and upstream source availability.</w:t>
      </w:r>
    </w:p>
    <w:p>
      <w:pPr>
        <w:widowControl w:val="1"/>
      </w:pPr>
      <w:r>
        <w:t>Controlled corrective actions:</w:t>
      </w:r>
    </w:p>
    <w:p>
      <w:pPr>
        <w:widowControl w:val="1"/>
        <w:spacing w:after="56"/>
        <w:ind w:left="317" w:hanging="210"/>
      </w:pPr>
      <w:r>
        <w:t>1.  Apply tested output connectivity, credentials, parsing or pipeline fixes under change approval.</w:t>
      </w:r>
    </w:p>
    <w:p>
      <w:pPr>
        <w:widowControl w:val="1"/>
        <w:spacing w:after="56"/>
        <w:ind w:left="317" w:hanging="210"/>
      </w:pPr>
      <w:r>
        <w:t>2.  Use approved controlled retry/replay for buffered events; DLQ handling must avoid duplication and comply with retention.</w:t>
      </w:r>
    </w:p>
    <w:p>
      <w:pPr>
        <w:widowControl w:val="1"/>
        <w:spacing w:after="56"/>
        <w:ind w:left="317" w:hanging="210"/>
      </w:pPr>
      <w:r>
        <w:t>3.  Confirm processing rate, error count and stream landing index; restart only the failing component if warranted.</w:t>
      </w:r>
    </w:p>
    <w:p>
      <w:pPr>
        <w:widowControl w:val="1"/>
      </w:pPr>
      <w:r>
        <w:rPr>
          <w:b/>
        </w:rPr>
        <w:t xml:space="preserve">Recovery verification: </w:t>
      </w:r>
      <w:r>
        <w:t>Ingest pipeline steady, error/dropped event rates within baseline, queues draining and source events searchable.</w:t>
      </w:r>
    </w:p>
    <w:p>
      <w:pPr>
        <w:widowControl w:val="1"/>
      </w:pPr>
      <w:r>
        <w:rPr>
          <w:b/>
        </w:rPr>
        <w:t xml:space="preserve">Escalate when: </w:t>
      </w:r>
      <w:r>
        <w:t>Critical log loss, DLQ expansion with no recovery path, or sustained indexing rejection.</w:t>
      </w:r>
    </w:p>
    <w:p>
      <w:pPr>
        <w:pStyle w:val="Heading2"/>
        <w:widowControl w:val="1"/>
      </w:pPr>
      <w:r>
        <w:t>IR07  Data quality, metadata, retention or ILM defect</w:t>
      </w:r>
    </w:p>
    <w:p>
      <w:pPr>
        <w:widowControl w:val="1"/>
      </w:pPr>
      <w:r>
        <w:rPr>
          <w:b/>
        </w:rPr>
        <w:t xml:space="preserve">Trigger / business effect: </w:t>
      </w:r>
      <w:r>
        <w:t>Dashboards/alert grouping wrong, expected fields absent or data moves/deletes unexpectedly.</w:t>
      </w:r>
    </w:p>
    <w:p>
      <w:pPr>
        <w:widowControl w:val="1"/>
      </w:pPr>
      <w:r>
        <w:t>Investigation:</w:t>
      </w:r>
    </w:p>
    <w:p>
      <w:pPr>
        <w:widowControl w:val="1"/>
        <w:spacing w:after="56"/>
        <w:ind w:left="317" w:hanging="210"/>
      </w:pPr>
      <w:r>
        <w:t>1.  Sample raw events and verify @timestamp, host.name, service.name, environment, business area and expected ECS field types.</w:t>
      </w:r>
    </w:p>
    <w:p>
      <w:pPr>
        <w:widowControl w:val="1"/>
        <w:spacing w:after="56"/>
        <w:ind w:left="317" w:hanging="210"/>
      </w:pPr>
      <w:r>
        <w:t>2.  Inspect mapping conflict, ingest errors, agent policy version, processor changes and ILM/data lifecycle allocation.</w:t>
      </w:r>
    </w:p>
    <w:p>
      <w:pPr>
        <w:widowControl w:val="1"/>
        <w:spacing w:after="56"/>
        <w:ind w:left="317" w:hanging="210"/>
      </w:pPr>
      <w:r>
        <w:t>3.  Identify whether issue affects only dashboards or indexed source records; establish first bad event.</w:t>
      </w:r>
    </w:p>
    <w:p>
      <w:pPr>
        <w:widowControl w:val="1"/>
      </w:pPr>
      <w:r>
        <w:t>Controlled corrective actions:</w:t>
      </w:r>
    </w:p>
    <w:p>
      <w:pPr>
        <w:widowControl w:val="1"/>
        <w:spacing w:after="56"/>
        <w:ind w:left="317" w:hanging="210"/>
      </w:pPr>
      <w:r>
        <w:t>1.  Raise source schema/data-contract issue with owning team.</w:t>
      </w:r>
    </w:p>
    <w:p>
      <w:pPr>
        <w:widowControl w:val="1"/>
        <w:spacing w:after="56"/>
        <w:ind w:left="317" w:hanging="210"/>
      </w:pPr>
      <w:r>
        <w:t>2.  Test pipeline and templates against representative records in non-production before deployment.</w:t>
      </w:r>
    </w:p>
    <w:p>
      <w:pPr>
        <w:widowControl w:val="1"/>
        <w:spacing w:after="56"/>
        <w:ind w:left="317" w:hanging="210"/>
      </w:pPr>
      <w:r>
        <w:t>3.  Obtain compliance approval for changing retention and consider backfill/reindex only after risk assessment.</w:t>
      </w:r>
    </w:p>
    <w:p>
      <w:pPr>
        <w:widowControl w:val="1"/>
      </w:pPr>
      <w:r>
        <w:rPr>
          <w:b/>
        </w:rPr>
        <w:t xml:space="preserve">Recovery verification: </w:t>
      </w:r>
      <w:r>
        <w:t>Mandatory fields populated, saved searches and alerts work, and lifecycle conforms to approved data policy.</w:t>
      </w:r>
    </w:p>
    <w:p>
      <w:pPr>
        <w:widowControl w:val="1"/>
      </w:pPr>
      <w:r>
        <w:rPr>
          <w:b/>
        </w:rPr>
        <w:t xml:space="preserve">Escalate when: </w:t>
      </w:r>
      <w:r>
        <w:t>Regulatory retention risk, large field-loss proportion or critical dashboards misreport.</w:t>
      </w:r>
    </w:p>
    <w:p>
      <w:pPr>
        <w:pStyle w:val="Heading2"/>
        <w:widowControl w:val="1"/>
      </w:pPr>
      <w:r>
        <w:t>IR08  APM application not reporting or Synthetics failing</w:t>
      </w:r>
    </w:p>
    <w:p>
      <w:pPr>
        <w:widowControl w:val="1"/>
      </w:pPr>
      <w:r>
        <w:rPr>
          <w:b/>
        </w:rPr>
        <w:t xml:space="preserve">Trigger / business effect: </w:t>
      </w:r>
      <w:r>
        <w:t>User journeys become unobservable or actual application availability is affected.</w:t>
      </w:r>
    </w:p>
    <w:p>
      <w:pPr>
        <w:widowControl w:val="1"/>
      </w:pPr>
      <w:r>
        <w:t>Investigation:</w:t>
      </w:r>
    </w:p>
    <w:p>
      <w:pPr>
        <w:widowControl w:val="1"/>
        <w:spacing w:after="56"/>
        <w:ind w:left="317" w:hanging="210"/>
      </w:pPr>
      <w:r>
        <w:t>1.  Check correct time range and environment; APM Services lists services with recent transactions/spans, not log-only services.</w:t>
      </w:r>
    </w:p>
    <w:p>
      <w:pPr>
        <w:widowControl w:val="1"/>
        <w:spacing w:after="56"/>
        <w:ind w:left="317" w:hanging="210"/>
      </w:pPr>
      <w:r>
        <w:t>2.  For APM confirm SDK/agent configuration, sampling, service.name, authentication, tracing endpoint and upstream proxies.</w:t>
      </w:r>
    </w:p>
    <w:p>
      <w:pPr>
        <w:widowControl w:val="1"/>
        <w:spacing w:after="56"/>
        <w:ind w:left="317" w:hanging="210"/>
      </w:pPr>
      <w:r>
        <w:t>3.  For Synthetics inspect monitor enabled state, run location, HTTP/TLS/DNS result, test credentials and recent application deploy.</w:t>
      </w:r>
    </w:p>
    <w:p>
      <w:pPr>
        <w:widowControl w:val="1"/>
      </w:pPr>
      <w:r>
        <w:t>Controlled corrective actions:</w:t>
      </w:r>
    </w:p>
    <w:p>
      <w:pPr>
        <w:widowControl w:val="1"/>
        <w:spacing w:after="56"/>
        <w:ind w:left="317" w:hanging="210"/>
      </w:pPr>
      <w:r>
        <w:t>1.  If service is down, escalate to application incident owner; run independent health check.</w:t>
      </w:r>
    </w:p>
    <w:p>
      <w:pPr>
        <w:widowControl w:val="1"/>
        <w:spacing w:after="56"/>
        <w:ind w:left="317" w:hanging="210"/>
      </w:pPr>
      <w:r>
        <w:t>2.  Correct instrumentation/network/secret expiry with owner and change approval.</w:t>
      </w:r>
    </w:p>
    <w:p>
      <w:pPr>
        <w:widowControl w:val="1"/>
        <w:spacing w:after="56"/>
        <w:ind w:left="317" w:hanging="210"/>
      </w:pPr>
      <w:r>
        <w:t>3.  Repair monitor definition and re-test from approved public or private location as appropriate.</w:t>
      </w:r>
    </w:p>
    <w:p>
      <w:pPr>
        <w:widowControl w:val="1"/>
      </w:pPr>
      <w:r>
        <w:rPr>
          <w:b/>
        </w:rPr>
        <w:t xml:space="preserve">Recovery verification: </w:t>
      </w:r>
      <w:r>
        <w:t>Expected service traces and monitor executions return; synthetic runs pass and application owner confirms recovery.</w:t>
      </w:r>
    </w:p>
    <w:p>
      <w:pPr>
        <w:widowControl w:val="1"/>
      </w:pPr>
      <w:r>
        <w:rPr>
          <w:b/>
        </w:rPr>
        <w:t xml:space="preserve">Escalate when: </w:t>
      </w:r>
      <w:r>
        <w:t>Production endpoint fails from multiple credible locations, critical service has prolonged missing tracing or data cannot be trusted.</w:t>
      </w:r>
    </w:p>
    <w:p>
      <w:pPr>
        <w:pStyle w:val="Heading2"/>
        <w:widowControl w:val="1"/>
      </w:pPr>
      <w:r>
        <w:t>IR09  Alerting and notification failure</w:t>
      </w:r>
    </w:p>
    <w:p>
      <w:pPr>
        <w:widowControl w:val="1"/>
      </w:pPr>
      <w:r>
        <w:rPr>
          <w:b/>
        </w:rPr>
        <w:t xml:space="preserve">Trigger / business effect: </w:t>
      </w:r>
      <w:r>
        <w:t>Incidents may be missed even though the platform still collects data.</w:t>
      </w:r>
    </w:p>
    <w:p>
      <w:pPr>
        <w:widowControl w:val="1"/>
      </w:pPr>
      <w:r>
        <w:t>Investigation:</w:t>
      </w:r>
    </w:p>
    <w:p>
      <w:pPr>
        <w:widowControl w:val="1"/>
        <w:spacing w:after="56"/>
        <w:ind w:left="317" w:hanging="210"/>
      </w:pPr>
      <w:r>
        <w:t>1.  Inspect rule execution status, failed runs, disabled/snoozed rules and connector delivery errors.</w:t>
      </w:r>
    </w:p>
    <w:p>
      <w:pPr>
        <w:widowControl w:val="1"/>
        <w:spacing w:after="56"/>
        <w:ind w:left="317" w:hanging="210"/>
      </w:pPr>
      <w:r>
        <w:t>2.  Compare alerts against actual source events and recent rule configuration changes.</w:t>
      </w:r>
    </w:p>
    <w:p>
      <w:pPr>
        <w:widowControl w:val="1"/>
        <w:spacing w:after="56"/>
        <w:ind w:left="317" w:hanging="210"/>
      </w:pPr>
      <w:r>
        <w:t>3.  Validate incident integration or email recipient list with support owner; avoid exposing confidential payloads in tests.</w:t>
      </w:r>
    </w:p>
    <w:p>
      <w:pPr>
        <w:widowControl w:val="1"/>
      </w:pPr>
      <w:r>
        <w:t>Controlled corrective actions:</w:t>
      </w:r>
    </w:p>
    <w:p>
      <w:pPr>
        <w:widowControl w:val="1"/>
        <w:spacing w:after="56"/>
        <w:ind w:left="317" w:hanging="210"/>
      </w:pPr>
      <w:r>
        <w:t>1.  Activate approved backup paging/communication channel.</w:t>
      </w:r>
    </w:p>
    <w:p>
      <w:pPr>
        <w:widowControl w:val="1"/>
        <w:spacing w:after="56"/>
        <w:ind w:left="317" w:hanging="210"/>
      </w:pPr>
      <w:r>
        <w:t>2.  Repair failing action connector credentials/routing or poorly scoped rule through approved change.</w:t>
      </w:r>
    </w:p>
    <w:p>
      <w:pPr>
        <w:widowControl w:val="1"/>
        <w:spacing w:after="56"/>
        <w:ind w:left="317" w:hanging="210"/>
      </w:pPr>
      <w:r>
        <w:t>3.  Run a non-disruptive test alert and confirm ticket/notification receipt.</w:t>
      </w:r>
    </w:p>
    <w:p>
      <w:pPr>
        <w:widowControl w:val="1"/>
      </w:pPr>
      <w:r>
        <w:rPr>
          <w:b/>
        </w:rPr>
        <w:t xml:space="preserve">Recovery verification: </w:t>
      </w:r>
      <w:r>
        <w:t>Critical rules execute successfully and correct on-call recipient confirms delivery.</w:t>
      </w:r>
    </w:p>
    <w:p>
      <w:pPr>
        <w:widowControl w:val="1"/>
      </w:pPr>
      <w:r>
        <w:rPr>
          <w:b/>
        </w:rPr>
        <w:t xml:space="preserve">Escalate when: </w:t>
      </w:r>
      <w:r>
        <w:t>Notification outage affects all high-severity rules or incident missed its response SLA.</w:t>
      </w:r>
    </w:p>
    <w:p>
      <w:pPr>
        <w:pStyle w:val="Heading2"/>
        <w:widowControl w:val="1"/>
      </w:pPr>
      <w:r>
        <w:t>IR10  Unauthorised access, failed SSO or API-key incident</w:t>
      </w:r>
    </w:p>
    <w:p>
      <w:pPr>
        <w:widowControl w:val="1"/>
      </w:pPr>
      <w:r>
        <w:rPr>
          <w:b/>
        </w:rPr>
        <w:t xml:space="preserve">Trigger / business effect: </w:t>
      </w:r>
      <w:r>
        <w:t>Operational users may lose access or credentials may be exposed.</w:t>
      </w:r>
    </w:p>
    <w:p>
      <w:pPr>
        <w:widowControl w:val="1"/>
      </w:pPr>
      <w:r>
        <w:t>Investigation:</w:t>
      </w:r>
    </w:p>
    <w:p>
      <w:pPr>
        <w:widowControl w:val="1"/>
        <w:spacing w:after="56"/>
        <w:ind w:left="317" w:hanging="210"/>
      </w:pPr>
      <w:r>
        <w:t>1.  Determine whether fault affects Elastic Cloud organisation login, Kibana SSO or Elasticsearch API calls.</w:t>
      </w:r>
    </w:p>
    <w:p>
      <w:pPr>
        <w:widowControl w:val="1"/>
        <w:spacing w:after="56"/>
        <w:ind w:left="317" w:hanging="210"/>
      </w:pPr>
      <w:r>
        <w:t>2.  Review IdP availability, group/role mapping, recent changes and authentication logs in approved systems.</w:t>
      </w:r>
    </w:p>
    <w:p>
      <w:pPr>
        <w:widowControl w:val="1"/>
        <w:spacing w:after="56"/>
        <w:ind w:left="317" w:hanging="210"/>
      </w:pPr>
      <w:r>
        <w:t>3.  Check API key owner, privilege scope and expiration without copying secret material.</w:t>
      </w:r>
    </w:p>
    <w:p>
      <w:pPr>
        <w:widowControl w:val="1"/>
      </w:pPr>
      <w:r>
        <w:t>Controlled corrective actions:</w:t>
      </w:r>
    </w:p>
    <w:p>
      <w:pPr>
        <w:widowControl w:val="1"/>
        <w:spacing w:after="56"/>
        <w:ind w:left="317" w:hanging="210"/>
      </w:pPr>
      <w:r>
        <w:t>1.  Follow security incident process for compromised credentials; revoke/rotate affected keys and invalidate sessions where authorised.</w:t>
      </w:r>
    </w:p>
    <w:p>
      <w:pPr>
        <w:widowControl w:val="1"/>
        <w:spacing w:after="56"/>
        <w:ind w:left="317" w:hanging="210"/>
      </w:pPr>
      <w:r>
        <w:t>2.  Correct mappings and least-privilege role assignment via IAM approval.</w:t>
      </w:r>
    </w:p>
    <w:p>
      <w:pPr>
        <w:widowControl w:val="1"/>
        <w:spacing w:after="56"/>
        <w:ind w:left="317" w:hanging="210"/>
      </w:pPr>
      <w:r>
        <w:t>3.  For service account key rotation, coordinate cutover across dependent integrations and verify data still arrives.</w:t>
      </w:r>
    </w:p>
    <w:p>
      <w:pPr>
        <w:widowControl w:val="1"/>
      </w:pPr>
      <w:r>
        <w:rPr>
          <w:b/>
        </w:rPr>
        <w:t xml:space="preserve">Recovery verification: </w:t>
      </w:r>
      <w:r>
        <w:t>Authorised users regain intended access; unauthorised access blocked and audit evidence preserved.</w:t>
      </w:r>
    </w:p>
    <w:p>
      <w:pPr>
        <w:widowControl w:val="1"/>
      </w:pPr>
      <w:r>
        <w:rPr>
          <w:b/>
        </w:rPr>
        <w:t xml:space="preserve">Escalate when: </w:t>
      </w:r>
      <w:r>
        <w:t>Potential credential leak, privilege escalation or wider SSO outage.</w:t>
      </w:r>
    </w:p>
    <w:p>
      <w:pPr>
        <w:pStyle w:val="Heading2"/>
        <w:widowControl w:val="1"/>
      </w:pPr>
      <w:r>
        <w:t>IR11  Snapshot failure or urgent recovery request</w:t>
      </w:r>
    </w:p>
    <w:p>
      <w:pPr>
        <w:widowControl w:val="1"/>
      </w:pPr>
      <w:r>
        <w:rPr>
          <w:b/>
        </w:rPr>
        <w:t xml:space="preserve">Trigger / business effect: </w:t>
      </w:r>
      <w:r>
        <w:t>Data protection assurance breached or restore is needed after corruption/deletion.</w:t>
      </w:r>
    </w:p>
    <w:p>
      <w:pPr>
        <w:widowControl w:val="1"/>
      </w:pPr>
      <w:r>
        <w:t>Investigation:</w:t>
      </w:r>
    </w:p>
    <w:p>
      <w:pPr>
        <w:widowControl w:val="1"/>
        <w:spacing w:after="56"/>
        <w:ind w:left="317" w:hanging="210"/>
      </w:pPr>
      <w:r>
        <w:t>1.  Check last good snapshot, policy state, repository and backup scope, and affected data streams/indices.</w:t>
      </w:r>
    </w:p>
    <w:p>
      <w:pPr>
        <w:widowControl w:val="1"/>
        <w:spacing w:after="56"/>
        <w:ind w:left="317" w:hanging="210"/>
      </w:pPr>
      <w:r>
        <w:t>2.  Confirm recovery objectives, target deployment, version/index compatibility and business authority to restore.</w:t>
      </w:r>
    </w:p>
    <w:p>
      <w:pPr>
        <w:widowControl w:val="1"/>
        <w:spacing w:after="56"/>
        <w:ind w:left="317" w:hanging="210"/>
      </w:pPr>
      <w:r>
        <w:t>3.  Identify whether restore may overwrite existing indices/saved objects or disrupt users.</w:t>
      </w:r>
    </w:p>
    <w:p>
      <w:pPr>
        <w:widowControl w:val="1"/>
      </w:pPr>
      <w:r>
        <w:t>Controlled corrective actions:</w:t>
      </w:r>
    </w:p>
    <w:p>
      <w:pPr>
        <w:widowControl w:val="1"/>
        <w:spacing w:after="56"/>
        <w:ind w:left="317" w:hanging="210"/>
      </w:pPr>
      <w:r>
        <w:t>1.  Log incident/change and obtain data-owner approval plus recovery plan.</w:t>
      </w:r>
    </w:p>
    <w:p>
      <w:pPr>
        <w:widowControl w:val="1"/>
        <w:spacing w:after="56"/>
        <w:ind w:left="317" w:hanging="210"/>
      </w:pPr>
      <w:r>
        <w:t>2.  Prefer isolated restore/validation before production cutover where feasible; follow section 10.</w:t>
      </w:r>
    </w:p>
    <w:p>
      <w:pPr>
        <w:widowControl w:val="1"/>
        <w:spacing w:after="56"/>
        <w:ind w:left="317" w:hanging="210"/>
      </w:pPr>
      <w:r>
        <w:t>3.  After recovery, compare document counts, newest/oldest data, dashboards, security configuration and write pipelines.</w:t>
      </w:r>
    </w:p>
    <w:p>
      <w:pPr>
        <w:widowControl w:val="1"/>
      </w:pPr>
      <w:r>
        <w:rPr>
          <w:b/>
        </w:rPr>
        <w:t xml:space="preserve">Recovery verification: </w:t>
      </w:r>
      <w:r>
        <w:t>Recovered data confirmed by application owner; index health, search, ingestion and approved RTO/RPO evidence recorded.</w:t>
      </w:r>
    </w:p>
    <w:p>
      <w:pPr>
        <w:widowControl w:val="1"/>
      </w:pPr>
      <w:r>
        <w:rPr>
          <w:b/>
        </w:rPr>
        <w:t xml:space="preserve">Escalate when: </w:t>
      </w:r>
      <w:r>
        <w:t>No valid recovery point, suspected snapshot corruption or recovery may violate retention/integrity requirements.</w:t>
      </w:r>
    </w:p>
    <w:p>
      <w:pPr>
        <w:pStyle w:val="Heading2"/>
        <w:widowControl w:val="1"/>
      </w:pPr>
      <w:r>
        <w:t>IR12  Unexpected host/application disappearance or retirement</w:t>
      </w:r>
    </w:p>
    <w:p>
      <w:pPr>
        <w:widowControl w:val="1"/>
      </w:pPr>
      <w:r>
        <w:rPr>
          <w:b/>
        </w:rPr>
        <w:t xml:space="preserve">Trigger / business effect: </w:t>
      </w:r>
      <w:r>
        <w:t>An entity stops reporting, but may be decommissioned rather than faulty.</w:t>
      </w:r>
    </w:p>
    <w:p>
      <w:pPr>
        <w:widowControl w:val="1"/>
      </w:pPr>
      <w:r>
        <w:t>Investigation:</w:t>
      </w:r>
    </w:p>
    <w:p>
      <w:pPr>
        <w:widowControl w:val="1"/>
        <w:spacing w:after="56"/>
        <w:ind w:left="317" w:hanging="210"/>
      </w:pPr>
      <w:r>
        <w:t>1.  Compare latest signal with CMDB, change tickets, owner and lifecycle state.</w:t>
      </w:r>
    </w:p>
    <w:p>
      <w:pPr>
        <w:widowControl w:val="1"/>
        <w:spacing w:after="56"/>
        <w:ind w:left="317" w:hanging="210"/>
      </w:pPr>
      <w:r>
        <w:t>2.  Check tags/service owners and verify whether the system moved, was renamed, or is permanently retired.</w:t>
      </w:r>
    </w:p>
    <w:p>
      <w:pPr>
        <w:widowControl w:val="1"/>
        <w:spacing w:after="56"/>
        <w:ind w:left="317" w:hanging="210"/>
      </w:pPr>
      <w:r>
        <w:t>3.  Identify Fleet policy, monitors, alerts, dashboards, data stream retention and sensitive data dependencies.</w:t>
      </w:r>
    </w:p>
    <w:p>
      <w:pPr>
        <w:widowControl w:val="1"/>
      </w:pPr>
      <w:r>
        <w:t>Controlled corrective actions:</w:t>
      </w:r>
    </w:p>
    <w:p>
      <w:pPr>
        <w:widowControl w:val="1"/>
        <w:spacing w:after="56"/>
        <w:ind w:left="317" w:hanging="210"/>
      </w:pPr>
      <w:r>
        <w:t>1.  If not approved retirement, follow IR04/IR05 and raise data gap issue.</w:t>
      </w:r>
    </w:p>
    <w:p>
      <w:pPr>
        <w:widowControl w:val="1"/>
        <w:spacing w:after="56"/>
        <w:ind w:left="317" w:hanging="210"/>
      </w:pPr>
      <w:r>
        <w:t>2.  If retirement authorised, disable collection and related alerts through change; unenroll agents and revoke enrollment/API keys as appropriate.</w:t>
      </w:r>
    </w:p>
    <w:p>
      <w:pPr>
        <w:widowControl w:val="1"/>
        <w:spacing w:after="56"/>
        <w:ind w:left="317" w:hanging="210"/>
      </w:pPr>
      <w:r>
        <w:t>3.  Preserve or delete retained history strictly per approved retention and legal hold controls.</w:t>
      </w:r>
    </w:p>
    <w:p>
      <w:pPr>
        <w:widowControl w:val="1"/>
      </w:pPr>
      <w:r>
        <w:rPr>
          <w:b/>
        </w:rPr>
        <w:t xml:space="preserve">Recovery verification: </w:t>
      </w:r>
      <w:r>
        <w:t>Inventory, Fleet, alert rules and data retention accurately reflect final service state.</w:t>
      </w:r>
    </w:p>
    <w:p>
      <w:pPr>
        <w:widowControl w:val="1"/>
      </w:pPr>
      <w:r>
        <w:rPr>
          <w:b/>
        </w:rPr>
        <w:t xml:space="preserve">Escalate when: </w:t>
      </w:r>
      <w:r>
        <w:t>System disappears without owner confirmation or regulatory/audit data is at risk.</w:t>
      </w:r>
    </w:p>
    <w:p>
      <w:pPr>
        <w:pStyle w:val="Heading1"/>
        <w:widowControl w:val="1"/>
      </w:pPr>
      <w:r>
        <w:t>9. Planned change: upgrades, onboarding and decommissioning</w:t>
      </w:r>
    </w:p>
    <w:p>
      <w:pPr>
        <w:pStyle w:val="Heading2"/>
        <w:widowControl w:val="1"/>
      </w:pPr>
      <w:r>
        <w:t>9.1 Change classification and prerequisites</w:t>
      </w:r>
    </w:p>
    <w:p>
      <w:pPr>
        <w:widowControl w:val="1"/>
      </w:pPr>
      <w:r>
        <w:t>Every material upgrade or integration change requires a documented request, service impact analysis, owner approval, change window and roll-forward/restore options. Capture current versions, environment, endpoint ownership, dependencies, snapshots and test results. Avoid doing an urgent upgrade solely because a later version number exists.</w:t>
      </w:r>
    </w:p>
    <w:p>
      <w:pPr>
        <w:pStyle w:val="Heading2"/>
        <w:widowControl w:val="1"/>
      </w:pPr>
      <w:r>
        <w:t>9.2 Elastic Cloud Hosted deployment upgrades (CH01)</w:t>
      </w:r>
    </w:p>
    <w:p>
      <w:pPr>
        <w:widowControl w:val="1"/>
      </w:pPr>
      <w:r>
        <w:t>This deployment is Elastic Cloud HOSTED, so the approved upgrade path is through the Elastic Cloud Console; ScottishPower does not manually patch Elasticsearch node operating systems. Cloud-managed Elasticsearch, Kibana and associated hosted components are upgraded together according to the selected supported path.</w:t>
      </w:r>
    </w:p>
    <w:p>
      <w:pPr>
        <w:widowControl w:val="1"/>
        <w:spacing w:after="56"/>
        <w:ind w:left="317" w:hanging="210"/>
      </w:pPr>
      <w:r>
        <w:t>1.  Plan: review Elastic release notes, upgrade compatibility and deprecations; identify required intermediate versions and non-compatible plugins/integrations.</w:t>
      </w:r>
    </w:p>
    <w:p>
      <w:pPr>
        <w:widowControl w:val="1"/>
        <w:spacing w:after="56"/>
        <w:ind w:left="317" w:hanging="210"/>
      </w:pPr>
      <w:r>
        <w:t>2.  Assess: list APM SDKs, Elastic Agents, Filebeat/Metricbeat/Auditbeat, Logstash, API clients, SSO integration, ingest pipelines, Kibana dashboards, and alert connectors that require testing.</w:t>
      </w:r>
    </w:p>
    <w:p>
      <w:pPr>
        <w:widowControl w:val="1"/>
        <w:spacing w:after="56"/>
        <w:ind w:left="317" w:hanging="210"/>
      </w:pPr>
      <w:r>
        <w:t>3.  Baseline: record cluster green status, nodes, shard balance, heap/CPU, disk, data freshness, last successful snapshot, APM/Synthetics results and critical dashboards.</w:t>
      </w:r>
    </w:p>
    <w:p>
      <w:pPr>
        <w:widowControl w:val="1"/>
        <w:spacing w:after="56"/>
        <w:ind w:left="317" w:hanging="210"/>
      </w:pPr>
      <w:r>
        <w:t>4.  Preflight: use Kibana Upgrade Assistant/deprecation checks if applicable; resolve blocking issues and verify a recent recoverable snapshot.</w:t>
      </w:r>
    </w:p>
    <w:p>
      <w:pPr>
        <w:widowControl w:val="1"/>
        <w:spacing w:after="56"/>
        <w:ind w:left="317" w:hanging="210"/>
      </w:pPr>
      <w:r>
        <w:t>5.  Test in non-production: run representative ingestion, index templates, Logstash routing, agent policies, SSO, alerts, APM and restore verification where possible.</w:t>
      </w:r>
    </w:p>
    <w:p>
      <w:pPr>
        <w:widowControl w:val="1"/>
        <w:spacing w:after="56"/>
        <w:ind w:left="317" w:hanging="210"/>
      </w:pPr>
      <w:r>
        <w:t>6.  Raise/approve a change with rollback strategy focused on restoration/redeployment; Elasticsearch downgrades are not a standard in-place rollback.</w:t>
      </w:r>
    </w:p>
    <w:p>
      <w:pPr>
        <w:widowControl w:val="1"/>
        <w:spacing w:after="56"/>
        <w:ind w:left="317" w:hanging="210"/>
      </w:pPr>
      <w:r>
        <w:t>7.  Execute: Elastic Cloud Console → deployment → Deployment version → Upgrade; choose validated release and confirm during change window.</w:t>
      </w:r>
    </w:p>
    <w:p>
      <w:pPr>
        <w:widowControl w:val="1"/>
        <w:spacing w:after="56"/>
        <w:ind w:left="317" w:hanging="210"/>
      </w:pPr>
      <w:r>
        <w:t>8.  Monitor Elastic Cloud plan events, cluster state and Kibana access; investigate any failed plan before changing more components.</w:t>
      </w:r>
    </w:p>
    <w:p>
      <w:pPr>
        <w:widowControl w:val="1"/>
        <w:spacing w:after="56"/>
        <w:ind w:left="317" w:hanging="210"/>
      </w:pPr>
      <w:r>
        <w:t>9.  Validate functional test matrix: sources, pipelines, APM, synthetics, Kibana saved objects, security, snapshot and notifications.</w:t>
      </w:r>
    </w:p>
    <w:p>
      <w:pPr>
        <w:widowControl w:val="1"/>
        <w:spacing w:after="56"/>
        <w:ind w:left="317" w:hanging="210"/>
      </w:pPr>
      <w:r>
        <w:t>10.  Then upgrade externally managed ingestion components in a tested compatible order; Fleet Server/agent version compatibility needs review.</w:t>
      </w:r>
    </w:p>
    <w:p>
      <w:pPr>
        <w:widowControl w:val="1"/>
        <w:spacing w:after="56"/>
        <w:ind w:left="317" w:hanging="210"/>
      </w:pPr>
      <w:r>
        <w:t>11.  Close change only after sign-off, refreshed CMDB/version inventory and documented defects.</w:t>
      </w:r>
    </w:p>
    <w:tbl>
      <w:tblPr>
        <w:tblW w:type="auto" w:w="0"/>
        <w:tblLayout w:type="fixed"/>
        <w:tblLook w:firstColumn="1" w:firstRow="1" w:lastColumn="0" w:lastRow="0" w:noHBand="0" w:noVBand="1" w:val="04A0"/>
      </w:tblPr>
      <w:tblGrid>
        <w:gridCol w:w="9553"/>
      </w:tblGrid>
      <w:tr>
        <w:tc>
          <w:tcPr>
            <w:tcW w:type="dxa" w:w="9553"/>
            <w:shd w:fill="E8F2F2"/>
            <w:tcMar>
              <w:top w:w="100" w:type="dxa"/>
              <w:start w:w="150" w:type="dxa"/>
              <w:bottom w:w="100" w:type="dxa"/>
              <w:end w:w="150" w:type="dxa"/>
            </w:tcMar>
          </w:tcPr>
          <w:p>
            <w:r>
              <w:rPr>
                <w:b/>
                <w:color w:val="00747E"/>
              </w:rPr>
              <w:t xml:space="preserve">UPGRADE CAUTION  </w:t>
            </w:r>
            <w:r>
              <w:t>Elastic documents an automatic pre-upgrade snapshot for Elastic Cloud Hosted; still verify last successful backups and recoverability. A failed upgrade or breaking change cannot generally be solved by simply selecting an older Elasticsearch version. Plan compatible restore to another deployment if necessary.</w:t>
            </w:r>
          </w:p>
        </w:tc>
      </w:tr>
    </w:tbl>
    <w:p>
      <w:pPr>
        <w:spacing w:after="0"/>
      </w:pPr>
    </w:p>
    <w:p>
      <w:pPr>
        <w:pStyle w:val="Heading2"/>
        <w:widowControl w:val="1"/>
      </w:pPr>
      <w:r>
        <w:t>9.3 Elastic Agent upgrades — Windows and Linux (CH02)</w:t>
      </w:r>
    </w:p>
    <w:p>
      <w:pPr>
        <w:widowControl w:val="1"/>
        <w:spacing w:after="56"/>
        <w:ind w:left="317" w:hanging="210"/>
      </w:pPr>
      <w:r>
        <w:t>1.  Inventory agents by OS, version, installation method, Fleet-managed versus standalone, source criticality and network path to the artifact repository.</w:t>
      </w:r>
    </w:p>
    <w:p>
      <w:pPr>
        <w:widowControl w:val="1"/>
        <w:spacing w:after="56"/>
        <w:ind w:left="317" w:hanging="210"/>
      </w:pPr>
      <w:r>
        <w:t>2.  Choose a version compatible with Fleet Server and the hosted Elastic Stack. Confirm package support and agent policy minimum version.</w:t>
      </w:r>
    </w:p>
    <w:p>
      <w:pPr>
        <w:widowControl w:val="1"/>
        <w:spacing w:after="56"/>
        <w:ind w:left="317" w:hanging="210"/>
      </w:pPr>
      <w:r>
        <w:t>3.  Test one Windows non-production host and one Linux host representative of the fleet; capture before/after service status and ingested events.</w:t>
      </w:r>
    </w:p>
    <w:p>
      <w:pPr>
        <w:widowControl w:val="1"/>
        <w:spacing w:after="56"/>
        <w:ind w:left="317" w:hanging="210"/>
      </w:pPr>
      <w:r>
        <w:t>4.  Windows installed by supported MSI/ZIP and supported Linux tar.gz Fleet-managed installs can usually upgrade via Fleet. Linux DEB/RPM and Docker/Kubernetes installations require package/image-based upgrades as documented by Elastic.</w:t>
      </w:r>
    </w:p>
    <w:p>
      <w:pPr>
        <w:widowControl w:val="1"/>
        <w:spacing w:after="56"/>
        <w:ind w:left="317" w:hanging="210"/>
      </w:pPr>
      <w:r>
        <w:t>5.  Deploy in waves with clear stop criteria; do not mass-upgrade every production host at once.</w:t>
      </w:r>
    </w:p>
    <w:p>
      <w:pPr>
        <w:widowControl w:val="1"/>
        <w:spacing w:after="56"/>
        <w:ind w:left="317" w:hanging="210"/>
      </w:pPr>
      <w:r>
        <w:t>6.  Verify Healthy status, policy application, service process, latest logs/metrics and absence of duplicate data.</w:t>
      </w:r>
    </w:p>
    <w:p>
      <w:pPr>
        <w:widowControl w:val="1"/>
        <w:spacing w:after="56"/>
        <w:ind w:left="317" w:hanging="210"/>
      </w:pPr>
      <w:r>
        <w:t>7.  On failure collect diagnostics and follow documented agent-specific rollback or package remediation; notify host owner.</w:t>
      </w:r>
    </w:p>
    <w:p>
      <w:pPr>
        <w:pStyle w:val="Heading2"/>
        <w:widowControl w:val="1"/>
      </w:pPr>
      <w:r>
        <w:t>9.4 Beats / Logstash upgrades (CH03)</w:t>
      </w:r>
    </w:p>
    <w:p>
      <w:pPr>
        <w:widowControl w:val="1"/>
        <w:spacing w:after="56"/>
        <w:ind w:left="317" w:hanging="210"/>
      </w:pPr>
      <w:r>
        <w:t>1.  Verify that standalone Filebeat, Metricbeat, Auditbeat or Logstash is actually installed and record exact package, host and service owner.</w:t>
      </w:r>
    </w:p>
    <w:p>
      <w:pPr>
        <w:widowControl w:val="1"/>
        <w:spacing w:after="56"/>
        <w:ind w:left="317" w:hanging="210"/>
      </w:pPr>
      <w:r>
        <w:t>2.  Check Stack compatibility, plugin version and configuration deprecations; read release notes.</w:t>
      </w:r>
    </w:p>
    <w:p>
      <w:pPr>
        <w:widowControl w:val="1"/>
        <w:spacing w:after="56"/>
        <w:ind w:left="317" w:hanging="210"/>
      </w:pPr>
      <w:r>
        <w:t>3.  Back up configuration securely and validate pipeline syntax/configs in non-production.</w:t>
      </w:r>
    </w:p>
    <w:p>
      <w:pPr>
        <w:widowControl w:val="1"/>
        <w:spacing w:after="56"/>
        <w:ind w:left="317" w:hanging="210"/>
      </w:pPr>
      <w:r>
        <w:t>4.  Confirm buffers/PQ/DLQ and potential data loss exposure; obtain an ingestion pause/backfill plan if necessary.</w:t>
      </w:r>
    </w:p>
    <w:p>
      <w:pPr>
        <w:widowControl w:val="1"/>
        <w:spacing w:after="56"/>
        <w:ind w:left="317" w:hanging="210"/>
      </w:pPr>
      <w:r>
        <w:t>5.  Upgrade during approved window using OS package/change mechanism, not the Elastic Cloud deployment upgrade control.</w:t>
      </w:r>
    </w:p>
    <w:p>
      <w:pPr>
        <w:widowControl w:val="1"/>
        <w:spacing w:after="56"/>
        <w:ind w:left="317" w:hanging="210"/>
      </w:pPr>
      <w:r>
        <w:t>6.  Check collector service health, Logstash pipelines, input/output events, mapping, and last observed log after rollout.</w:t>
      </w:r>
    </w:p>
    <w:p>
      <w:pPr>
        <w:widowControl w:val="1"/>
        <w:spacing w:after="56"/>
        <w:ind w:left="317" w:hanging="210"/>
      </w:pPr>
      <w:r>
        <w:t>7.  Revert the component/package using tested host change procedure if permitted; restore previous configuration and confirm no telemetry loss.</w:t>
      </w:r>
    </w:p>
    <w:p>
      <w:pPr>
        <w:pStyle w:val="Heading2"/>
        <w:widowControl w:val="1"/>
      </w:pPr>
      <w:r>
        <w:t>9.5 New monitoring source onboarding (CH04)</w:t>
      </w:r>
    </w:p>
    <w:p>
      <w:pPr>
        <w:widowControl w:val="1"/>
        <w:spacing w:after="56"/>
        <w:ind w:left="317" w:hanging="210"/>
      </w:pPr>
      <w:r>
        <w:t>1.  Receive approved request with business owner, environment, host/service IDs, expected log/metric/APM sources, criticality, data classification, retention and desired alerts.</w:t>
      </w:r>
    </w:p>
    <w:p>
      <w:pPr>
        <w:widowControl w:val="1"/>
        <w:spacing w:after="56"/>
        <w:ind w:left="317" w:hanging="210"/>
      </w:pPr>
      <w:r>
        <w:t>2.  Select approved route: Fleet-managed Elastic Agent preferred where suitable; otherwise supported Beats, APM SDK, Logstash or API.</w:t>
      </w:r>
    </w:p>
    <w:p>
      <w:pPr>
        <w:widowControl w:val="1"/>
        <w:spacing w:after="56"/>
        <w:ind w:left="317" w:hanging="210"/>
      </w:pPr>
      <w:r>
        <w:t>3.  Define integration policy and secure output connectivity (TLS, proxy, firewall, credential scopes); do not embed enrollment tokens in documentation.</w:t>
      </w:r>
    </w:p>
    <w:p>
      <w:pPr>
        <w:widowControl w:val="1"/>
        <w:spacing w:after="56"/>
        <w:ind w:left="317" w:hanging="210"/>
      </w:pPr>
      <w:r>
        <w:t>4.  Apply naming/tags: business_unit, team, service.name, host.name, environment and dataset; align with Elastic Common Schema where practicable.</w:t>
      </w:r>
    </w:p>
    <w:p>
      <w:pPr>
        <w:widowControl w:val="1"/>
        <w:spacing w:after="56"/>
        <w:ind w:left="317" w:hanging="210"/>
      </w:pPr>
      <w:r>
        <w:t>5.  Test expected event sample, mapping, timestamps, data-stream naming, volume, retention and access controls.</w:t>
      </w:r>
    </w:p>
    <w:p>
      <w:pPr>
        <w:widowControl w:val="1"/>
        <w:spacing w:after="56"/>
        <w:ind w:left="317" w:hanging="210"/>
      </w:pPr>
      <w:r>
        <w:t>6.  Create service/dashboard/alert monitoring and define data freshness SLA and escalation ownership.</w:t>
      </w:r>
    </w:p>
    <w:p>
      <w:pPr>
        <w:widowControl w:val="1"/>
        <w:spacing w:after="56"/>
        <w:ind w:left="317" w:hanging="210"/>
      </w:pPr>
      <w:r>
        <w:t>7.  Obtain application owner sign-off; update source register, support inventory, diagrams and as-built configuration.</w:t>
      </w:r>
    </w:p>
    <w:p>
      <w:pPr>
        <w:pStyle w:val="Heading2"/>
        <w:widowControl w:val="1"/>
      </w:pPr>
      <w:r>
        <w:t>9.6 Decommissioning monitored sources (CH05)</w:t>
      </w:r>
    </w:p>
    <w:p>
      <w:pPr>
        <w:widowControl w:val="1"/>
        <w:spacing w:after="56"/>
        <w:ind w:left="317" w:hanging="210"/>
      </w:pPr>
      <w:r>
        <w:t>1.  Confirm decommission approval, legal hold and data-retention obligations.</w:t>
      </w:r>
    </w:p>
    <w:p>
      <w:pPr>
        <w:widowControl w:val="1"/>
        <w:spacing w:after="56"/>
        <w:ind w:left="317" w:hanging="210"/>
      </w:pPr>
      <w:r>
        <w:t>2.  Record last successful events, dependent rules, dashboards, Synthetics monitors, agent identities, policies and service owners.</w:t>
      </w:r>
    </w:p>
    <w:p>
      <w:pPr>
        <w:widowControl w:val="1"/>
        <w:spacing w:after="56"/>
        <w:ind w:left="317" w:hanging="210"/>
      </w:pPr>
      <w:r>
        <w:t>3.  Disable source collection or uninstall with host owner, then unenroll Fleet Agent or remove Beat/Logstash inputs as appropriate.</w:t>
      </w:r>
    </w:p>
    <w:p>
      <w:pPr>
        <w:widowControl w:val="1"/>
        <w:spacing w:after="56"/>
        <w:ind w:left="317" w:hanging="210"/>
      </w:pPr>
      <w:r>
        <w:t>4.  Remove or update obsolete alerts and dashboard dependencies; revoke no-longer-required credentials.</w:t>
      </w:r>
    </w:p>
    <w:p>
      <w:pPr>
        <w:widowControl w:val="1"/>
        <w:spacing w:after="56"/>
        <w:ind w:left="317" w:hanging="210"/>
      </w:pPr>
      <w:r>
        <w:t>5.  Retain historical data until lifecycle permits deletion; never purge data solely because monitoring stopped.</w:t>
      </w:r>
    </w:p>
    <w:p>
      <w:pPr>
        <w:widowControl w:val="1"/>
        <w:spacing w:after="56"/>
        <w:ind w:left="317" w:hanging="210"/>
      </w:pPr>
      <w:r>
        <w:t>6.  Update inventory, CMDB, ownership and closure evidence; independently confirm no unintended active systems were affected.</w:t>
      </w:r>
    </w:p>
    <w:p>
      <w:pPr>
        <w:pStyle w:val="Heading1"/>
        <w:widowControl w:val="1"/>
      </w:pPr>
      <w:r>
        <w:t>10. Backup, restoration and disaster recovery</w:t>
      </w:r>
    </w:p>
    <w:p>
      <w:pPr>
        <w:pStyle w:val="Heading2"/>
        <w:widowControl w:val="1"/>
      </w:pPr>
      <w:r>
        <w:t>10.1 What Elastic Cloud Hosted provides</w:t>
      </w:r>
    </w:p>
    <w:p>
      <w:pPr>
        <w:widowControl w:val="1"/>
      </w:pPr>
      <w:r>
        <w:t>Elastic Cloud Hosted automatically registers a managed snapshot repository, typically named found-snapshots, and a corresponding cloud-snapshot-policy. Elastic documentation describes a default snapshot interval of 30 minutes, subject to configuration. Verify the live schedule, last success, retention, available restore points and subscription capabilities. Snapshots are not a replacement for business-level recovery tests.</w:t>
      </w:r>
    </w:p>
    <w:p>
      <w:pPr>
        <w:pStyle w:val="Heading2"/>
        <w:widowControl w:val="1"/>
      </w:pPr>
      <w:r>
        <w:t>10.2 Snapshot daily/weekly assurance (BK01)</w:t>
      </w:r>
    </w:p>
    <w:p>
      <w:pPr>
        <w:widowControl w:val="1"/>
        <w:spacing w:after="56"/>
        <w:ind w:left="317" w:hanging="210"/>
      </w:pPr>
      <w:r>
        <w:t>1.  Read the snapshot list and SLM execution history. Confirm most recent successful snapshot is within the documented RPO.</w:t>
      </w:r>
    </w:p>
    <w:p>
      <w:pPr>
        <w:widowControl w:val="1"/>
        <w:spacing w:after="56"/>
        <w:ind w:left="317" w:hanging="210"/>
      </w:pPr>
      <w:r>
        <w:t>2.  Check repository status, failed attempts, deleted snapshots, unexpected retention changes and recent volume trends.</w:t>
      </w:r>
    </w:p>
    <w:p>
      <w:pPr>
        <w:widowControl w:val="1"/>
        <w:spacing w:after="56"/>
        <w:ind w:left="317" w:hanging="210"/>
      </w:pPr>
      <w:r>
        <w:t>3.  Confirm the snapshot includes the target indices/system data required for the intended recovery; closed indices are not backed up by ordinary snapshots in Elastic Cloud Hosted.</w:t>
      </w:r>
    </w:p>
    <w:p>
      <w:pPr>
        <w:widowControl w:val="1"/>
        <w:spacing w:after="56"/>
        <w:ind w:left="317" w:hanging="210"/>
      </w:pPr>
      <w:r>
        <w:t>4.  Document snapshot timestamp, repository, policy, failure count and ticket for any gap.</w:t>
      </w:r>
    </w:p>
    <w:p>
      <w:pPr>
        <w:pStyle w:val="Heading2"/>
        <w:widowControl w:val="1"/>
      </w:pPr>
      <w:r>
        <w:t>10.3 Controlled restore runbook (BK02)</w:t>
      </w:r>
    </w:p>
    <w:p>
      <w:pPr>
        <w:widowControl w:val="1"/>
        <w:spacing w:after="56"/>
        <w:ind w:left="317" w:hanging="210"/>
      </w:pPr>
      <w:r>
        <w:t>1.  Raise approved disaster recovery/restore request: affected service, exact index/data stream, incident and data owner.</w:t>
      </w:r>
    </w:p>
    <w:p>
      <w:pPr>
        <w:widowControl w:val="1"/>
        <w:spacing w:after="56"/>
        <w:ind w:left="317" w:hanging="210"/>
      </w:pPr>
      <w:r>
        <w:t>2.  Identify last known good restore point and acceptable data loss based on agreed RPO.</w:t>
      </w:r>
    </w:p>
    <w:p>
      <w:pPr>
        <w:widowControl w:val="1"/>
        <w:spacing w:after="56"/>
        <w:ind w:left="317" w:hanging="210"/>
      </w:pPr>
      <w:r>
        <w:t>3.  Validate target Elasticsearch version compatibility, repository access, security controls, index naming conflicts and dependencies.</w:t>
      </w:r>
    </w:p>
    <w:p>
      <w:pPr>
        <w:widowControl w:val="1"/>
        <w:spacing w:after="56"/>
        <w:ind w:left="317" w:hanging="210"/>
      </w:pPr>
      <w:r>
        <w:t>4.  Select separate recovery deployment where feasible; plan access restriction and cost/capacity.</w:t>
      </w:r>
    </w:p>
    <w:p>
      <w:pPr>
        <w:widowControl w:val="1"/>
        <w:spacing w:after="56"/>
        <w:ind w:left="317" w:hanging="210"/>
      </w:pPr>
      <w:r>
        <w:t>5.  Ask Elastic support to assist when managed features or repository access require it.</w:t>
      </w:r>
    </w:p>
    <w:p>
      <w:pPr>
        <w:widowControl w:val="1"/>
        <w:spacing w:after="56"/>
        <w:ind w:left="317" w:hanging="210"/>
      </w:pPr>
      <w:r>
        <w:t>6.  Restore only intended indices/data streams/system feature states under approved documented plan; avoid blindly restoring the entire cluster state to active production.</w:t>
      </w:r>
    </w:p>
    <w:p>
      <w:pPr>
        <w:widowControl w:val="1"/>
        <w:spacing w:after="56"/>
        <w:ind w:left="317" w:hanging="210"/>
      </w:pPr>
      <w:r>
        <w:t>7.  Test reads, document counts, timestamp distribution, sample business records, Kibana objects, role mapping, APM ingestion and alerts.</w:t>
      </w:r>
    </w:p>
    <w:p>
      <w:pPr>
        <w:widowControl w:val="1"/>
        <w:spacing w:after="56"/>
        <w:ind w:left="317" w:hanging="210"/>
      </w:pPr>
      <w:r>
        <w:t>8.  Switch dependent ingest/search workflows if recovery requires a cutover; capture actual RTO and RPO, data gap and business sign-off.</w:t>
      </w:r>
    </w:p>
    <w:p>
      <w:pPr>
        <w:pStyle w:val="Heading2"/>
        <w:widowControl w:val="1"/>
      </w:pPr>
      <w:r>
        <w:t>10.4 Disaster recovery decision table</w:t>
      </w:r>
    </w:p>
    <w:tbl>
      <w:tblPr>
        <w:tblStyle w:val="TableGrid"/>
        <w:tblW w:type="auto" w:w="0"/>
        <w:jc w:val="center"/>
        <w:tblLayout w:type="fixed"/>
        <w:tblLook w:firstColumn="1" w:firstRow="1" w:lastColumn="0" w:lastRow="0" w:noHBand="0" w:noVBand="1" w:val="04A0"/>
      </w:tblPr>
      <w:tblGrid>
        <w:gridCol w:w="3184"/>
        <w:gridCol w:w="3184"/>
        <w:gridCol w:w="3184"/>
      </w:tblGrid>
      <w:tr>
        <w:trPr>
          <w:tblHeader w:val="true"/>
        </w:trPr>
        <w:tc>
          <w:tcPr>
            <w:tcW w:type="dxa" w:w="2324"/>
            <w:shd w:fill="15456B"/>
            <w:tcMar>
              <w:top w:w="85" w:type="dxa"/>
              <w:start w:w="90" w:type="dxa"/>
              <w:bottom w:w="85" w:type="dxa"/>
              <w:end w:w="90" w:type="dxa"/>
            </w:tcMar>
          </w:tcPr>
          <w:p>
            <w:pPr>
              <w:spacing w:after="0"/>
            </w:pPr>
            <w:r>
              <w:rPr>
                <w:b/>
                <w:color w:val="FFFFFF"/>
                <w:sz w:val="16"/>
              </w:rPr>
              <w:t>Scenario</w:t>
            </w:r>
          </w:p>
        </w:tc>
        <w:tc>
          <w:tcPr>
            <w:tcW w:type="dxa" w:w="3203"/>
            <w:shd w:fill="15456B"/>
            <w:tcMar>
              <w:top w:w="85" w:type="dxa"/>
              <w:start w:w="90" w:type="dxa"/>
              <w:bottom w:w="85" w:type="dxa"/>
              <w:end w:w="90" w:type="dxa"/>
            </w:tcMar>
          </w:tcPr>
          <w:p>
            <w:pPr>
              <w:spacing w:after="0"/>
            </w:pPr>
            <w:r>
              <w:rPr>
                <w:b/>
                <w:color w:val="FFFFFF"/>
                <w:sz w:val="16"/>
              </w:rPr>
              <w:t>First response</w:t>
            </w:r>
          </w:p>
        </w:tc>
        <w:tc>
          <w:tcPr>
            <w:tcW w:type="dxa" w:w="3883"/>
            <w:shd w:fill="15456B"/>
            <w:tcMar>
              <w:top w:w="85" w:type="dxa"/>
              <w:start w:w="90" w:type="dxa"/>
              <w:bottom w:w="85" w:type="dxa"/>
              <w:end w:w="90" w:type="dxa"/>
            </w:tcMar>
          </w:tcPr>
          <w:p>
            <w:pPr>
              <w:spacing w:after="0"/>
            </w:pPr>
            <w:r>
              <w:rPr>
                <w:b/>
                <w:color w:val="FFFFFF"/>
                <w:sz w:val="16"/>
              </w:rPr>
              <w:t>Recovery strategy</w:t>
            </w:r>
          </w:p>
        </w:tc>
      </w:tr>
      <w:tr>
        <w:tc>
          <w:tcPr>
            <w:tcW w:type="dxa" w:w="2324"/>
            <w:vAlign w:val="center"/>
            <w:tcMar>
              <w:top w:w="85" w:type="dxa"/>
              <w:start w:w="90" w:type="dxa"/>
              <w:bottom w:w="85" w:type="dxa"/>
              <w:end w:w="90" w:type="dxa"/>
            </w:tcMar>
          </w:tcPr>
          <w:p>
            <w:pPr>
              <w:spacing w:after="0" w:line="257" w:lineRule="auto"/>
            </w:pPr>
            <w:r>
              <w:rPr>
                <w:sz w:val="16"/>
              </w:rPr>
              <w:t>Temporary AZ/node issue</w:t>
            </w:r>
          </w:p>
        </w:tc>
        <w:tc>
          <w:tcPr>
            <w:tcW w:type="dxa" w:w="3203"/>
            <w:vAlign w:val="center"/>
            <w:tcMar>
              <w:top w:w="85" w:type="dxa"/>
              <w:start w:w="90" w:type="dxa"/>
              <w:bottom w:w="85" w:type="dxa"/>
              <w:end w:w="90" w:type="dxa"/>
            </w:tcMar>
          </w:tcPr>
          <w:p>
            <w:pPr>
              <w:spacing w:after="0" w:line="257" w:lineRule="auto"/>
            </w:pPr>
            <w:r>
              <w:rPr>
                <w:sz w:val="16"/>
              </w:rPr>
              <w:t>Confirm Cloud activity and shard/replica status</w:t>
            </w:r>
          </w:p>
        </w:tc>
        <w:tc>
          <w:tcPr>
            <w:tcW w:type="dxa" w:w="3883"/>
            <w:vAlign w:val="center"/>
            <w:tcMar>
              <w:top w:w="85" w:type="dxa"/>
              <w:start w:w="90" w:type="dxa"/>
              <w:bottom w:w="85" w:type="dxa"/>
              <w:end w:w="90" w:type="dxa"/>
            </w:tcMar>
          </w:tcPr>
          <w:p>
            <w:pPr>
              <w:spacing w:after="0" w:line="257" w:lineRule="auto"/>
            </w:pPr>
            <w:r>
              <w:rPr>
                <w:sz w:val="16"/>
              </w:rPr>
              <w:t>Provider recovery/scale; validate replica availability</w:t>
            </w:r>
          </w:p>
        </w:tc>
      </w:tr>
      <w:tr>
        <w:tc>
          <w:tcPr>
            <w:tcW w:type="dxa" w:w="2324"/>
            <w:vAlign w:val="center"/>
            <w:tcMar>
              <w:top w:w="85" w:type="dxa"/>
              <w:start w:w="90" w:type="dxa"/>
              <w:bottom w:w="85" w:type="dxa"/>
              <w:end w:w="90" w:type="dxa"/>
            </w:tcMar>
            <w:shd w:fill="F0F5F7"/>
          </w:tcPr>
          <w:p>
            <w:pPr>
              <w:spacing w:after="0" w:line="257" w:lineRule="auto"/>
            </w:pPr>
            <w:r>
              <w:rPr>
                <w:sz w:val="16"/>
              </w:rPr>
              <w:t>Accidental index deletion</w:t>
            </w:r>
          </w:p>
        </w:tc>
        <w:tc>
          <w:tcPr>
            <w:tcW w:type="dxa" w:w="3203"/>
            <w:vAlign w:val="center"/>
            <w:tcMar>
              <w:top w:w="85" w:type="dxa"/>
              <w:start w:w="90" w:type="dxa"/>
              <w:bottom w:w="85" w:type="dxa"/>
              <w:end w:w="90" w:type="dxa"/>
            </w:tcMar>
            <w:shd w:fill="F0F5F7"/>
          </w:tcPr>
          <w:p>
            <w:pPr>
              <w:spacing w:after="0" w:line="257" w:lineRule="auto"/>
            </w:pPr>
            <w:r>
              <w:rPr>
                <w:sz w:val="16"/>
              </w:rPr>
              <w:t>Freeze further changes, identify index and latest recovery snapshot</w:t>
            </w:r>
          </w:p>
        </w:tc>
        <w:tc>
          <w:tcPr>
            <w:tcW w:type="dxa" w:w="3883"/>
            <w:vAlign w:val="center"/>
            <w:tcMar>
              <w:top w:w="85" w:type="dxa"/>
              <w:start w:w="90" w:type="dxa"/>
              <w:bottom w:w="85" w:type="dxa"/>
              <w:end w:w="90" w:type="dxa"/>
            </w:tcMar>
            <w:shd w:fill="F0F5F7"/>
          </w:tcPr>
          <w:p>
            <w:pPr>
              <w:spacing w:after="0" w:line="257" w:lineRule="auto"/>
            </w:pPr>
            <w:r>
              <w:rPr>
                <w:sz w:val="16"/>
              </w:rPr>
              <w:t>Restore selected data to isolated destination first</w:t>
            </w:r>
          </w:p>
        </w:tc>
      </w:tr>
      <w:tr>
        <w:tc>
          <w:tcPr>
            <w:tcW w:type="dxa" w:w="2324"/>
            <w:vAlign w:val="center"/>
            <w:tcMar>
              <w:top w:w="85" w:type="dxa"/>
              <w:start w:w="90" w:type="dxa"/>
              <w:bottom w:w="85" w:type="dxa"/>
              <w:end w:w="90" w:type="dxa"/>
            </w:tcMar>
          </w:tcPr>
          <w:p>
            <w:pPr>
              <w:spacing w:after="0" w:line="257" w:lineRule="auto"/>
            </w:pPr>
            <w:r>
              <w:rPr>
                <w:sz w:val="16"/>
              </w:rPr>
              <w:t>Corrupted mapping or bad ingest change</w:t>
            </w:r>
          </w:p>
        </w:tc>
        <w:tc>
          <w:tcPr>
            <w:tcW w:type="dxa" w:w="3203"/>
            <w:vAlign w:val="center"/>
            <w:tcMar>
              <w:top w:w="85" w:type="dxa"/>
              <w:start w:w="90" w:type="dxa"/>
              <w:bottom w:w="85" w:type="dxa"/>
              <w:end w:w="90" w:type="dxa"/>
            </w:tcMar>
          </w:tcPr>
          <w:p>
            <w:pPr>
              <w:spacing w:after="0" w:line="257" w:lineRule="auto"/>
            </w:pPr>
            <w:r>
              <w:rPr>
                <w:sz w:val="16"/>
              </w:rPr>
              <w:t>Stop offending pipeline change, determine first bad write</w:t>
            </w:r>
          </w:p>
        </w:tc>
        <w:tc>
          <w:tcPr>
            <w:tcW w:type="dxa" w:w="3883"/>
            <w:vAlign w:val="center"/>
            <w:tcMar>
              <w:top w:w="85" w:type="dxa"/>
              <w:start w:w="90" w:type="dxa"/>
              <w:bottom w:w="85" w:type="dxa"/>
              <w:end w:w="90" w:type="dxa"/>
            </w:tcMar>
          </w:tcPr>
          <w:p>
            <w:pPr>
              <w:spacing w:after="0" w:line="257" w:lineRule="auto"/>
            </w:pPr>
            <w:r>
              <w:rPr>
                <w:sz w:val="16"/>
              </w:rPr>
              <w:t>Rollback policy/pipeline and replay or restore affected range if approved</w:t>
            </w:r>
          </w:p>
        </w:tc>
      </w:tr>
      <w:tr>
        <w:tc>
          <w:tcPr>
            <w:tcW w:type="dxa" w:w="2324"/>
            <w:vAlign w:val="center"/>
            <w:tcMar>
              <w:top w:w="85" w:type="dxa"/>
              <w:start w:w="90" w:type="dxa"/>
              <w:bottom w:w="85" w:type="dxa"/>
              <w:end w:w="90" w:type="dxa"/>
            </w:tcMar>
            <w:shd w:fill="F0F5F7"/>
          </w:tcPr>
          <w:p>
            <w:pPr>
              <w:spacing w:after="0" w:line="257" w:lineRule="auto"/>
            </w:pPr>
            <w:r>
              <w:rPr>
                <w:sz w:val="16"/>
              </w:rPr>
              <w:t>Major platform/version incompatibility</w:t>
            </w:r>
          </w:p>
        </w:tc>
        <w:tc>
          <w:tcPr>
            <w:tcW w:type="dxa" w:w="3203"/>
            <w:vAlign w:val="center"/>
            <w:tcMar>
              <w:top w:w="85" w:type="dxa"/>
              <w:start w:w="90" w:type="dxa"/>
              <w:bottom w:w="85" w:type="dxa"/>
              <w:end w:w="90" w:type="dxa"/>
            </w:tcMar>
            <w:shd w:fill="F0F5F7"/>
          </w:tcPr>
          <w:p>
            <w:pPr>
              <w:spacing w:after="0" w:line="257" w:lineRule="auto"/>
            </w:pPr>
            <w:r>
              <w:rPr>
                <w:sz w:val="16"/>
              </w:rPr>
              <w:t>Open incident and support case</w:t>
            </w:r>
          </w:p>
        </w:tc>
        <w:tc>
          <w:tcPr>
            <w:tcW w:type="dxa" w:w="3883"/>
            <w:vAlign w:val="center"/>
            <w:tcMar>
              <w:top w:w="85" w:type="dxa"/>
              <w:start w:w="90" w:type="dxa"/>
              <w:bottom w:w="85" w:type="dxa"/>
              <w:end w:w="90" w:type="dxa"/>
            </w:tcMar>
            <w:shd w:fill="F0F5F7"/>
          </w:tcPr>
          <w:p>
            <w:pPr>
              <w:spacing w:after="0" w:line="257" w:lineRule="auto"/>
            </w:pPr>
            <w:r>
              <w:rPr>
                <w:sz w:val="16"/>
              </w:rPr>
              <w:t>Build compatible target and restore from valid snapshot if required</w:t>
            </w:r>
          </w:p>
        </w:tc>
      </w:tr>
      <w:tr>
        <w:tc>
          <w:tcPr>
            <w:tcW w:type="dxa" w:w="2324"/>
            <w:vAlign w:val="center"/>
            <w:tcMar>
              <w:top w:w="85" w:type="dxa"/>
              <w:start w:w="90" w:type="dxa"/>
              <w:bottom w:w="85" w:type="dxa"/>
              <w:end w:w="90" w:type="dxa"/>
            </w:tcMar>
          </w:tcPr>
          <w:p>
            <w:pPr>
              <w:spacing w:after="0" w:line="257" w:lineRule="auto"/>
            </w:pPr>
            <w:r>
              <w:rPr>
                <w:sz w:val="16"/>
              </w:rPr>
              <w:t>All ingestion stopped but indices healthy</w:t>
            </w:r>
          </w:p>
        </w:tc>
        <w:tc>
          <w:tcPr>
            <w:tcW w:type="dxa" w:w="3203"/>
            <w:vAlign w:val="center"/>
            <w:tcMar>
              <w:top w:w="85" w:type="dxa"/>
              <w:start w:w="90" w:type="dxa"/>
              <w:bottom w:w="85" w:type="dxa"/>
              <w:end w:w="90" w:type="dxa"/>
            </w:tcMar>
          </w:tcPr>
          <w:p>
            <w:pPr>
              <w:spacing w:after="0" w:line="257" w:lineRule="auto"/>
            </w:pPr>
            <w:r>
              <w:rPr>
                <w:sz w:val="16"/>
              </w:rPr>
              <w:t>Trace source-to-index route</w:t>
            </w:r>
          </w:p>
        </w:tc>
        <w:tc>
          <w:tcPr>
            <w:tcW w:type="dxa" w:w="3883"/>
            <w:vAlign w:val="center"/>
            <w:tcMar>
              <w:top w:w="85" w:type="dxa"/>
              <w:start w:w="90" w:type="dxa"/>
              <w:bottom w:w="85" w:type="dxa"/>
              <w:end w:w="90" w:type="dxa"/>
            </w:tcMar>
          </w:tcPr>
          <w:p>
            <w:pPr>
              <w:spacing w:after="0" w:line="257" w:lineRule="auto"/>
            </w:pPr>
            <w:r>
              <w:rPr>
                <w:sz w:val="16"/>
              </w:rPr>
              <w:t>Restore collectors/pipelines; replay buffers if available</w:t>
            </w:r>
          </w:p>
        </w:tc>
      </w:tr>
    </w:tbl>
    <w:p>
      <w:pPr>
        <w:spacing w:after="0"/>
      </w:pPr>
    </w:p>
    <w:tbl>
      <w:tblPr>
        <w:tblW w:type="auto" w:w="0"/>
        <w:tblLayout w:type="fixed"/>
        <w:tblLook w:firstColumn="1" w:firstRow="1" w:lastColumn="0" w:lastRow="0" w:noHBand="0" w:noVBand="1" w:val="04A0"/>
      </w:tblPr>
      <w:tblGrid>
        <w:gridCol w:w="9553"/>
      </w:tblGrid>
      <w:tr>
        <w:tc>
          <w:tcPr>
            <w:tcW w:type="dxa" w:w="9553"/>
            <w:shd w:fill="E8F2F2"/>
            <w:tcMar>
              <w:top w:w="100" w:type="dxa"/>
              <w:start w:w="150" w:type="dxa"/>
              <w:bottom w:w="100" w:type="dxa"/>
              <w:end w:w="150" w:type="dxa"/>
            </w:tcMar>
          </w:tcPr>
          <w:p>
            <w:r>
              <w:rPr>
                <w:b/>
                <w:color w:val="00747E"/>
              </w:rPr>
              <w:t xml:space="preserve">CRITICAL LIMITATION  </w:t>
            </w:r>
            <w:r>
              <w:t>Do not remove or delete the managed found-snapshots repository/snapshots casually: Elastic notes that deleted managed snapshots are not recoverable from an independent storage-level version. Additional separate repositories may be needed to satisfy stricter enterprise resilience requirements.</w:t>
            </w:r>
          </w:p>
        </w:tc>
      </w:tr>
    </w:tbl>
    <w:p>
      <w:pPr>
        <w:spacing w:after="0"/>
      </w:pPr>
    </w:p>
    <w:p>
      <w:pPr>
        <w:pStyle w:val="Heading1"/>
        <w:widowControl w:val="1"/>
      </w:pPr>
      <w:r>
        <w:t>11. Thresholds, alerts, evidence and reporting</w:t>
      </w:r>
    </w:p>
    <w:p>
      <w:pPr>
        <w:pStyle w:val="Heading2"/>
        <w:widowControl w:val="1"/>
      </w:pPr>
      <w:r>
        <w:t>11.1 Monitoring threshold catalogue — initial policy only</w:t>
      </w:r>
    </w:p>
    <w:tbl>
      <w:tblPr>
        <w:tblStyle w:val="TableGrid"/>
        <w:tblW w:type="auto" w:w="0"/>
        <w:jc w:val="center"/>
        <w:tblLayout w:type="fixed"/>
        <w:tblLook w:firstColumn="1" w:firstRow="1" w:lastColumn="0" w:lastRow="0" w:noHBand="0" w:noVBand="1" w:val="04A0"/>
      </w:tblPr>
      <w:tblGrid>
        <w:gridCol w:w="2388"/>
        <w:gridCol w:w="2388"/>
        <w:gridCol w:w="2388"/>
        <w:gridCol w:w="2388"/>
      </w:tblGrid>
      <w:tr>
        <w:trPr>
          <w:tblHeader w:val="true"/>
        </w:trPr>
        <w:tc>
          <w:tcPr>
            <w:tcW w:type="dxa" w:w="1701"/>
            <w:shd w:fill="15456B"/>
            <w:tcMar>
              <w:top w:w="85" w:type="dxa"/>
              <w:start w:w="90" w:type="dxa"/>
              <w:bottom w:w="85" w:type="dxa"/>
              <w:end w:w="90" w:type="dxa"/>
            </w:tcMar>
          </w:tcPr>
          <w:p>
            <w:pPr>
              <w:spacing w:after="0"/>
            </w:pPr>
            <w:r>
              <w:rPr>
                <w:b/>
                <w:color w:val="FFFFFF"/>
                <w:sz w:val="16"/>
              </w:rPr>
              <w:t>Signal</w:t>
            </w:r>
          </w:p>
        </w:tc>
        <w:tc>
          <w:tcPr>
            <w:tcW w:type="dxa" w:w="2835"/>
            <w:shd w:fill="15456B"/>
            <w:tcMar>
              <w:top w:w="85" w:type="dxa"/>
              <w:start w:w="90" w:type="dxa"/>
              <w:bottom w:w="85" w:type="dxa"/>
              <w:end w:w="90" w:type="dxa"/>
            </w:tcMar>
          </w:tcPr>
          <w:p>
            <w:pPr>
              <w:spacing w:after="0"/>
            </w:pPr>
            <w:r>
              <w:rPr>
                <w:b/>
                <w:color w:val="FFFFFF"/>
                <w:sz w:val="16"/>
              </w:rPr>
              <w:t>Early attention / amber</w:t>
            </w:r>
          </w:p>
        </w:tc>
        <w:tc>
          <w:tcPr>
            <w:tcW w:type="dxa" w:w="2835"/>
            <w:shd w:fill="15456B"/>
            <w:tcMar>
              <w:top w:w="85" w:type="dxa"/>
              <w:start w:w="90" w:type="dxa"/>
              <w:bottom w:w="85" w:type="dxa"/>
              <w:end w:w="90" w:type="dxa"/>
            </w:tcMar>
          </w:tcPr>
          <w:p>
            <w:pPr>
              <w:spacing w:after="0"/>
            </w:pPr>
            <w:r>
              <w:rPr>
                <w:b/>
                <w:color w:val="FFFFFF"/>
                <w:sz w:val="16"/>
              </w:rPr>
              <w:t>Critical decision</w:t>
            </w:r>
          </w:p>
        </w:tc>
        <w:tc>
          <w:tcPr>
            <w:tcW w:type="dxa" w:w="2041"/>
            <w:shd w:fill="15456B"/>
            <w:tcMar>
              <w:top w:w="85" w:type="dxa"/>
              <w:start w:w="90" w:type="dxa"/>
              <w:bottom w:w="85" w:type="dxa"/>
              <w:end w:w="90" w:type="dxa"/>
            </w:tcMar>
          </w:tcPr>
          <w:p>
            <w:pPr>
              <w:spacing w:after="0"/>
            </w:pPr>
            <w:r>
              <w:rPr>
                <w:b/>
                <w:color w:val="FFFFFF"/>
                <w:sz w:val="16"/>
              </w:rPr>
              <w:t>Notes</w:t>
            </w:r>
          </w:p>
        </w:tc>
      </w:tr>
      <w:tr>
        <w:tc>
          <w:tcPr>
            <w:tcW w:type="dxa" w:w="1701"/>
            <w:vAlign w:val="center"/>
            <w:tcMar>
              <w:top w:w="85" w:type="dxa"/>
              <w:start w:w="90" w:type="dxa"/>
              <w:bottom w:w="85" w:type="dxa"/>
              <w:end w:w="90" w:type="dxa"/>
            </w:tcMar>
          </w:tcPr>
          <w:p>
            <w:pPr>
              <w:spacing w:after="0" w:line="257" w:lineRule="auto"/>
            </w:pPr>
            <w:r>
              <w:rPr>
                <w:sz w:val="16"/>
              </w:rPr>
              <w:t>Cluster status</w:t>
            </w:r>
          </w:p>
        </w:tc>
        <w:tc>
          <w:tcPr>
            <w:tcW w:type="dxa" w:w="2835"/>
            <w:vAlign w:val="center"/>
            <w:tcMar>
              <w:top w:w="85" w:type="dxa"/>
              <w:start w:w="90" w:type="dxa"/>
              <w:bottom w:w="85" w:type="dxa"/>
              <w:end w:w="90" w:type="dxa"/>
            </w:tcMar>
          </w:tcPr>
          <w:p>
            <w:pPr>
              <w:spacing w:after="0" w:line="257" w:lineRule="auto"/>
            </w:pPr>
            <w:r>
              <w:rPr>
                <w:sz w:val="16"/>
              </w:rPr>
              <w:t>Yellow or unexpected unassigned replica shards</w:t>
            </w:r>
          </w:p>
        </w:tc>
        <w:tc>
          <w:tcPr>
            <w:tcW w:type="dxa" w:w="2835"/>
            <w:vAlign w:val="center"/>
            <w:tcMar>
              <w:top w:w="85" w:type="dxa"/>
              <w:start w:w="90" w:type="dxa"/>
              <w:bottom w:w="85" w:type="dxa"/>
              <w:end w:w="90" w:type="dxa"/>
            </w:tcMar>
          </w:tcPr>
          <w:p>
            <w:pPr>
              <w:spacing w:after="0" w:line="257" w:lineRule="auto"/>
            </w:pPr>
            <w:r>
              <w:rPr>
                <w:sz w:val="16"/>
              </w:rPr>
              <w:t>Red with unassigned primary / business impact</w:t>
            </w:r>
          </w:p>
        </w:tc>
        <w:tc>
          <w:tcPr>
            <w:tcW w:type="dxa" w:w="2041"/>
            <w:vAlign w:val="center"/>
            <w:tcMar>
              <w:top w:w="85" w:type="dxa"/>
              <w:start w:w="90" w:type="dxa"/>
              <w:bottom w:w="85" w:type="dxa"/>
              <w:end w:w="90" w:type="dxa"/>
            </w:tcMar>
          </w:tcPr>
          <w:p>
            <w:pPr>
              <w:spacing w:after="0" w:line="257" w:lineRule="auto"/>
            </w:pPr>
            <w:r>
              <w:rPr>
                <w:sz w:val="16"/>
              </w:rPr>
              <w:t>Investigate even temporary yellow; assess actual impact</w:t>
            </w:r>
          </w:p>
        </w:tc>
      </w:tr>
      <w:tr>
        <w:tc>
          <w:tcPr>
            <w:tcW w:type="dxa" w:w="1701"/>
            <w:vAlign w:val="center"/>
            <w:tcMar>
              <w:top w:w="85" w:type="dxa"/>
              <w:start w:w="90" w:type="dxa"/>
              <w:bottom w:w="85" w:type="dxa"/>
              <w:end w:w="90" w:type="dxa"/>
            </w:tcMar>
            <w:shd w:fill="F0F5F7"/>
          </w:tcPr>
          <w:p>
            <w:pPr>
              <w:spacing w:after="0" w:line="257" w:lineRule="auto"/>
            </w:pPr>
            <w:r>
              <w:rPr>
                <w:sz w:val="16"/>
              </w:rPr>
              <w:t>JVM heap</w:t>
            </w:r>
          </w:p>
        </w:tc>
        <w:tc>
          <w:tcPr>
            <w:tcW w:type="dxa" w:w="2835"/>
            <w:vAlign w:val="center"/>
            <w:tcMar>
              <w:top w:w="85" w:type="dxa"/>
              <w:start w:w="90" w:type="dxa"/>
              <w:bottom w:w="85" w:type="dxa"/>
              <w:end w:w="90" w:type="dxa"/>
            </w:tcMar>
            <w:shd w:fill="F0F5F7"/>
          </w:tcPr>
          <w:p>
            <w:pPr>
              <w:spacing w:after="0" w:line="257" w:lineRule="auto"/>
            </w:pPr>
            <w:r>
              <w:rPr>
                <w:sz w:val="16"/>
              </w:rPr>
              <w:t>Sustained &gt;75% and rising from baseline</w:t>
            </w:r>
          </w:p>
        </w:tc>
        <w:tc>
          <w:tcPr>
            <w:tcW w:type="dxa" w:w="2835"/>
            <w:vAlign w:val="center"/>
            <w:tcMar>
              <w:top w:w="85" w:type="dxa"/>
              <w:start w:w="90" w:type="dxa"/>
              <w:bottom w:w="85" w:type="dxa"/>
              <w:end w:w="90" w:type="dxa"/>
            </w:tcMar>
            <w:shd w:fill="F0F5F7"/>
          </w:tcPr>
          <w:p>
            <w:pPr>
              <w:spacing w:after="0" w:line="257" w:lineRule="auto"/>
            </w:pPr>
            <w:r>
              <w:rPr>
                <w:sz w:val="16"/>
              </w:rPr>
              <w:t>Sustained &gt;85% with GC/rejections/latency</w:t>
            </w:r>
          </w:p>
        </w:tc>
        <w:tc>
          <w:tcPr>
            <w:tcW w:type="dxa" w:w="2041"/>
            <w:vAlign w:val="center"/>
            <w:tcMar>
              <w:top w:w="85" w:type="dxa"/>
              <w:start w:w="90" w:type="dxa"/>
              <w:bottom w:w="85" w:type="dxa"/>
              <w:end w:w="90" w:type="dxa"/>
            </w:tcMar>
            <w:shd w:fill="F0F5F7"/>
          </w:tcPr>
          <w:p>
            <w:pPr>
              <w:spacing w:after="0" w:line="257" w:lineRule="auto"/>
            </w:pPr>
            <w:r>
              <w:rPr>
                <w:sz w:val="16"/>
              </w:rPr>
              <w:t>Avoid judging from momentary spikes</w:t>
            </w:r>
          </w:p>
        </w:tc>
      </w:tr>
      <w:tr>
        <w:tc>
          <w:tcPr>
            <w:tcW w:type="dxa" w:w="1701"/>
            <w:vAlign w:val="center"/>
            <w:tcMar>
              <w:top w:w="85" w:type="dxa"/>
              <w:start w:w="90" w:type="dxa"/>
              <w:bottom w:w="85" w:type="dxa"/>
              <w:end w:w="90" w:type="dxa"/>
            </w:tcMar>
          </w:tcPr>
          <w:p>
            <w:pPr>
              <w:spacing w:after="0" w:line="257" w:lineRule="auto"/>
            </w:pPr>
            <w:r>
              <w:rPr>
                <w:sz w:val="16"/>
              </w:rPr>
              <w:t>Disk used / tier</w:t>
            </w:r>
          </w:p>
        </w:tc>
        <w:tc>
          <w:tcPr>
            <w:tcW w:type="dxa" w:w="2835"/>
            <w:vAlign w:val="center"/>
            <w:tcMar>
              <w:top w:w="85" w:type="dxa"/>
              <w:start w:w="90" w:type="dxa"/>
              <w:bottom w:w="85" w:type="dxa"/>
              <w:end w:w="90" w:type="dxa"/>
            </w:tcMar>
          </w:tcPr>
          <w:p>
            <w:pPr>
              <w:spacing w:after="0" w:line="257" w:lineRule="auto"/>
            </w:pPr>
            <w:r>
              <w:rPr>
                <w:sz w:val="16"/>
              </w:rPr>
              <w:t>≥70% internal capacity review; rising forecast</w:t>
            </w:r>
          </w:p>
        </w:tc>
        <w:tc>
          <w:tcPr>
            <w:tcW w:type="dxa" w:w="2835"/>
            <w:vAlign w:val="center"/>
            <w:tcMar>
              <w:top w:w="85" w:type="dxa"/>
              <w:start w:w="90" w:type="dxa"/>
              <w:bottom w:w="85" w:type="dxa"/>
              <w:end w:w="90" w:type="dxa"/>
            </w:tcMar>
          </w:tcPr>
          <w:p>
            <w:pPr>
              <w:spacing w:after="0" w:line="257" w:lineRule="auto"/>
            </w:pPr>
            <w:r>
              <w:rPr>
                <w:sz w:val="16"/>
              </w:rPr>
              <w:t>≥80% internal high-risk; immediate review of configured watermarks</w:t>
            </w:r>
          </w:p>
        </w:tc>
        <w:tc>
          <w:tcPr>
            <w:tcW w:type="dxa" w:w="2041"/>
            <w:vAlign w:val="center"/>
            <w:tcMar>
              <w:top w:w="85" w:type="dxa"/>
              <w:start w:w="90" w:type="dxa"/>
              <w:bottom w:w="85" w:type="dxa"/>
              <w:end w:w="90" w:type="dxa"/>
            </w:tcMar>
          </w:tcPr>
          <w:p>
            <w:pPr>
              <w:spacing w:after="0" w:line="257" w:lineRule="auto"/>
            </w:pPr>
            <w:r>
              <w:rPr>
                <w:sz w:val="16"/>
              </w:rPr>
              <w:t>Elasticsearch common defaults low/high/flood 85/90/95%; headroom rules apply</w:t>
            </w:r>
          </w:p>
        </w:tc>
      </w:tr>
      <w:tr>
        <w:tc>
          <w:tcPr>
            <w:tcW w:type="dxa" w:w="1701"/>
            <w:vAlign w:val="center"/>
            <w:tcMar>
              <w:top w:w="85" w:type="dxa"/>
              <w:start w:w="90" w:type="dxa"/>
              <w:bottom w:w="85" w:type="dxa"/>
              <w:end w:w="90" w:type="dxa"/>
            </w:tcMar>
            <w:shd w:fill="F0F5F7"/>
          </w:tcPr>
          <w:p>
            <w:pPr>
              <w:spacing w:after="0" w:line="257" w:lineRule="auto"/>
            </w:pPr>
            <w:r>
              <w:rPr>
                <w:sz w:val="16"/>
              </w:rPr>
              <w:t>CPU</w:t>
            </w:r>
          </w:p>
        </w:tc>
        <w:tc>
          <w:tcPr>
            <w:tcW w:type="dxa" w:w="2835"/>
            <w:vAlign w:val="center"/>
            <w:tcMar>
              <w:top w:w="85" w:type="dxa"/>
              <w:start w:w="90" w:type="dxa"/>
              <w:bottom w:w="85" w:type="dxa"/>
              <w:end w:w="90" w:type="dxa"/>
            </w:tcMar>
            <w:shd w:fill="F0F5F7"/>
          </w:tcPr>
          <w:p>
            <w:pPr>
              <w:spacing w:after="0" w:line="257" w:lineRule="auto"/>
            </w:pPr>
            <w:r>
              <w:rPr>
                <w:sz w:val="16"/>
              </w:rPr>
              <w:t>Sustained high versus historical baseline</w:t>
            </w:r>
          </w:p>
        </w:tc>
        <w:tc>
          <w:tcPr>
            <w:tcW w:type="dxa" w:w="2835"/>
            <w:vAlign w:val="center"/>
            <w:tcMar>
              <w:top w:w="85" w:type="dxa"/>
              <w:start w:w="90" w:type="dxa"/>
              <w:bottom w:w="85" w:type="dxa"/>
              <w:end w:w="90" w:type="dxa"/>
            </w:tcMar>
            <w:shd w:fill="F0F5F7"/>
          </w:tcPr>
          <w:p>
            <w:pPr>
              <w:spacing w:after="0" w:line="257" w:lineRule="auto"/>
            </w:pPr>
            <w:r>
              <w:rPr>
                <w:sz w:val="16"/>
              </w:rPr>
              <w:t>High with blocked queues/rejections or SLO breach</w:t>
            </w:r>
          </w:p>
        </w:tc>
        <w:tc>
          <w:tcPr>
            <w:tcW w:type="dxa" w:w="2041"/>
            <w:vAlign w:val="center"/>
            <w:tcMar>
              <w:top w:w="85" w:type="dxa"/>
              <w:start w:w="90" w:type="dxa"/>
              <w:bottom w:w="85" w:type="dxa"/>
              <w:end w:w="90" w:type="dxa"/>
            </w:tcMar>
            <w:shd w:fill="F0F5F7"/>
          </w:tcPr>
          <w:p>
            <w:pPr>
              <w:spacing w:after="0" w:line="257" w:lineRule="auto"/>
            </w:pPr>
            <w:r>
              <w:rPr>
                <w:sz w:val="16"/>
              </w:rPr>
              <w:t>CPU alone is insufficient</w:t>
            </w:r>
          </w:p>
        </w:tc>
      </w:tr>
      <w:tr>
        <w:tc>
          <w:tcPr>
            <w:tcW w:type="dxa" w:w="1701"/>
            <w:vAlign w:val="center"/>
            <w:tcMar>
              <w:top w:w="85" w:type="dxa"/>
              <w:start w:w="90" w:type="dxa"/>
              <w:bottom w:w="85" w:type="dxa"/>
              <w:end w:w="90" w:type="dxa"/>
            </w:tcMar>
          </w:tcPr>
          <w:p>
            <w:pPr>
              <w:spacing w:after="0" w:line="257" w:lineRule="auto"/>
            </w:pPr>
            <w:r>
              <w:rPr>
                <w:sz w:val="16"/>
              </w:rPr>
              <w:t>Unassigned shards</w:t>
            </w:r>
          </w:p>
        </w:tc>
        <w:tc>
          <w:tcPr>
            <w:tcW w:type="dxa" w:w="2835"/>
            <w:vAlign w:val="center"/>
            <w:tcMar>
              <w:top w:w="85" w:type="dxa"/>
              <w:start w:w="90" w:type="dxa"/>
              <w:bottom w:w="85" w:type="dxa"/>
              <w:end w:w="90" w:type="dxa"/>
            </w:tcMar>
          </w:tcPr>
          <w:p>
            <w:pPr>
              <w:spacing w:after="0" w:line="257" w:lineRule="auto"/>
            </w:pPr>
            <w:r>
              <w:rPr>
                <w:sz w:val="16"/>
              </w:rPr>
              <w:t>Any unplanned &gt;0</w:t>
            </w:r>
          </w:p>
        </w:tc>
        <w:tc>
          <w:tcPr>
            <w:tcW w:type="dxa" w:w="2835"/>
            <w:vAlign w:val="center"/>
            <w:tcMar>
              <w:top w:w="85" w:type="dxa"/>
              <w:start w:w="90" w:type="dxa"/>
              <w:bottom w:w="85" w:type="dxa"/>
              <w:end w:w="90" w:type="dxa"/>
            </w:tcMar>
          </w:tcPr>
          <w:p>
            <w:pPr>
              <w:spacing w:after="0" w:line="257" w:lineRule="auto"/>
            </w:pPr>
            <w:r>
              <w:rPr>
                <w:sz w:val="16"/>
              </w:rPr>
              <w:t>Critical primary unavailable or sustained impact</w:t>
            </w:r>
          </w:p>
        </w:tc>
        <w:tc>
          <w:tcPr>
            <w:tcW w:type="dxa" w:w="2041"/>
            <w:vAlign w:val="center"/>
            <w:tcMar>
              <w:top w:w="85" w:type="dxa"/>
              <w:start w:w="90" w:type="dxa"/>
              <w:bottom w:w="85" w:type="dxa"/>
              <w:end w:w="90" w:type="dxa"/>
            </w:tcMar>
          </w:tcPr>
          <w:p>
            <w:pPr>
              <w:spacing w:after="0" w:line="257" w:lineRule="auto"/>
            </w:pPr>
            <w:r>
              <w:rPr>
                <w:sz w:val="16"/>
              </w:rPr>
              <w:t>Read routing explanation</w:t>
            </w:r>
          </w:p>
        </w:tc>
      </w:tr>
      <w:tr>
        <w:tc>
          <w:tcPr>
            <w:tcW w:type="dxa" w:w="1701"/>
            <w:vAlign w:val="center"/>
            <w:tcMar>
              <w:top w:w="85" w:type="dxa"/>
              <w:start w:w="90" w:type="dxa"/>
              <w:bottom w:w="85" w:type="dxa"/>
              <w:end w:w="90" w:type="dxa"/>
            </w:tcMar>
            <w:shd w:fill="F0F5F7"/>
          </w:tcPr>
          <w:p>
            <w:pPr>
              <w:spacing w:after="0" w:line="257" w:lineRule="auto"/>
            </w:pPr>
            <w:r>
              <w:rPr>
                <w:sz w:val="16"/>
              </w:rPr>
              <w:t>Critical data freshness</w:t>
            </w:r>
          </w:p>
        </w:tc>
        <w:tc>
          <w:tcPr>
            <w:tcW w:type="dxa" w:w="2835"/>
            <w:vAlign w:val="center"/>
            <w:tcMar>
              <w:top w:w="85" w:type="dxa"/>
              <w:start w:w="90" w:type="dxa"/>
              <w:bottom w:w="85" w:type="dxa"/>
              <w:end w:w="90" w:type="dxa"/>
            </w:tcMar>
            <w:shd w:fill="F0F5F7"/>
          </w:tcPr>
          <w:p>
            <w:pPr>
              <w:spacing w:after="0" w:line="257" w:lineRule="auto"/>
            </w:pPr>
            <w:r>
              <w:rPr>
                <w:sz w:val="16"/>
              </w:rPr>
              <w:t>No events within each source-specific SLA</w:t>
            </w:r>
          </w:p>
        </w:tc>
        <w:tc>
          <w:tcPr>
            <w:tcW w:type="dxa" w:w="2835"/>
            <w:vAlign w:val="center"/>
            <w:tcMar>
              <w:top w:w="85" w:type="dxa"/>
              <w:start w:w="90" w:type="dxa"/>
              <w:bottom w:w="85" w:type="dxa"/>
              <w:end w:w="90" w:type="dxa"/>
            </w:tcMar>
            <w:shd w:fill="F0F5F7"/>
          </w:tcPr>
          <w:p>
            <w:pPr>
              <w:spacing w:after="0" w:line="257" w:lineRule="auto"/>
            </w:pPr>
            <w:r>
              <w:rPr>
                <w:sz w:val="16"/>
              </w:rPr>
              <w:t>Critical/security source exceeds agreed outage threshold</w:t>
            </w:r>
          </w:p>
        </w:tc>
        <w:tc>
          <w:tcPr>
            <w:tcW w:type="dxa" w:w="2041"/>
            <w:vAlign w:val="center"/>
            <w:tcMar>
              <w:top w:w="85" w:type="dxa"/>
              <w:start w:w="90" w:type="dxa"/>
              <w:bottom w:w="85" w:type="dxa"/>
              <w:end w:w="90" w:type="dxa"/>
            </w:tcMar>
            <w:shd w:fill="F0F5F7"/>
          </w:tcPr>
          <w:p>
            <w:pPr>
              <w:spacing w:after="0" w:line="257" w:lineRule="auto"/>
            </w:pPr>
            <w:r>
              <w:rPr>
                <w:sz w:val="16"/>
              </w:rPr>
              <w:t>Exclude approved idle sources</w:t>
            </w:r>
          </w:p>
        </w:tc>
      </w:tr>
      <w:tr>
        <w:tc>
          <w:tcPr>
            <w:tcW w:type="dxa" w:w="1701"/>
            <w:vAlign w:val="center"/>
            <w:tcMar>
              <w:top w:w="85" w:type="dxa"/>
              <w:start w:w="90" w:type="dxa"/>
              <w:bottom w:w="85" w:type="dxa"/>
              <w:end w:w="90" w:type="dxa"/>
            </w:tcMar>
          </w:tcPr>
          <w:p>
            <w:pPr>
              <w:spacing w:after="0" w:line="257" w:lineRule="auto"/>
            </w:pPr>
            <w:r>
              <w:rPr>
                <w:sz w:val="16"/>
              </w:rPr>
              <w:t>Snapshot RPO</w:t>
            </w:r>
          </w:p>
        </w:tc>
        <w:tc>
          <w:tcPr>
            <w:tcW w:type="dxa" w:w="2835"/>
            <w:vAlign w:val="center"/>
            <w:tcMar>
              <w:top w:w="85" w:type="dxa"/>
              <w:start w:w="90" w:type="dxa"/>
              <w:bottom w:w="85" w:type="dxa"/>
              <w:end w:w="90" w:type="dxa"/>
            </w:tcMar>
          </w:tcPr>
          <w:p>
            <w:pPr>
              <w:spacing w:after="0" w:line="257" w:lineRule="auto"/>
            </w:pPr>
            <w:r>
              <w:rPr>
                <w:sz w:val="16"/>
              </w:rPr>
              <w:t>Last success approaches RPO</w:t>
            </w:r>
          </w:p>
        </w:tc>
        <w:tc>
          <w:tcPr>
            <w:tcW w:type="dxa" w:w="2835"/>
            <w:vAlign w:val="center"/>
            <w:tcMar>
              <w:top w:w="85" w:type="dxa"/>
              <w:start w:w="90" w:type="dxa"/>
              <w:bottom w:w="85" w:type="dxa"/>
              <w:end w:w="90" w:type="dxa"/>
            </w:tcMar>
          </w:tcPr>
          <w:p>
            <w:pPr>
              <w:spacing w:after="0" w:line="257" w:lineRule="auto"/>
            </w:pPr>
            <w:r>
              <w:rPr>
                <w:sz w:val="16"/>
              </w:rPr>
              <w:t>Last success exceeds RPO / no restorable snapshot</w:t>
            </w:r>
          </w:p>
        </w:tc>
        <w:tc>
          <w:tcPr>
            <w:tcW w:type="dxa" w:w="2041"/>
            <w:vAlign w:val="center"/>
            <w:tcMar>
              <w:top w:w="85" w:type="dxa"/>
              <w:start w:w="90" w:type="dxa"/>
              <w:bottom w:w="85" w:type="dxa"/>
              <w:end w:w="90" w:type="dxa"/>
            </w:tcMar>
          </w:tcPr>
          <w:p>
            <w:pPr>
              <w:spacing w:after="0" w:line="257" w:lineRule="auto"/>
            </w:pPr>
            <w:r>
              <w:rPr>
                <w:sz w:val="16"/>
              </w:rPr>
              <w:t>Live schedule must be verified</w:t>
            </w:r>
          </w:p>
        </w:tc>
      </w:tr>
      <w:tr>
        <w:tc>
          <w:tcPr>
            <w:tcW w:type="dxa" w:w="1701"/>
            <w:vAlign w:val="center"/>
            <w:tcMar>
              <w:top w:w="85" w:type="dxa"/>
              <w:start w:w="90" w:type="dxa"/>
              <w:bottom w:w="85" w:type="dxa"/>
              <w:end w:w="90" w:type="dxa"/>
            </w:tcMar>
            <w:shd w:fill="F0F5F7"/>
          </w:tcPr>
          <w:p>
            <w:pPr>
              <w:spacing w:after="0" w:line="257" w:lineRule="auto"/>
            </w:pPr>
            <w:r>
              <w:rPr>
                <w:sz w:val="16"/>
              </w:rPr>
              <w:t>Fleet agents</w:t>
            </w:r>
          </w:p>
        </w:tc>
        <w:tc>
          <w:tcPr>
            <w:tcW w:type="dxa" w:w="2835"/>
            <w:vAlign w:val="center"/>
            <w:tcMar>
              <w:top w:w="85" w:type="dxa"/>
              <w:start w:w="90" w:type="dxa"/>
              <w:bottom w:w="85" w:type="dxa"/>
              <w:end w:w="90" w:type="dxa"/>
            </w:tcMar>
            <w:shd w:fill="F0F5F7"/>
          </w:tcPr>
          <w:p>
            <w:pPr>
              <w:spacing w:after="0" w:line="257" w:lineRule="auto"/>
            </w:pPr>
            <w:r>
              <w:rPr>
                <w:sz w:val="16"/>
              </w:rPr>
              <w:t>Unhealthy/offline on a monitored critical host</w:t>
            </w:r>
          </w:p>
        </w:tc>
        <w:tc>
          <w:tcPr>
            <w:tcW w:type="dxa" w:w="2835"/>
            <w:vAlign w:val="center"/>
            <w:tcMar>
              <w:top w:w="85" w:type="dxa"/>
              <w:start w:w="90" w:type="dxa"/>
              <w:bottom w:w="85" w:type="dxa"/>
              <w:end w:w="90" w:type="dxa"/>
            </w:tcMar>
            <w:shd w:fill="F0F5F7"/>
          </w:tcPr>
          <w:p>
            <w:pPr>
              <w:spacing w:after="0" w:line="257" w:lineRule="auto"/>
            </w:pPr>
            <w:r>
              <w:rPr>
                <w:sz w:val="16"/>
              </w:rPr>
              <w:t>Widespread gap or lost tier-1 telemetry</w:t>
            </w:r>
          </w:p>
        </w:tc>
        <w:tc>
          <w:tcPr>
            <w:tcW w:type="dxa" w:w="2041"/>
            <w:vAlign w:val="center"/>
            <w:tcMar>
              <w:top w:w="85" w:type="dxa"/>
              <w:start w:w="90" w:type="dxa"/>
              <w:bottom w:w="85" w:type="dxa"/>
              <w:end w:w="90" w:type="dxa"/>
            </w:tcMar>
            <w:shd w:fill="F0F5F7"/>
          </w:tcPr>
          <w:p>
            <w:pPr>
              <w:spacing w:after="0" w:line="257" w:lineRule="auto"/>
            </w:pPr>
            <w:r>
              <w:rPr>
                <w:sz w:val="16"/>
              </w:rPr>
              <w:t>Inactive may be intentionally dormant</w:t>
            </w:r>
          </w:p>
        </w:tc>
      </w:tr>
      <w:tr>
        <w:tc>
          <w:tcPr>
            <w:tcW w:type="dxa" w:w="1701"/>
            <w:vAlign w:val="center"/>
            <w:tcMar>
              <w:top w:w="85" w:type="dxa"/>
              <w:start w:w="90" w:type="dxa"/>
              <w:bottom w:w="85" w:type="dxa"/>
              <w:end w:w="90" w:type="dxa"/>
            </w:tcMar>
          </w:tcPr>
          <w:p>
            <w:pPr>
              <w:spacing w:after="0" w:line="257" w:lineRule="auto"/>
            </w:pPr>
            <w:r>
              <w:rPr>
                <w:sz w:val="16"/>
              </w:rPr>
              <w:t>Synthetics</w:t>
            </w:r>
          </w:p>
        </w:tc>
        <w:tc>
          <w:tcPr>
            <w:tcW w:type="dxa" w:w="2835"/>
            <w:vAlign w:val="center"/>
            <w:tcMar>
              <w:top w:w="85" w:type="dxa"/>
              <w:start w:w="90" w:type="dxa"/>
              <w:bottom w:w="85" w:type="dxa"/>
              <w:end w:w="90" w:type="dxa"/>
            </w:tcMar>
          </w:tcPr>
          <w:p>
            <w:pPr>
              <w:spacing w:after="0" w:line="257" w:lineRule="auto"/>
            </w:pPr>
            <w:r>
              <w:rPr>
                <w:sz w:val="16"/>
              </w:rPr>
              <w:t>Isolated failure pending confirm</w:t>
            </w:r>
          </w:p>
        </w:tc>
        <w:tc>
          <w:tcPr>
            <w:tcW w:type="dxa" w:w="2835"/>
            <w:vAlign w:val="center"/>
            <w:tcMar>
              <w:top w:w="85" w:type="dxa"/>
              <w:start w:w="90" w:type="dxa"/>
              <w:bottom w:w="85" w:type="dxa"/>
              <w:end w:w="90" w:type="dxa"/>
            </w:tcMar>
          </w:tcPr>
          <w:p>
            <w:pPr>
              <w:spacing w:after="0" w:line="257" w:lineRule="auto"/>
            </w:pPr>
            <w:r>
              <w:rPr>
                <w:sz w:val="16"/>
              </w:rPr>
              <w:t>Repeated failures from credible locations and business impact</w:t>
            </w:r>
          </w:p>
        </w:tc>
        <w:tc>
          <w:tcPr>
            <w:tcW w:type="dxa" w:w="2041"/>
            <w:vAlign w:val="center"/>
            <w:tcMar>
              <w:top w:w="85" w:type="dxa"/>
              <w:start w:w="90" w:type="dxa"/>
              <w:bottom w:w="85" w:type="dxa"/>
              <w:end w:w="90" w:type="dxa"/>
            </w:tcMar>
          </w:tcPr>
          <w:p>
            <w:pPr>
              <w:spacing w:after="0" w:line="257" w:lineRule="auto"/>
            </w:pPr>
            <w:r>
              <w:rPr>
                <w:sz w:val="16"/>
              </w:rPr>
              <w:t>Check monitor design/credentials</w:t>
            </w:r>
          </w:p>
        </w:tc>
      </w:tr>
      <w:tr>
        <w:tc>
          <w:tcPr>
            <w:tcW w:type="dxa" w:w="1701"/>
            <w:vAlign w:val="center"/>
            <w:tcMar>
              <w:top w:w="85" w:type="dxa"/>
              <w:start w:w="90" w:type="dxa"/>
              <w:bottom w:w="85" w:type="dxa"/>
              <w:end w:w="90" w:type="dxa"/>
            </w:tcMar>
            <w:shd w:fill="F0F5F7"/>
          </w:tcPr>
          <w:p>
            <w:pPr>
              <w:spacing w:after="0" w:line="257" w:lineRule="auto"/>
            </w:pPr>
            <w:r>
              <w:rPr>
                <w:sz w:val="16"/>
              </w:rPr>
              <w:t>Alert connectors</w:t>
            </w:r>
          </w:p>
        </w:tc>
        <w:tc>
          <w:tcPr>
            <w:tcW w:type="dxa" w:w="2835"/>
            <w:vAlign w:val="center"/>
            <w:tcMar>
              <w:top w:w="85" w:type="dxa"/>
              <w:start w:w="90" w:type="dxa"/>
              <w:bottom w:w="85" w:type="dxa"/>
              <w:end w:w="90" w:type="dxa"/>
            </w:tcMar>
            <w:shd w:fill="F0F5F7"/>
          </w:tcPr>
          <w:p>
            <w:pPr>
              <w:spacing w:after="0" w:line="257" w:lineRule="auto"/>
            </w:pPr>
            <w:r>
              <w:rPr>
                <w:sz w:val="16"/>
              </w:rPr>
              <w:t>Delivery error / paused rule</w:t>
            </w:r>
          </w:p>
        </w:tc>
        <w:tc>
          <w:tcPr>
            <w:tcW w:type="dxa" w:w="2835"/>
            <w:vAlign w:val="center"/>
            <w:tcMar>
              <w:top w:w="85" w:type="dxa"/>
              <w:start w:w="90" w:type="dxa"/>
              <w:bottom w:w="85" w:type="dxa"/>
              <w:end w:w="90" w:type="dxa"/>
            </w:tcMar>
            <w:shd w:fill="F0F5F7"/>
          </w:tcPr>
          <w:p>
            <w:pPr>
              <w:spacing w:after="0" w:line="257" w:lineRule="auto"/>
            </w:pPr>
            <w:r>
              <w:rPr>
                <w:sz w:val="16"/>
              </w:rPr>
              <w:t>Critical paging unavailable</w:t>
            </w:r>
          </w:p>
        </w:tc>
        <w:tc>
          <w:tcPr>
            <w:tcW w:type="dxa" w:w="2041"/>
            <w:vAlign w:val="center"/>
            <w:tcMar>
              <w:top w:w="85" w:type="dxa"/>
              <w:start w:w="90" w:type="dxa"/>
              <w:bottom w:w="85" w:type="dxa"/>
              <w:end w:w="90" w:type="dxa"/>
            </w:tcMar>
            <w:shd w:fill="F0F5F7"/>
          </w:tcPr>
          <w:p>
            <w:pPr>
              <w:spacing w:after="0" w:line="257" w:lineRule="auto"/>
            </w:pPr>
            <w:r>
              <w:rPr>
                <w:sz w:val="16"/>
              </w:rPr>
              <w:t>Exercise alternate escalation</w:t>
            </w:r>
          </w:p>
        </w:tc>
      </w:tr>
    </w:tbl>
    <w:p>
      <w:pPr>
        <w:spacing w:after="0"/>
      </w:pPr>
    </w:p>
    <w:p>
      <w:pPr>
        <w:widowControl w:val="1"/>
      </w:pPr>
      <w:r>
        <w:t>These values are policy proposals inspired by the existing runbook, not vendor-wide SLOs. A watermarked Elasticsearch volume may have other limits based on absolute disk headroom, data tier and overridden settings. See official threshold documentation.</w:t>
      </w:r>
    </w:p>
    <w:p>
      <w:pPr>
        <w:pStyle w:val="Heading2"/>
        <w:widowControl w:val="1"/>
      </w:pPr>
      <w:r>
        <w:t>11.2 Standard alert record</w:t>
      </w:r>
    </w:p>
    <w:tbl>
      <w:tblPr>
        <w:tblStyle w:val="TableGrid"/>
        <w:tblW w:type="auto" w:w="0"/>
        <w:jc w:val="center"/>
        <w:tblLayout w:type="fixed"/>
        <w:tblLook w:firstColumn="1" w:firstRow="1" w:lastColumn="0" w:lastRow="0" w:noHBand="0" w:noVBand="1" w:val="04A0"/>
      </w:tblPr>
      <w:tblGrid>
        <w:gridCol w:w="4776"/>
        <w:gridCol w:w="4776"/>
      </w:tblGrid>
      <w:tr>
        <w:trPr>
          <w:tblHeader w:val="true"/>
        </w:trPr>
        <w:tc>
          <w:tcPr>
            <w:tcW w:type="dxa" w:w="2154"/>
            <w:shd w:fill="15456B"/>
            <w:tcMar>
              <w:top w:w="85" w:type="dxa"/>
              <w:start w:w="90" w:type="dxa"/>
              <w:bottom w:w="85" w:type="dxa"/>
              <w:end w:w="90" w:type="dxa"/>
            </w:tcMar>
          </w:tcPr>
          <w:p>
            <w:pPr>
              <w:spacing w:after="0"/>
            </w:pPr>
            <w:r>
              <w:rPr>
                <w:b/>
                <w:color w:val="FFFFFF"/>
                <w:sz w:val="16"/>
              </w:rPr>
              <w:t>Field</w:t>
            </w:r>
          </w:p>
        </w:tc>
        <w:tc>
          <w:tcPr>
            <w:tcW w:type="dxa" w:w="7257"/>
            <w:shd w:fill="15456B"/>
            <w:tcMar>
              <w:top w:w="85" w:type="dxa"/>
              <w:start w:w="90" w:type="dxa"/>
              <w:bottom w:w="85" w:type="dxa"/>
              <w:end w:w="90" w:type="dxa"/>
            </w:tcMar>
          </w:tcPr>
          <w:p>
            <w:pPr>
              <w:spacing w:after="0"/>
            </w:pPr>
            <w:r>
              <w:rPr>
                <w:b/>
                <w:color w:val="FFFFFF"/>
                <w:sz w:val="16"/>
              </w:rPr>
              <w:t>Required content</w:t>
            </w:r>
          </w:p>
        </w:tc>
      </w:tr>
      <w:tr>
        <w:tc>
          <w:tcPr>
            <w:tcW w:type="dxa" w:w="2154"/>
            <w:vAlign w:val="center"/>
            <w:tcMar>
              <w:top w:w="85" w:type="dxa"/>
              <w:start w:w="90" w:type="dxa"/>
              <w:bottom w:w="85" w:type="dxa"/>
              <w:end w:w="90" w:type="dxa"/>
            </w:tcMar>
          </w:tcPr>
          <w:p>
            <w:pPr>
              <w:spacing w:after="0" w:line="257" w:lineRule="auto"/>
            </w:pPr>
            <w:r>
              <w:rPr>
                <w:sz w:val="16"/>
              </w:rPr>
              <w:t>Identity</w:t>
            </w:r>
          </w:p>
        </w:tc>
        <w:tc>
          <w:tcPr>
            <w:tcW w:type="dxa" w:w="7257"/>
            <w:vAlign w:val="center"/>
            <w:tcMar>
              <w:top w:w="85" w:type="dxa"/>
              <w:start w:w="90" w:type="dxa"/>
              <w:bottom w:w="85" w:type="dxa"/>
              <w:end w:w="90" w:type="dxa"/>
            </w:tcMar>
          </w:tcPr>
          <w:p>
            <w:pPr>
              <w:spacing w:after="0" w:line="257" w:lineRule="auto"/>
            </w:pPr>
            <w:r>
              <w:rPr>
                <w:sz w:val="16"/>
              </w:rPr>
              <w:t>Rule ID, deployment, environment, monitored system/data stream</w:t>
            </w:r>
          </w:p>
        </w:tc>
      </w:tr>
      <w:tr>
        <w:tc>
          <w:tcPr>
            <w:tcW w:type="dxa" w:w="2154"/>
            <w:vAlign w:val="center"/>
            <w:tcMar>
              <w:top w:w="85" w:type="dxa"/>
              <w:start w:w="90" w:type="dxa"/>
              <w:bottom w:w="85" w:type="dxa"/>
              <w:end w:w="90" w:type="dxa"/>
            </w:tcMar>
            <w:shd w:fill="F0F5F7"/>
          </w:tcPr>
          <w:p>
            <w:pPr>
              <w:spacing w:after="0" w:line="257" w:lineRule="auto"/>
            </w:pPr>
            <w:r>
              <w:rPr>
                <w:sz w:val="16"/>
              </w:rPr>
              <w:t>Condition</w:t>
            </w:r>
          </w:p>
        </w:tc>
        <w:tc>
          <w:tcPr>
            <w:tcW w:type="dxa" w:w="7257"/>
            <w:vAlign w:val="center"/>
            <w:tcMar>
              <w:top w:w="85" w:type="dxa"/>
              <w:start w:w="90" w:type="dxa"/>
              <w:bottom w:w="85" w:type="dxa"/>
              <w:end w:w="90" w:type="dxa"/>
            </w:tcMar>
            <w:shd w:fill="F0F5F7"/>
          </w:tcPr>
          <w:p>
            <w:pPr>
              <w:spacing w:after="0" w:line="257" w:lineRule="auto"/>
            </w:pPr>
            <w:r>
              <w:rPr>
                <w:sz w:val="16"/>
              </w:rPr>
              <w:t>Signal, threshold, duration, evaluation interval, baseline</w:t>
            </w:r>
          </w:p>
        </w:tc>
      </w:tr>
      <w:tr>
        <w:tc>
          <w:tcPr>
            <w:tcW w:type="dxa" w:w="2154"/>
            <w:vAlign w:val="center"/>
            <w:tcMar>
              <w:top w:w="85" w:type="dxa"/>
              <w:start w:w="90" w:type="dxa"/>
              <w:bottom w:w="85" w:type="dxa"/>
              <w:end w:w="90" w:type="dxa"/>
            </w:tcMar>
          </w:tcPr>
          <w:p>
            <w:pPr>
              <w:spacing w:after="0" w:line="257" w:lineRule="auto"/>
            </w:pPr>
            <w:r>
              <w:rPr>
                <w:sz w:val="16"/>
              </w:rPr>
              <w:t>Severity</w:t>
            </w:r>
          </w:p>
        </w:tc>
        <w:tc>
          <w:tcPr>
            <w:tcW w:type="dxa" w:w="7257"/>
            <w:vAlign w:val="center"/>
            <w:tcMar>
              <w:top w:w="85" w:type="dxa"/>
              <w:start w:w="90" w:type="dxa"/>
              <w:bottom w:w="85" w:type="dxa"/>
              <w:end w:w="90" w:type="dxa"/>
            </w:tcMar>
          </w:tcPr>
          <w:p>
            <w:pPr>
              <w:spacing w:after="0" w:line="257" w:lineRule="auto"/>
            </w:pPr>
            <w:r>
              <w:rPr>
                <w:sz w:val="16"/>
              </w:rPr>
              <w:t>P1/P2/P3/P4 mapping agreed with service owner</w:t>
            </w:r>
          </w:p>
        </w:tc>
      </w:tr>
      <w:tr>
        <w:tc>
          <w:tcPr>
            <w:tcW w:type="dxa" w:w="2154"/>
            <w:vAlign w:val="center"/>
            <w:tcMar>
              <w:top w:w="85" w:type="dxa"/>
              <w:start w:w="90" w:type="dxa"/>
              <w:bottom w:w="85" w:type="dxa"/>
              <w:end w:w="90" w:type="dxa"/>
            </w:tcMar>
            <w:shd w:fill="F0F5F7"/>
          </w:tcPr>
          <w:p>
            <w:pPr>
              <w:spacing w:after="0" w:line="257" w:lineRule="auto"/>
            </w:pPr>
            <w:r>
              <w:rPr>
                <w:sz w:val="16"/>
              </w:rPr>
              <w:t>Response</w:t>
            </w:r>
          </w:p>
        </w:tc>
        <w:tc>
          <w:tcPr>
            <w:tcW w:type="dxa" w:w="7257"/>
            <w:vAlign w:val="center"/>
            <w:tcMar>
              <w:top w:w="85" w:type="dxa"/>
              <w:start w:w="90" w:type="dxa"/>
              <w:bottom w:w="85" w:type="dxa"/>
              <w:end w:w="90" w:type="dxa"/>
            </w:tcMar>
            <w:shd w:fill="F0F5F7"/>
          </w:tcPr>
          <w:p>
            <w:pPr>
              <w:spacing w:after="0" w:line="257" w:lineRule="auto"/>
            </w:pPr>
            <w:r>
              <w:rPr>
                <w:sz w:val="16"/>
              </w:rPr>
              <w:t>Who gets notified, connector, backup method, route to runbook step</w:t>
            </w:r>
          </w:p>
        </w:tc>
      </w:tr>
      <w:tr>
        <w:tc>
          <w:tcPr>
            <w:tcW w:type="dxa" w:w="2154"/>
            <w:vAlign w:val="center"/>
            <w:tcMar>
              <w:top w:w="85" w:type="dxa"/>
              <w:start w:w="90" w:type="dxa"/>
              <w:bottom w:w="85" w:type="dxa"/>
              <w:end w:w="90" w:type="dxa"/>
            </w:tcMar>
          </w:tcPr>
          <w:p>
            <w:pPr>
              <w:spacing w:after="0" w:line="257" w:lineRule="auto"/>
            </w:pPr>
            <w:r>
              <w:rPr>
                <w:sz w:val="16"/>
              </w:rPr>
              <w:t>Noise control</w:t>
            </w:r>
          </w:p>
        </w:tc>
        <w:tc>
          <w:tcPr>
            <w:tcW w:type="dxa" w:w="7257"/>
            <w:vAlign w:val="center"/>
            <w:tcMar>
              <w:top w:w="85" w:type="dxa"/>
              <w:start w:w="90" w:type="dxa"/>
              <w:bottom w:w="85" w:type="dxa"/>
              <w:end w:w="90" w:type="dxa"/>
            </w:tcMar>
          </w:tcPr>
          <w:p>
            <w:pPr>
              <w:spacing w:after="0" w:line="257" w:lineRule="auto"/>
            </w:pPr>
            <w:r>
              <w:rPr>
                <w:sz w:val="16"/>
              </w:rPr>
              <w:t>Deduplication, maintenance windows, recovery conditions</w:t>
            </w:r>
          </w:p>
        </w:tc>
      </w:tr>
      <w:tr>
        <w:tc>
          <w:tcPr>
            <w:tcW w:type="dxa" w:w="2154"/>
            <w:vAlign w:val="center"/>
            <w:tcMar>
              <w:top w:w="85" w:type="dxa"/>
              <w:start w:w="90" w:type="dxa"/>
              <w:bottom w:w="85" w:type="dxa"/>
              <w:end w:w="90" w:type="dxa"/>
            </w:tcMar>
            <w:shd w:fill="F0F5F7"/>
          </w:tcPr>
          <w:p>
            <w:pPr>
              <w:spacing w:after="0" w:line="257" w:lineRule="auto"/>
            </w:pPr>
            <w:r>
              <w:rPr>
                <w:sz w:val="16"/>
              </w:rPr>
              <w:t>Test</w:t>
            </w:r>
          </w:p>
        </w:tc>
        <w:tc>
          <w:tcPr>
            <w:tcW w:type="dxa" w:w="7257"/>
            <w:vAlign w:val="center"/>
            <w:tcMar>
              <w:top w:w="85" w:type="dxa"/>
              <w:start w:w="90" w:type="dxa"/>
              <w:bottom w:w="85" w:type="dxa"/>
              <w:end w:w="90" w:type="dxa"/>
            </w:tcMar>
            <w:shd w:fill="F0F5F7"/>
          </w:tcPr>
          <w:p>
            <w:pPr>
              <w:spacing w:after="0" w:line="257" w:lineRule="auto"/>
            </w:pPr>
            <w:r>
              <w:rPr>
                <w:sz w:val="16"/>
              </w:rPr>
              <w:t>Date, evidence link, outcome, owner</w:t>
            </w:r>
          </w:p>
        </w:tc>
      </w:tr>
      <w:tr>
        <w:tc>
          <w:tcPr>
            <w:tcW w:type="dxa" w:w="2154"/>
            <w:vAlign w:val="center"/>
            <w:tcMar>
              <w:top w:w="85" w:type="dxa"/>
              <w:start w:w="90" w:type="dxa"/>
              <w:bottom w:w="85" w:type="dxa"/>
              <w:end w:w="90" w:type="dxa"/>
            </w:tcMar>
          </w:tcPr>
          <w:p>
            <w:pPr>
              <w:spacing w:after="0" w:line="257" w:lineRule="auto"/>
            </w:pPr>
            <w:r>
              <w:rPr>
                <w:sz w:val="16"/>
              </w:rPr>
              <w:t>Review</w:t>
            </w:r>
          </w:p>
        </w:tc>
        <w:tc>
          <w:tcPr>
            <w:tcW w:type="dxa" w:w="7257"/>
            <w:vAlign w:val="center"/>
            <w:tcMar>
              <w:top w:w="85" w:type="dxa"/>
              <w:start w:w="90" w:type="dxa"/>
              <w:bottom w:w="85" w:type="dxa"/>
              <w:end w:w="90" w:type="dxa"/>
            </w:tcMar>
          </w:tcPr>
          <w:p>
            <w:pPr>
              <w:spacing w:after="0" w:line="257" w:lineRule="auto"/>
            </w:pPr>
            <w:r>
              <w:rPr>
                <w:sz w:val="16"/>
              </w:rPr>
              <w:t>Owner and last review date</w:t>
            </w:r>
          </w:p>
        </w:tc>
      </w:tr>
    </w:tbl>
    <w:p>
      <w:pPr>
        <w:spacing w:after="0"/>
      </w:pPr>
    </w:p>
    <w:p>
      <w:pPr>
        <w:pStyle w:val="Heading2"/>
        <w:widowControl w:val="1"/>
      </w:pPr>
      <w:r>
        <w:t>11.3 Daily health record (copyable template)</w:t>
      </w:r>
    </w:p>
    <w:tbl>
      <w:tblPr>
        <w:tblStyle w:val="TableGrid"/>
        <w:tblW w:type="auto" w:w="0"/>
        <w:jc w:val="center"/>
        <w:tblLayout w:type="fixed"/>
        <w:tblLook w:firstColumn="1" w:firstRow="1" w:lastColumn="0" w:lastRow="0" w:noHBand="0" w:noVBand="1" w:val="04A0"/>
      </w:tblPr>
      <w:tblGrid>
        <w:gridCol w:w="4776"/>
        <w:gridCol w:w="4776"/>
      </w:tblGrid>
      <w:tr>
        <w:trPr>
          <w:tblHeader w:val="true"/>
        </w:trPr>
        <w:tc>
          <w:tcPr>
            <w:tcW w:type="dxa" w:w="2835"/>
            <w:shd w:fill="15456B"/>
            <w:tcMar>
              <w:top w:w="85" w:type="dxa"/>
              <w:start w:w="90" w:type="dxa"/>
              <w:bottom w:w="85" w:type="dxa"/>
              <w:end w:w="90" w:type="dxa"/>
            </w:tcMar>
          </w:tcPr>
          <w:p>
            <w:pPr>
              <w:spacing w:after="0"/>
            </w:pPr>
            <w:r>
              <w:rPr>
                <w:b/>
                <w:color w:val="FFFFFF"/>
                <w:sz w:val="16"/>
              </w:rPr>
              <w:t>Field</w:t>
            </w:r>
          </w:p>
        </w:tc>
        <w:tc>
          <w:tcPr>
            <w:tcW w:type="dxa" w:w="6576"/>
            <w:shd w:fill="15456B"/>
            <w:tcMar>
              <w:top w:w="85" w:type="dxa"/>
              <w:start w:w="90" w:type="dxa"/>
              <w:bottom w:w="85" w:type="dxa"/>
              <w:end w:w="90" w:type="dxa"/>
            </w:tcMar>
          </w:tcPr>
          <w:p>
            <w:pPr>
              <w:spacing w:after="0"/>
            </w:pPr>
            <w:r>
              <w:rPr>
                <w:b/>
                <w:color w:val="FFFFFF"/>
                <w:sz w:val="16"/>
              </w:rPr>
              <w:t>Example or entry</w:t>
            </w:r>
          </w:p>
        </w:tc>
      </w:tr>
      <w:tr>
        <w:tc>
          <w:tcPr>
            <w:tcW w:type="dxa" w:w="2835"/>
            <w:vAlign w:val="center"/>
            <w:tcMar>
              <w:top w:w="85" w:type="dxa"/>
              <w:start w:w="90" w:type="dxa"/>
              <w:bottom w:w="85" w:type="dxa"/>
              <w:end w:w="90" w:type="dxa"/>
            </w:tcMar>
          </w:tcPr>
          <w:p>
            <w:pPr>
              <w:spacing w:after="0" w:line="257" w:lineRule="auto"/>
            </w:pPr>
            <w:r>
              <w:rPr>
                <w:sz w:val="16"/>
              </w:rPr>
              <w:t>Check date / shift</w:t>
            </w:r>
          </w:p>
        </w:tc>
        <w:tc>
          <w:tcPr>
            <w:tcW w:type="dxa" w:w="6576"/>
            <w:vAlign w:val="center"/>
            <w:tcMar>
              <w:top w:w="85" w:type="dxa"/>
              <w:start w:w="90" w:type="dxa"/>
              <w:bottom w:w="85" w:type="dxa"/>
              <w:end w:w="90" w:type="dxa"/>
            </w:tcMar>
          </w:tcPr>
          <w:p>
            <w:pPr>
              <w:spacing w:after="0" w:line="257" w:lineRule="auto"/>
            </w:pPr>
            <w:r>
              <w:rPr>
                <w:sz w:val="16"/>
              </w:rPr>
              <w:t>[YYYY-MM-DD HH:MM UTC]</w:t>
            </w:r>
          </w:p>
        </w:tc>
      </w:tr>
      <w:tr>
        <w:tc>
          <w:tcPr>
            <w:tcW w:type="dxa" w:w="2835"/>
            <w:vAlign w:val="center"/>
            <w:tcMar>
              <w:top w:w="85" w:type="dxa"/>
              <w:start w:w="90" w:type="dxa"/>
              <w:bottom w:w="85" w:type="dxa"/>
              <w:end w:w="90" w:type="dxa"/>
            </w:tcMar>
            <w:shd w:fill="F0F5F7"/>
          </w:tcPr>
          <w:p>
            <w:pPr>
              <w:spacing w:after="0" w:line="257" w:lineRule="auto"/>
            </w:pPr>
            <w:r>
              <w:rPr>
                <w:sz w:val="16"/>
              </w:rPr>
              <w:t>Environment / deployment</w:t>
            </w:r>
          </w:p>
        </w:tc>
        <w:tc>
          <w:tcPr>
            <w:tcW w:type="dxa" w:w="6576"/>
            <w:vAlign w:val="center"/>
            <w:tcMar>
              <w:top w:w="85" w:type="dxa"/>
              <w:start w:w="90" w:type="dxa"/>
              <w:bottom w:w="85" w:type="dxa"/>
              <w:end w:w="90" w:type="dxa"/>
            </w:tcMar>
            <w:shd w:fill="F0F5F7"/>
          </w:tcPr>
          <w:p>
            <w:pPr>
              <w:spacing w:after="0" w:line="257" w:lineRule="auto"/>
            </w:pPr>
            <w:r>
              <w:rPr>
                <w:sz w:val="16"/>
              </w:rPr>
              <w:t>[Production / exact ID]</w:t>
            </w:r>
          </w:p>
        </w:tc>
      </w:tr>
      <w:tr>
        <w:tc>
          <w:tcPr>
            <w:tcW w:type="dxa" w:w="2835"/>
            <w:vAlign w:val="center"/>
            <w:tcMar>
              <w:top w:w="85" w:type="dxa"/>
              <w:start w:w="90" w:type="dxa"/>
              <w:bottom w:w="85" w:type="dxa"/>
              <w:end w:w="90" w:type="dxa"/>
            </w:tcMar>
          </w:tcPr>
          <w:p>
            <w:pPr>
              <w:spacing w:after="0" w:line="257" w:lineRule="auto"/>
            </w:pPr>
            <w:r>
              <w:rPr>
                <w:sz w:val="16"/>
              </w:rPr>
              <w:t>Reviewer</w:t>
            </w:r>
          </w:p>
        </w:tc>
        <w:tc>
          <w:tcPr>
            <w:tcW w:type="dxa" w:w="6576"/>
            <w:vAlign w:val="center"/>
            <w:tcMar>
              <w:top w:w="85" w:type="dxa"/>
              <w:start w:w="90" w:type="dxa"/>
              <w:bottom w:w="85" w:type="dxa"/>
              <w:end w:w="90" w:type="dxa"/>
            </w:tcMar>
          </w:tcPr>
          <w:p>
            <w:pPr>
              <w:spacing w:after="0" w:line="257" w:lineRule="auto"/>
            </w:pPr>
            <w:r>
              <w:rPr>
                <w:sz w:val="16"/>
              </w:rPr>
              <w:t>[Team and named operator]</w:t>
            </w:r>
          </w:p>
        </w:tc>
      </w:tr>
      <w:tr>
        <w:tc>
          <w:tcPr>
            <w:tcW w:type="dxa" w:w="2835"/>
            <w:vAlign w:val="center"/>
            <w:tcMar>
              <w:top w:w="85" w:type="dxa"/>
              <w:start w:w="90" w:type="dxa"/>
              <w:bottom w:w="85" w:type="dxa"/>
              <w:end w:w="90" w:type="dxa"/>
            </w:tcMar>
            <w:shd w:fill="F0F5F7"/>
          </w:tcPr>
          <w:p>
            <w:pPr>
              <w:spacing w:after="0" w:line="257" w:lineRule="auto"/>
            </w:pPr>
            <w:r>
              <w:rPr>
                <w:sz w:val="16"/>
              </w:rPr>
              <w:t>Cloud / cluster / nodes</w:t>
            </w:r>
          </w:p>
        </w:tc>
        <w:tc>
          <w:tcPr>
            <w:tcW w:type="dxa" w:w="6576"/>
            <w:vAlign w:val="center"/>
            <w:tcMar>
              <w:top w:w="85" w:type="dxa"/>
              <w:start w:w="90" w:type="dxa"/>
              <w:bottom w:w="85" w:type="dxa"/>
              <w:end w:w="90" w:type="dxa"/>
            </w:tcMar>
            <w:shd w:fill="F0F5F7"/>
          </w:tcPr>
          <w:p>
            <w:pPr>
              <w:spacing w:after="0" w:line="257" w:lineRule="auto"/>
            </w:pPr>
            <w:r>
              <w:rPr>
                <w:sz w:val="16"/>
              </w:rPr>
              <w:t>[Green/Amber/Red; key values]</w:t>
            </w:r>
          </w:p>
        </w:tc>
      </w:tr>
      <w:tr>
        <w:tc>
          <w:tcPr>
            <w:tcW w:type="dxa" w:w="2835"/>
            <w:vAlign w:val="center"/>
            <w:tcMar>
              <w:top w:w="85" w:type="dxa"/>
              <w:start w:w="90" w:type="dxa"/>
              <w:bottom w:w="85" w:type="dxa"/>
              <w:end w:w="90" w:type="dxa"/>
            </w:tcMar>
          </w:tcPr>
          <w:p>
            <w:pPr>
              <w:spacing w:after="0" w:line="257" w:lineRule="auto"/>
            </w:pPr>
            <w:r>
              <w:rPr>
                <w:sz w:val="16"/>
              </w:rPr>
              <w:t>Shards / disk / heap</w:t>
            </w:r>
          </w:p>
        </w:tc>
        <w:tc>
          <w:tcPr>
            <w:tcW w:type="dxa" w:w="6576"/>
            <w:vAlign w:val="center"/>
            <w:tcMar>
              <w:top w:w="85" w:type="dxa"/>
              <w:start w:w="90" w:type="dxa"/>
              <w:bottom w:w="85" w:type="dxa"/>
              <w:end w:w="90" w:type="dxa"/>
            </w:tcMar>
          </w:tcPr>
          <w:p>
            <w:pPr>
              <w:spacing w:after="0" w:line="257" w:lineRule="auto"/>
            </w:pPr>
            <w:r>
              <w:rPr>
                <w:sz w:val="16"/>
              </w:rPr>
              <w:t>[Values per affected tier]</w:t>
            </w:r>
          </w:p>
        </w:tc>
      </w:tr>
      <w:tr>
        <w:tc>
          <w:tcPr>
            <w:tcW w:type="dxa" w:w="2835"/>
            <w:vAlign w:val="center"/>
            <w:tcMar>
              <w:top w:w="85" w:type="dxa"/>
              <w:start w:w="90" w:type="dxa"/>
              <w:bottom w:w="85" w:type="dxa"/>
              <w:end w:w="90" w:type="dxa"/>
            </w:tcMar>
            <w:shd w:fill="F0F5F7"/>
          </w:tcPr>
          <w:p>
            <w:pPr>
              <w:spacing w:after="0" w:line="257" w:lineRule="auto"/>
            </w:pPr>
            <w:r>
              <w:rPr>
                <w:sz w:val="16"/>
              </w:rPr>
              <w:t>Ingestion / gaps</w:t>
            </w:r>
          </w:p>
        </w:tc>
        <w:tc>
          <w:tcPr>
            <w:tcW w:type="dxa" w:w="6576"/>
            <w:vAlign w:val="center"/>
            <w:tcMar>
              <w:top w:w="85" w:type="dxa"/>
              <w:start w:w="90" w:type="dxa"/>
              <w:bottom w:w="85" w:type="dxa"/>
              <w:end w:w="90" w:type="dxa"/>
            </w:tcMar>
            <w:shd w:fill="F0F5F7"/>
          </w:tcPr>
          <w:p>
            <w:pPr>
              <w:spacing w:after="0" w:line="257" w:lineRule="auto"/>
            </w:pPr>
            <w:r>
              <w:rPr>
                <w:sz w:val="16"/>
              </w:rPr>
              <w:t>[Critical datasets checked; last seen times]</w:t>
            </w:r>
          </w:p>
        </w:tc>
      </w:tr>
      <w:tr>
        <w:tc>
          <w:tcPr>
            <w:tcW w:type="dxa" w:w="2835"/>
            <w:vAlign w:val="center"/>
            <w:tcMar>
              <w:top w:w="85" w:type="dxa"/>
              <w:start w:w="90" w:type="dxa"/>
              <w:bottom w:w="85" w:type="dxa"/>
              <w:end w:w="90" w:type="dxa"/>
            </w:tcMar>
          </w:tcPr>
          <w:p>
            <w:pPr>
              <w:spacing w:after="0" w:line="257" w:lineRule="auto"/>
            </w:pPr>
            <w:r>
              <w:rPr>
                <w:sz w:val="16"/>
              </w:rPr>
              <w:t>Fleet / pipeline</w:t>
            </w:r>
          </w:p>
        </w:tc>
        <w:tc>
          <w:tcPr>
            <w:tcW w:type="dxa" w:w="6576"/>
            <w:vAlign w:val="center"/>
            <w:tcMar>
              <w:top w:w="85" w:type="dxa"/>
              <w:start w:w="90" w:type="dxa"/>
              <w:bottom w:w="85" w:type="dxa"/>
              <w:end w:w="90" w:type="dxa"/>
            </w:tcMar>
          </w:tcPr>
          <w:p>
            <w:pPr>
              <w:spacing w:after="0" w:line="257" w:lineRule="auto"/>
            </w:pPr>
            <w:r>
              <w:rPr>
                <w:sz w:val="16"/>
              </w:rPr>
              <w:t>[Agents unhealthy/offline; queues/errors]</w:t>
            </w:r>
          </w:p>
        </w:tc>
      </w:tr>
      <w:tr>
        <w:tc>
          <w:tcPr>
            <w:tcW w:type="dxa" w:w="2835"/>
            <w:vAlign w:val="center"/>
            <w:tcMar>
              <w:top w:w="85" w:type="dxa"/>
              <w:start w:w="90" w:type="dxa"/>
              <w:bottom w:w="85" w:type="dxa"/>
              <w:end w:w="90" w:type="dxa"/>
            </w:tcMar>
            <w:shd w:fill="F0F5F7"/>
          </w:tcPr>
          <w:p>
            <w:pPr>
              <w:spacing w:after="0" w:line="257" w:lineRule="auto"/>
            </w:pPr>
            <w:r>
              <w:rPr>
                <w:sz w:val="16"/>
              </w:rPr>
              <w:t>Snapshots / ILM</w:t>
            </w:r>
          </w:p>
        </w:tc>
        <w:tc>
          <w:tcPr>
            <w:tcW w:type="dxa" w:w="6576"/>
            <w:vAlign w:val="center"/>
            <w:tcMar>
              <w:top w:w="85" w:type="dxa"/>
              <w:start w:w="90" w:type="dxa"/>
              <w:bottom w:w="85" w:type="dxa"/>
              <w:end w:w="90" w:type="dxa"/>
            </w:tcMar>
            <w:shd w:fill="F0F5F7"/>
          </w:tcPr>
          <w:p>
            <w:pPr>
              <w:spacing w:after="0" w:line="257" w:lineRule="auto"/>
            </w:pPr>
            <w:r>
              <w:rPr>
                <w:sz w:val="16"/>
              </w:rPr>
              <w:t>[Last success; lifecycle error count]</w:t>
            </w:r>
          </w:p>
        </w:tc>
      </w:tr>
      <w:tr>
        <w:tc>
          <w:tcPr>
            <w:tcW w:type="dxa" w:w="2835"/>
            <w:vAlign w:val="center"/>
            <w:tcMar>
              <w:top w:w="85" w:type="dxa"/>
              <w:start w:w="90" w:type="dxa"/>
              <w:bottom w:w="85" w:type="dxa"/>
              <w:end w:w="90" w:type="dxa"/>
            </w:tcMar>
          </w:tcPr>
          <w:p>
            <w:pPr>
              <w:spacing w:after="0" w:line="257" w:lineRule="auto"/>
            </w:pPr>
            <w:r>
              <w:rPr>
                <w:sz w:val="16"/>
              </w:rPr>
              <w:t>APM / Synthetics / alerts</w:t>
            </w:r>
          </w:p>
        </w:tc>
        <w:tc>
          <w:tcPr>
            <w:tcW w:type="dxa" w:w="6576"/>
            <w:vAlign w:val="center"/>
            <w:tcMar>
              <w:top w:w="85" w:type="dxa"/>
              <w:start w:w="90" w:type="dxa"/>
              <w:bottom w:w="85" w:type="dxa"/>
              <w:end w:w="90" w:type="dxa"/>
            </w:tcMar>
          </w:tcPr>
          <w:p>
            <w:pPr>
              <w:spacing w:after="0" w:line="257" w:lineRule="auto"/>
            </w:pPr>
            <w:r>
              <w:rPr>
                <w:sz w:val="16"/>
              </w:rPr>
              <w:t>[Service availability; monitor failures; connector state]</w:t>
            </w:r>
          </w:p>
        </w:tc>
      </w:tr>
      <w:tr>
        <w:tc>
          <w:tcPr>
            <w:tcW w:type="dxa" w:w="2835"/>
            <w:vAlign w:val="center"/>
            <w:tcMar>
              <w:top w:w="85" w:type="dxa"/>
              <w:start w:w="90" w:type="dxa"/>
              <w:bottom w:w="85" w:type="dxa"/>
              <w:end w:w="90" w:type="dxa"/>
            </w:tcMar>
            <w:shd w:fill="F0F5F7"/>
          </w:tcPr>
          <w:p>
            <w:pPr>
              <w:spacing w:after="0" w:line="257" w:lineRule="auto"/>
            </w:pPr>
            <w:r>
              <w:rPr>
                <w:sz w:val="16"/>
              </w:rPr>
              <w:t>Open incidents and actions</w:t>
            </w:r>
          </w:p>
        </w:tc>
        <w:tc>
          <w:tcPr>
            <w:tcW w:type="dxa" w:w="6576"/>
            <w:vAlign w:val="center"/>
            <w:tcMar>
              <w:top w:w="85" w:type="dxa"/>
              <w:start w:w="90" w:type="dxa"/>
              <w:bottom w:w="85" w:type="dxa"/>
              <w:end w:w="90" w:type="dxa"/>
            </w:tcMar>
            <w:shd w:fill="F0F5F7"/>
          </w:tcPr>
          <w:p>
            <w:pPr>
              <w:spacing w:after="0" w:line="257" w:lineRule="auto"/>
            </w:pPr>
            <w:r>
              <w:rPr>
                <w:sz w:val="16"/>
              </w:rPr>
              <w:t>[Ticket; priority; owner; next update]</w:t>
            </w:r>
          </w:p>
        </w:tc>
      </w:tr>
      <w:tr>
        <w:tc>
          <w:tcPr>
            <w:tcW w:type="dxa" w:w="2835"/>
            <w:vAlign w:val="center"/>
            <w:tcMar>
              <w:top w:w="85" w:type="dxa"/>
              <w:start w:w="90" w:type="dxa"/>
              <w:bottom w:w="85" w:type="dxa"/>
              <w:end w:w="90" w:type="dxa"/>
            </w:tcMar>
          </w:tcPr>
          <w:p>
            <w:pPr>
              <w:spacing w:after="0" w:line="257" w:lineRule="auto"/>
            </w:pPr>
            <w:r>
              <w:rPr>
                <w:sz w:val="16"/>
              </w:rPr>
              <w:t>Sign-off</w:t>
            </w:r>
          </w:p>
        </w:tc>
        <w:tc>
          <w:tcPr>
            <w:tcW w:type="dxa" w:w="6576"/>
            <w:vAlign w:val="center"/>
            <w:tcMar>
              <w:top w:w="85" w:type="dxa"/>
              <w:start w:w="90" w:type="dxa"/>
              <w:bottom w:w="85" w:type="dxa"/>
              <w:end w:w="90" w:type="dxa"/>
            </w:tcMar>
          </w:tcPr>
          <w:p>
            <w:pPr>
              <w:spacing w:after="0" w:line="257" w:lineRule="auto"/>
            </w:pPr>
            <w:r>
              <w:rPr>
                <w:sz w:val="16"/>
              </w:rPr>
              <w:t>[Reviewer and time]</w:t>
            </w:r>
          </w:p>
        </w:tc>
      </w:tr>
    </w:tbl>
    <w:p>
      <w:pPr>
        <w:spacing w:after="0"/>
      </w:pPr>
    </w:p>
    <w:p>
      <w:pPr>
        <w:pStyle w:val="Heading2"/>
        <w:widowControl w:val="1"/>
      </w:pPr>
      <w:r>
        <w:t>11.4 Incident checklist and post-incident review</w:t>
      </w:r>
    </w:p>
    <w:p>
      <w:pPr>
        <w:widowControl w:val="1"/>
        <w:spacing w:after="56"/>
        <w:ind w:left="317" w:hanging="210"/>
      </w:pPr>
      <w:r>
        <w:t>1.  Declare priority and incident owner using ScottishPower process, including timestamp and scope.</w:t>
      </w:r>
    </w:p>
    <w:p>
      <w:pPr>
        <w:widowControl w:val="1"/>
        <w:spacing w:after="56"/>
        <w:ind w:left="317" w:hanging="210"/>
      </w:pPr>
      <w:r>
        <w:t>2.  Establish platform versus source versus application fault; capture first and last affected times.</w:t>
      </w:r>
    </w:p>
    <w:p>
      <w:pPr>
        <w:widowControl w:val="1"/>
        <w:spacing w:after="56"/>
        <w:ind w:left="317" w:hanging="210"/>
      </w:pPr>
      <w:r>
        <w:t>3.  Record business impact, affected services/hosts/data streams and source coverage loss.</w:t>
      </w:r>
    </w:p>
    <w:p>
      <w:pPr>
        <w:widowControl w:val="1"/>
        <w:spacing w:after="56"/>
        <w:ind w:left="317" w:hanging="210"/>
      </w:pPr>
      <w:r>
        <w:t>4.  Preserve evidence and notify internal stakeholders and Elastic support as needed.</w:t>
      </w:r>
    </w:p>
    <w:p>
      <w:pPr>
        <w:widowControl w:val="1"/>
        <w:spacing w:after="56"/>
        <w:ind w:left="317" w:hanging="210"/>
      </w:pPr>
      <w:r>
        <w:t>5.  Document actions and approvals chronologically; capture change/command audit trail.</w:t>
      </w:r>
    </w:p>
    <w:p>
      <w:pPr>
        <w:widowControl w:val="1"/>
        <w:spacing w:after="56"/>
        <w:ind w:left="317" w:hanging="210"/>
      </w:pPr>
      <w:r>
        <w:t>6.  Confirm recoveries with end-to-end checks, not only green cluster status.</w:t>
      </w:r>
    </w:p>
    <w:p>
      <w:pPr>
        <w:widowControl w:val="1"/>
        <w:spacing w:after="56"/>
        <w:ind w:left="317" w:hanging="210"/>
      </w:pPr>
      <w:r>
        <w:t>7.  After resolution, perform RCA, identify alert/runbook gaps and assign prevention actions with due dates.</w:t>
      </w:r>
    </w:p>
    <w:p>
      <w:pPr>
        <w:pStyle w:val="Heading1"/>
        <w:widowControl w:val="1"/>
      </w:pPr>
      <w:r>
        <w:t>12. Completion checklist, open decisions and glossary</w:t>
      </w:r>
    </w:p>
    <w:p>
      <w:pPr>
        <w:pStyle w:val="Heading2"/>
        <w:widowControl w:val="1"/>
      </w:pPr>
      <w:r>
        <w:t>12.1 Runbook readiness / operational acceptance (Production and Monitoring)</w:t>
      </w:r>
    </w:p>
    <w:tbl>
      <w:tblPr>
        <w:tblStyle w:val="TableGrid"/>
        <w:tblW w:type="auto" w:w="0"/>
        <w:jc w:val="center"/>
        <w:tblLayout w:type="fixed"/>
        <w:tblLook w:firstColumn="1" w:firstRow="1" w:lastColumn="0" w:lastRow="0" w:noHBand="0" w:noVBand="1" w:val="04A0"/>
      </w:tblPr>
      <w:tblGrid>
        <w:gridCol w:w="4776"/>
        <w:gridCol w:w="4776"/>
      </w:tblGrid>
      <w:tr>
        <w:trPr>
          <w:tblHeader w:val="true"/>
        </w:trPr>
        <w:tc>
          <w:tcPr>
            <w:tcW w:type="dxa" w:w="7455"/>
            <w:shd w:fill="15456B"/>
            <w:tcMar>
              <w:top w:w="85" w:type="dxa"/>
              <w:start w:w="90" w:type="dxa"/>
              <w:bottom w:w="85" w:type="dxa"/>
              <w:end w:w="90" w:type="dxa"/>
            </w:tcMar>
          </w:tcPr>
          <w:p>
            <w:pPr>
              <w:spacing w:after="0"/>
            </w:pPr>
            <w:r>
              <w:rPr>
                <w:b/>
                <w:color w:val="FFFFFF"/>
                <w:sz w:val="16"/>
              </w:rPr>
              <w:t>Acceptance requirement</w:t>
            </w:r>
          </w:p>
        </w:tc>
        <w:tc>
          <w:tcPr>
            <w:tcW w:type="dxa" w:w="1956"/>
            <w:shd w:fill="15456B"/>
            <w:tcMar>
              <w:top w:w="85" w:type="dxa"/>
              <w:start w:w="90" w:type="dxa"/>
              <w:bottom w:w="85" w:type="dxa"/>
              <w:end w:w="90" w:type="dxa"/>
            </w:tcMar>
          </w:tcPr>
          <w:p>
            <w:pPr>
              <w:spacing w:after="0"/>
            </w:pPr>
            <w:r>
              <w:rPr>
                <w:b/>
                <w:color w:val="FFFFFF"/>
                <w:sz w:val="16"/>
              </w:rPr>
              <w:t>Status</w:t>
            </w:r>
          </w:p>
        </w:tc>
      </w:tr>
      <w:tr>
        <w:tc>
          <w:tcPr>
            <w:tcW w:type="dxa" w:w="7455"/>
            <w:vAlign w:val="center"/>
            <w:tcMar>
              <w:top w:w="85" w:type="dxa"/>
              <w:start w:w="90" w:type="dxa"/>
              <w:bottom w:w="85" w:type="dxa"/>
              <w:end w:w="90" w:type="dxa"/>
            </w:tcMar>
          </w:tcPr>
          <w:p>
            <w:pPr>
              <w:spacing w:after="0" w:line="257" w:lineRule="auto"/>
            </w:pPr>
            <w:r>
              <w:rPr>
                <w:sz w:val="16"/>
              </w:rPr>
              <w:t>Live production architecture, all zone roles and master quorum validated</w:t>
            </w:r>
          </w:p>
        </w:tc>
        <w:tc>
          <w:tcPr>
            <w:tcW w:type="dxa" w:w="1956"/>
            <w:vAlign w:val="center"/>
            <w:tcMar>
              <w:top w:w="85" w:type="dxa"/>
              <w:start w:w="90" w:type="dxa"/>
              <w:bottom w:w="85" w:type="dxa"/>
              <w:end w:w="90" w:type="dxa"/>
            </w:tcMar>
          </w:tcPr>
          <w:p>
            <w:pPr>
              <w:spacing w:after="0" w:line="257" w:lineRule="auto"/>
            </w:pPr>
            <w:r>
              <w:rPr>
                <w:sz w:val="16"/>
              </w:rPr>
              <w:t>[OPEN]</w:t>
            </w:r>
          </w:p>
        </w:tc>
      </w:tr>
      <w:tr>
        <w:tc>
          <w:tcPr>
            <w:tcW w:type="dxa" w:w="7455"/>
            <w:vAlign w:val="center"/>
            <w:tcMar>
              <w:top w:w="85" w:type="dxa"/>
              <w:start w:w="90" w:type="dxa"/>
              <w:bottom w:w="85" w:type="dxa"/>
              <w:end w:w="90" w:type="dxa"/>
            </w:tcMar>
            <w:shd w:fill="F0F5F7"/>
          </w:tcPr>
          <w:p>
            <w:pPr>
              <w:spacing w:after="0" w:line="257" w:lineRule="auto"/>
            </w:pPr>
            <w:r>
              <w:rPr>
                <w:sz w:val="16"/>
              </w:rPr>
              <w:t>Service and support URL register confirmed from Cloud Console</w:t>
            </w:r>
          </w:p>
        </w:tc>
        <w:tc>
          <w:tcPr>
            <w:tcW w:type="dxa" w:w="1956"/>
            <w:vAlign w:val="center"/>
            <w:tcMar>
              <w:top w:w="85" w:type="dxa"/>
              <w:start w:w="90" w:type="dxa"/>
              <w:bottom w:w="85" w:type="dxa"/>
              <w:end w:w="90" w:type="dxa"/>
            </w:tcMar>
            <w:shd w:fill="F0F5F7"/>
          </w:tcPr>
          <w:p>
            <w:pPr>
              <w:spacing w:after="0" w:line="257" w:lineRule="auto"/>
            </w:pPr>
            <w:r>
              <w:rPr>
                <w:sz w:val="16"/>
              </w:rPr>
              <w:t>[OPEN]</w:t>
            </w:r>
          </w:p>
        </w:tc>
      </w:tr>
      <w:tr>
        <w:tc>
          <w:tcPr>
            <w:tcW w:type="dxa" w:w="7455"/>
            <w:vAlign w:val="center"/>
            <w:tcMar>
              <w:top w:w="85" w:type="dxa"/>
              <w:start w:w="90" w:type="dxa"/>
              <w:bottom w:w="85" w:type="dxa"/>
              <w:end w:w="90" w:type="dxa"/>
            </w:tcMar>
          </w:tcPr>
          <w:p>
            <w:pPr>
              <w:spacing w:after="0" w:line="257" w:lineRule="auto"/>
            </w:pPr>
            <w:r>
              <w:rPr>
                <w:sz w:val="16"/>
              </w:rPr>
              <w:t>Named technical/business owners and RACI signed off</w:t>
            </w:r>
          </w:p>
        </w:tc>
        <w:tc>
          <w:tcPr>
            <w:tcW w:type="dxa" w:w="1956"/>
            <w:vAlign w:val="center"/>
            <w:tcMar>
              <w:top w:w="85" w:type="dxa"/>
              <w:start w:w="90" w:type="dxa"/>
              <w:bottom w:w="85" w:type="dxa"/>
              <w:end w:w="90" w:type="dxa"/>
            </w:tcMar>
          </w:tcPr>
          <w:p>
            <w:pPr>
              <w:spacing w:after="0" w:line="257" w:lineRule="auto"/>
            </w:pPr>
            <w:r>
              <w:rPr>
                <w:sz w:val="16"/>
              </w:rPr>
              <w:t>[OPEN]</w:t>
            </w:r>
          </w:p>
        </w:tc>
      </w:tr>
      <w:tr>
        <w:tc>
          <w:tcPr>
            <w:tcW w:type="dxa" w:w="7455"/>
            <w:vAlign w:val="center"/>
            <w:tcMar>
              <w:top w:w="85" w:type="dxa"/>
              <w:start w:w="90" w:type="dxa"/>
              <w:bottom w:w="85" w:type="dxa"/>
              <w:end w:w="90" w:type="dxa"/>
            </w:tcMar>
            <w:shd w:fill="F0F5F7"/>
          </w:tcPr>
          <w:p>
            <w:pPr>
              <w:spacing w:after="0" w:line="257" w:lineRule="auto"/>
            </w:pPr>
            <w:r>
              <w:rPr>
                <w:sz w:val="16"/>
              </w:rPr>
              <w:t>RTO/RPO, backup retention and recovery tests approved</w:t>
            </w:r>
          </w:p>
        </w:tc>
        <w:tc>
          <w:tcPr>
            <w:tcW w:type="dxa" w:w="1956"/>
            <w:vAlign w:val="center"/>
            <w:tcMar>
              <w:top w:w="85" w:type="dxa"/>
              <w:start w:w="90" w:type="dxa"/>
              <w:bottom w:w="85" w:type="dxa"/>
              <w:end w:w="90" w:type="dxa"/>
            </w:tcMar>
            <w:shd w:fill="F0F5F7"/>
          </w:tcPr>
          <w:p>
            <w:pPr>
              <w:spacing w:after="0" w:line="257" w:lineRule="auto"/>
            </w:pPr>
            <w:r>
              <w:rPr>
                <w:sz w:val="16"/>
              </w:rPr>
              <w:t>[OPEN]</w:t>
            </w:r>
          </w:p>
        </w:tc>
      </w:tr>
      <w:tr>
        <w:tc>
          <w:tcPr>
            <w:tcW w:type="dxa" w:w="7455"/>
            <w:vAlign w:val="center"/>
            <w:tcMar>
              <w:top w:w="85" w:type="dxa"/>
              <w:start w:w="90" w:type="dxa"/>
              <w:bottom w:w="85" w:type="dxa"/>
              <w:end w:w="90" w:type="dxa"/>
            </w:tcMar>
          </w:tcPr>
          <w:p>
            <w:pPr>
              <w:spacing w:after="0" w:line="257" w:lineRule="auto"/>
            </w:pPr>
            <w:r>
              <w:rPr>
                <w:sz w:val="16"/>
              </w:rPr>
              <w:t>P1–P4 SLA, contact tree, service desk and Elastic support entitlements approved</w:t>
            </w:r>
          </w:p>
        </w:tc>
        <w:tc>
          <w:tcPr>
            <w:tcW w:type="dxa" w:w="1956"/>
            <w:vAlign w:val="center"/>
            <w:tcMar>
              <w:top w:w="85" w:type="dxa"/>
              <w:start w:w="90" w:type="dxa"/>
              <w:bottom w:w="85" w:type="dxa"/>
              <w:end w:w="90" w:type="dxa"/>
            </w:tcMar>
          </w:tcPr>
          <w:p>
            <w:pPr>
              <w:spacing w:after="0" w:line="257" w:lineRule="auto"/>
            </w:pPr>
            <w:r>
              <w:rPr>
                <w:sz w:val="16"/>
              </w:rPr>
              <w:t>[OPEN]</w:t>
            </w:r>
          </w:p>
        </w:tc>
      </w:tr>
      <w:tr>
        <w:tc>
          <w:tcPr>
            <w:tcW w:type="dxa" w:w="7455"/>
            <w:vAlign w:val="center"/>
            <w:tcMar>
              <w:top w:w="85" w:type="dxa"/>
              <w:start w:w="90" w:type="dxa"/>
              <w:bottom w:w="85" w:type="dxa"/>
              <w:end w:w="90" w:type="dxa"/>
            </w:tcMar>
            <w:shd w:fill="F0F5F7"/>
          </w:tcPr>
          <w:p>
            <w:pPr>
              <w:spacing w:after="0" w:line="257" w:lineRule="auto"/>
            </w:pPr>
            <w:r>
              <w:rPr>
                <w:sz w:val="16"/>
              </w:rPr>
              <w:t>Source inventory, criticality and freshness SLAs documented</w:t>
            </w:r>
          </w:p>
        </w:tc>
        <w:tc>
          <w:tcPr>
            <w:tcW w:type="dxa" w:w="1956"/>
            <w:vAlign w:val="center"/>
            <w:tcMar>
              <w:top w:w="85" w:type="dxa"/>
              <w:start w:w="90" w:type="dxa"/>
              <w:bottom w:w="85" w:type="dxa"/>
              <w:end w:w="90" w:type="dxa"/>
            </w:tcMar>
            <w:shd w:fill="F0F5F7"/>
          </w:tcPr>
          <w:p>
            <w:pPr>
              <w:spacing w:after="0" w:line="257" w:lineRule="auto"/>
            </w:pPr>
            <w:r>
              <w:rPr>
                <w:sz w:val="16"/>
              </w:rPr>
              <w:t>[OPEN]</w:t>
            </w:r>
          </w:p>
        </w:tc>
      </w:tr>
      <w:tr>
        <w:tc>
          <w:tcPr>
            <w:tcW w:type="dxa" w:w="7455"/>
            <w:vAlign w:val="center"/>
            <w:tcMar>
              <w:top w:w="85" w:type="dxa"/>
              <w:start w:w="90" w:type="dxa"/>
              <w:bottom w:w="85" w:type="dxa"/>
              <w:end w:w="90" w:type="dxa"/>
            </w:tcMar>
          </w:tcPr>
          <w:p>
            <w:pPr>
              <w:spacing w:after="0" w:line="257" w:lineRule="auto"/>
            </w:pPr>
            <w:r>
              <w:rPr>
                <w:sz w:val="16"/>
              </w:rPr>
              <w:t>Thresholds baseline-tested and alerts have accountable owners</w:t>
            </w:r>
          </w:p>
        </w:tc>
        <w:tc>
          <w:tcPr>
            <w:tcW w:type="dxa" w:w="1956"/>
            <w:vAlign w:val="center"/>
            <w:tcMar>
              <w:top w:w="85" w:type="dxa"/>
              <w:start w:w="90" w:type="dxa"/>
              <w:bottom w:w="85" w:type="dxa"/>
              <w:end w:w="90" w:type="dxa"/>
            </w:tcMar>
          </w:tcPr>
          <w:p>
            <w:pPr>
              <w:spacing w:after="0" w:line="257" w:lineRule="auto"/>
            </w:pPr>
            <w:r>
              <w:rPr>
                <w:sz w:val="16"/>
              </w:rPr>
              <w:t>[OPEN]</w:t>
            </w:r>
          </w:p>
        </w:tc>
      </w:tr>
      <w:tr>
        <w:tc>
          <w:tcPr>
            <w:tcW w:type="dxa" w:w="7455"/>
            <w:vAlign w:val="center"/>
            <w:tcMar>
              <w:top w:w="85" w:type="dxa"/>
              <w:start w:w="90" w:type="dxa"/>
              <w:bottom w:w="85" w:type="dxa"/>
              <w:end w:w="90" w:type="dxa"/>
            </w:tcMar>
            <w:shd w:fill="F0F5F7"/>
          </w:tcPr>
          <w:p>
            <w:pPr>
              <w:spacing w:after="0" w:line="257" w:lineRule="auto"/>
            </w:pPr>
            <w:r>
              <w:rPr>
                <w:sz w:val="16"/>
              </w:rPr>
              <w:t>Fleet/Beats/Logstash locations and version management method confirmed</w:t>
            </w:r>
          </w:p>
        </w:tc>
        <w:tc>
          <w:tcPr>
            <w:tcW w:type="dxa" w:w="1956"/>
            <w:vAlign w:val="center"/>
            <w:tcMar>
              <w:top w:w="85" w:type="dxa"/>
              <w:start w:w="90" w:type="dxa"/>
              <w:bottom w:w="85" w:type="dxa"/>
              <w:end w:w="90" w:type="dxa"/>
            </w:tcMar>
            <w:shd w:fill="F0F5F7"/>
          </w:tcPr>
          <w:p>
            <w:pPr>
              <w:spacing w:after="0" w:line="257" w:lineRule="auto"/>
            </w:pPr>
            <w:r>
              <w:rPr>
                <w:sz w:val="16"/>
              </w:rPr>
              <w:t>[OPEN]</w:t>
            </w:r>
          </w:p>
        </w:tc>
      </w:tr>
      <w:tr>
        <w:tc>
          <w:tcPr>
            <w:tcW w:type="dxa" w:w="7455"/>
            <w:vAlign w:val="center"/>
            <w:tcMar>
              <w:top w:w="85" w:type="dxa"/>
              <w:start w:w="90" w:type="dxa"/>
              <w:bottom w:w="85" w:type="dxa"/>
              <w:end w:w="90" w:type="dxa"/>
            </w:tcMar>
          </w:tcPr>
          <w:p>
            <w:pPr>
              <w:spacing w:after="0" w:line="257" w:lineRule="auto"/>
            </w:pPr>
            <w:r>
              <w:rPr>
                <w:sz w:val="16"/>
              </w:rPr>
              <w:t>SSO, Cloud-vs-deployment access, API-key standards approved</w:t>
            </w:r>
          </w:p>
        </w:tc>
        <w:tc>
          <w:tcPr>
            <w:tcW w:type="dxa" w:w="1956"/>
            <w:vAlign w:val="center"/>
            <w:tcMar>
              <w:top w:w="85" w:type="dxa"/>
              <w:start w:w="90" w:type="dxa"/>
              <w:bottom w:w="85" w:type="dxa"/>
              <w:end w:w="90" w:type="dxa"/>
            </w:tcMar>
          </w:tcPr>
          <w:p>
            <w:pPr>
              <w:spacing w:after="0" w:line="257" w:lineRule="auto"/>
            </w:pPr>
            <w:r>
              <w:rPr>
                <w:sz w:val="16"/>
              </w:rPr>
              <w:t>[OPEN]</w:t>
            </w:r>
          </w:p>
        </w:tc>
      </w:tr>
      <w:tr>
        <w:tc>
          <w:tcPr>
            <w:tcW w:type="dxa" w:w="7455"/>
            <w:vAlign w:val="center"/>
            <w:tcMar>
              <w:top w:w="85" w:type="dxa"/>
              <w:start w:w="90" w:type="dxa"/>
              <w:bottom w:w="85" w:type="dxa"/>
              <w:end w:w="90" w:type="dxa"/>
            </w:tcMar>
            <w:shd w:fill="F0F5F7"/>
          </w:tcPr>
          <w:p>
            <w:pPr>
              <w:spacing w:after="0" w:line="257" w:lineRule="auto"/>
            </w:pPr>
            <w:r>
              <w:rPr>
                <w:sz w:val="16"/>
              </w:rPr>
              <w:t>Non-production restore and upgrade rehearsal completed</w:t>
            </w:r>
          </w:p>
        </w:tc>
        <w:tc>
          <w:tcPr>
            <w:tcW w:type="dxa" w:w="1956"/>
            <w:vAlign w:val="center"/>
            <w:tcMar>
              <w:top w:w="85" w:type="dxa"/>
              <w:start w:w="90" w:type="dxa"/>
              <w:bottom w:w="85" w:type="dxa"/>
              <w:end w:w="90" w:type="dxa"/>
            </w:tcMar>
            <w:shd w:fill="F0F5F7"/>
          </w:tcPr>
          <w:p>
            <w:pPr>
              <w:spacing w:after="0" w:line="257" w:lineRule="auto"/>
            </w:pPr>
            <w:r>
              <w:rPr>
                <w:sz w:val="16"/>
              </w:rPr>
              <w:t>[OPEN]</w:t>
            </w:r>
          </w:p>
        </w:tc>
      </w:tr>
      <w:tr>
        <w:tc>
          <w:tcPr>
            <w:tcW w:type="dxa" w:w="7455"/>
            <w:vAlign w:val="center"/>
            <w:tcMar>
              <w:top w:w="85" w:type="dxa"/>
              <w:start w:w="90" w:type="dxa"/>
              <w:bottom w:w="85" w:type="dxa"/>
              <w:end w:w="90" w:type="dxa"/>
            </w:tcMar>
          </w:tcPr>
          <w:p>
            <w:pPr>
              <w:spacing w:after="0" w:line="257" w:lineRule="auto"/>
            </w:pPr>
            <w:r>
              <w:rPr>
                <w:sz w:val="16"/>
              </w:rPr>
              <w:t>Review, approval, publication and next review date recorded</w:t>
            </w:r>
          </w:p>
        </w:tc>
        <w:tc>
          <w:tcPr>
            <w:tcW w:type="dxa" w:w="1956"/>
            <w:vAlign w:val="center"/>
            <w:tcMar>
              <w:top w:w="85" w:type="dxa"/>
              <w:start w:w="90" w:type="dxa"/>
              <w:bottom w:w="85" w:type="dxa"/>
              <w:end w:w="90" w:type="dxa"/>
            </w:tcMar>
          </w:tcPr>
          <w:p>
            <w:pPr>
              <w:spacing w:after="0" w:line="257" w:lineRule="auto"/>
            </w:pPr>
            <w:r>
              <w:rPr>
                <w:sz w:val="16"/>
              </w:rPr>
              <w:t>[OPEN]</w:t>
            </w:r>
          </w:p>
        </w:tc>
      </w:tr>
    </w:tbl>
    <w:p>
      <w:pPr>
        <w:spacing w:after="0"/>
      </w:pPr>
    </w:p>
    <w:p>
      <w:pPr>
        <w:pStyle w:val="Heading2"/>
        <w:widowControl w:val="1"/>
      </w:pPr>
      <w:r>
        <w:t>12.2 Important open design questions</w:t>
      </w:r>
    </w:p>
    <w:p>
      <w:pPr>
        <w:pStyle w:val="ListBullet"/>
        <w:widowControl w:val="1"/>
      </w:pPr>
      <w:r>
        <w:t>Confirm that Production ships its logs and metrics to the separate Sp_Monitoring_Master deployment (Cloud console → Production → Logs and metrics); record the active destination, collection health, permissions and retention. Screenshots alone do not prove that forwarding is configured.</w:t>
      </w:r>
    </w:p>
    <w:p>
      <w:pPr>
        <w:pStyle w:val="ListBullet"/>
        <w:widowControl w:val="1"/>
      </w:pPr>
      <w:r>
        <w:t>Does the current design truly have three-zone high availability for master-eligible nodes and Kibana/Integrations Server? Is ML highly available if required?</w:t>
      </w:r>
    </w:p>
    <w:p>
      <w:pPr>
        <w:pStyle w:val="ListBullet"/>
        <w:widowControl w:val="1"/>
      </w:pPr>
      <w:r>
        <w:t>Which telemetry paths actually use Logstash, standalone Beats, Fleet-managed Elastic Agent and APM? Identify the specific hosts and owners.</w:t>
      </w:r>
    </w:p>
    <w:p>
      <w:pPr>
        <w:pStyle w:val="ListBullet"/>
        <w:widowControl w:val="1"/>
      </w:pPr>
      <w:r>
        <w:t>Are index lifecycle policies managed using classic ILM or data stream lifecycle, and are hot/warm tiers aligned with the actual billing/capacity strategy?</w:t>
      </w:r>
    </w:p>
    <w:p>
      <w:pPr>
        <w:pStyle w:val="ListBullet"/>
        <w:widowControl w:val="1"/>
      </w:pPr>
      <w:r>
        <w:t>Which Synthetics monitors are public versus Private Locations, and which are business critical?</w:t>
      </w:r>
    </w:p>
    <w:p>
      <w:pPr>
        <w:pStyle w:val="ListBullet"/>
        <w:widowControl w:val="1"/>
      </w:pPr>
      <w:r>
        <w:t>What is the contracted Elastic Cloud support entitlement, response target and case-escalation route?</w:t>
      </w:r>
    </w:p>
    <w:p>
      <w:pPr>
        <w:pStyle w:val="ListBullet"/>
        <w:widowControl w:val="1"/>
      </w:pPr>
      <w:r>
        <w:t>What retention and classification apply to audit/security events, personally identifiable data and application logs?</w:t>
      </w:r>
    </w:p>
    <w:p>
      <w:pPr>
        <w:pStyle w:val="ListBullet"/>
        <w:widowControl w:val="1"/>
      </w:pPr>
      <w:r>
        <w:t>What is the approved deployment upgrade cadence and supported compatibility matrix for all dependent agents?</w:t>
      </w:r>
    </w:p>
    <w:p>
      <w:pPr>
        <w:pStyle w:val="Heading2"/>
        <w:widowControl w:val="1"/>
      </w:pPr>
      <w:r>
        <w:t>12.3 Concise glossary</w:t>
      </w:r>
    </w:p>
    <w:tbl>
      <w:tblPr>
        <w:tblStyle w:val="TableGrid"/>
        <w:tblW w:type="auto" w:w="0"/>
        <w:jc w:val="center"/>
        <w:tblLayout w:type="fixed"/>
        <w:tblLook w:firstColumn="1" w:firstRow="1" w:lastColumn="0" w:lastRow="0" w:noHBand="0" w:noVBand="1" w:val="04A0"/>
      </w:tblPr>
      <w:tblGrid>
        <w:gridCol w:w="4776"/>
        <w:gridCol w:w="4776"/>
      </w:tblGrid>
      <w:tr>
        <w:trPr>
          <w:tblHeader w:val="true"/>
        </w:trPr>
        <w:tc>
          <w:tcPr>
            <w:tcW w:type="dxa" w:w="2268"/>
            <w:shd w:fill="15456B"/>
            <w:tcMar>
              <w:top w:w="85" w:type="dxa"/>
              <w:start w:w="90" w:type="dxa"/>
              <w:bottom w:w="85" w:type="dxa"/>
              <w:end w:w="90" w:type="dxa"/>
            </w:tcMar>
          </w:tcPr>
          <w:p>
            <w:pPr>
              <w:spacing w:after="0"/>
            </w:pPr>
            <w:r>
              <w:rPr>
                <w:b/>
                <w:color w:val="FFFFFF"/>
                <w:sz w:val="16"/>
              </w:rPr>
              <w:t>Acronym</w:t>
            </w:r>
          </w:p>
        </w:tc>
        <w:tc>
          <w:tcPr>
            <w:tcW w:type="dxa" w:w="7143"/>
            <w:shd w:fill="15456B"/>
            <w:tcMar>
              <w:top w:w="85" w:type="dxa"/>
              <w:start w:w="90" w:type="dxa"/>
              <w:bottom w:w="85" w:type="dxa"/>
              <w:end w:w="90" w:type="dxa"/>
            </w:tcMar>
          </w:tcPr>
          <w:p>
            <w:pPr>
              <w:spacing w:after="0"/>
            </w:pPr>
            <w:r>
              <w:rPr>
                <w:b/>
                <w:color w:val="FFFFFF"/>
                <w:sz w:val="16"/>
              </w:rPr>
              <w:t>Meaning</w:t>
            </w:r>
          </w:p>
        </w:tc>
      </w:tr>
      <w:tr>
        <w:tc>
          <w:tcPr>
            <w:tcW w:type="dxa" w:w="2268"/>
            <w:vAlign w:val="center"/>
            <w:tcMar>
              <w:top w:w="85" w:type="dxa"/>
              <w:start w:w="90" w:type="dxa"/>
              <w:bottom w:w="85" w:type="dxa"/>
              <w:end w:w="90" w:type="dxa"/>
            </w:tcMar>
          </w:tcPr>
          <w:p>
            <w:pPr>
              <w:spacing w:after="0" w:line="257" w:lineRule="auto"/>
            </w:pPr>
            <w:r>
              <w:rPr>
                <w:sz w:val="16"/>
              </w:rPr>
              <w:t>APM</w:t>
            </w:r>
          </w:p>
        </w:tc>
        <w:tc>
          <w:tcPr>
            <w:tcW w:type="dxa" w:w="7143"/>
            <w:vAlign w:val="center"/>
            <w:tcMar>
              <w:top w:w="85" w:type="dxa"/>
              <w:start w:w="90" w:type="dxa"/>
              <w:bottom w:w="85" w:type="dxa"/>
              <w:end w:w="90" w:type="dxa"/>
            </w:tcMar>
          </w:tcPr>
          <w:p>
            <w:pPr>
              <w:spacing w:after="0" w:line="257" w:lineRule="auto"/>
            </w:pPr>
            <w:r>
              <w:rPr>
                <w:sz w:val="16"/>
              </w:rPr>
              <w:t>Application Performance Monitoring</w:t>
            </w:r>
          </w:p>
        </w:tc>
      </w:tr>
      <w:tr>
        <w:tc>
          <w:tcPr>
            <w:tcW w:type="dxa" w:w="2268"/>
            <w:vAlign w:val="center"/>
            <w:tcMar>
              <w:top w:w="85" w:type="dxa"/>
              <w:start w:w="90" w:type="dxa"/>
              <w:bottom w:w="85" w:type="dxa"/>
              <w:end w:w="90" w:type="dxa"/>
            </w:tcMar>
            <w:shd w:fill="F0F5F7"/>
          </w:tcPr>
          <w:p>
            <w:pPr>
              <w:spacing w:after="0" w:line="257" w:lineRule="auto"/>
            </w:pPr>
            <w:r>
              <w:rPr>
                <w:sz w:val="16"/>
              </w:rPr>
              <w:t>AWS / AZ</w:t>
            </w:r>
          </w:p>
        </w:tc>
        <w:tc>
          <w:tcPr>
            <w:tcW w:type="dxa" w:w="7143"/>
            <w:vAlign w:val="center"/>
            <w:tcMar>
              <w:top w:w="85" w:type="dxa"/>
              <w:start w:w="90" w:type="dxa"/>
              <w:bottom w:w="85" w:type="dxa"/>
              <w:end w:w="90" w:type="dxa"/>
            </w:tcMar>
            <w:shd w:fill="F0F5F7"/>
          </w:tcPr>
          <w:p>
            <w:pPr>
              <w:spacing w:after="0" w:line="257" w:lineRule="auto"/>
            </w:pPr>
            <w:r>
              <w:rPr>
                <w:sz w:val="16"/>
              </w:rPr>
              <w:t>Amazon Web Services / Availability Zone</w:t>
            </w:r>
          </w:p>
        </w:tc>
      </w:tr>
      <w:tr>
        <w:tc>
          <w:tcPr>
            <w:tcW w:type="dxa" w:w="2268"/>
            <w:vAlign w:val="center"/>
            <w:tcMar>
              <w:top w:w="85" w:type="dxa"/>
              <w:start w:w="90" w:type="dxa"/>
              <w:bottom w:w="85" w:type="dxa"/>
              <w:end w:w="90" w:type="dxa"/>
            </w:tcMar>
          </w:tcPr>
          <w:p>
            <w:pPr>
              <w:spacing w:after="0" w:line="257" w:lineRule="auto"/>
            </w:pPr>
            <w:r>
              <w:rPr>
                <w:sz w:val="16"/>
              </w:rPr>
              <w:t>CMDB</w:t>
            </w:r>
          </w:p>
        </w:tc>
        <w:tc>
          <w:tcPr>
            <w:tcW w:type="dxa" w:w="7143"/>
            <w:vAlign w:val="center"/>
            <w:tcMar>
              <w:top w:w="85" w:type="dxa"/>
              <w:start w:w="90" w:type="dxa"/>
              <w:bottom w:w="85" w:type="dxa"/>
              <w:end w:w="90" w:type="dxa"/>
            </w:tcMar>
          </w:tcPr>
          <w:p>
            <w:pPr>
              <w:spacing w:after="0" w:line="257" w:lineRule="auto"/>
            </w:pPr>
            <w:r>
              <w:rPr>
                <w:sz w:val="16"/>
              </w:rPr>
              <w:t>Configuration Management Database</w:t>
            </w:r>
          </w:p>
        </w:tc>
      </w:tr>
      <w:tr>
        <w:tc>
          <w:tcPr>
            <w:tcW w:type="dxa" w:w="2268"/>
            <w:vAlign w:val="center"/>
            <w:tcMar>
              <w:top w:w="85" w:type="dxa"/>
              <w:start w:w="90" w:type="dxa"/>
              <w:bottom w:w="85" w:type="dxa"/>
              <w:end w:w="90" w:type="dxa"/>
            </w:tcMar>
            <w:shd w:fill="F0F5F7"/>
          </w:tcPr>
          <w:p>
            <w:pPr>
              <w:spacing w:after="0" w:line="257" w:lineRule="auto"/>
            </w:pPr>
            <w:r>
              <w:rPr>
                <w:sz w:val="16"/>
              </w:rPr>
              <w:t>DLQ / PQ</w:t>
            </w:r>
          </w:p>
        </w:tc>
        <w:tc>
          <w:tcPr>
            <w:tcW w:type="dxa" w:w="7143"/>
            <w:vAlign w:val="center"/>
            <w:tcMar>
              <w:top w:w="85" w:type="dxa"/>
              <w:start w:w="90" w:type="dxa"/>
              <w:bottom w:w="85" w:type="dxa"/>
              <w:end w:w="90" w:type="dxa"/>
            </w:tcMar>
            <w:shd w:fill="F0F5F7"/>
          </w:tcPr>
          <w:p>
            <w:pPr>
              <w:spacing w:after="0" w:line="257" w:lineRule="auto"/>
            </w:pPr>
            <w:r>
              <w:rPr>
                <w:sz w:val="16"/>
              </w:rPr>
              <w:t>Dead-Letter Queue / Persistent Queue</w:t>
            </w:r>
          </w:p>
        </w:tc>
      </w:tr>
      <w:tr>
        <w:tc>
          <w:tcPr>
            <w:tcW w:type="dxa" w:w="2268"/>
            <w:vAlign w:val="center"/>
            <w:tcMar>
              <w:top w:w="85" w:type="dxa"/>
              <w:start w:w="90" w:type="dxa"/>
              <w:bottom w:w="85" w:type="dxa"/>
              <w:end w:w="90" w:type="dxa"/>
            </w:tcMar>
          </w:tcPr>
          <w:p>
            <w:pPr>
              <w:spacing w:after="0" w:line="257" w:lineRule="auto"/>
            </w:pPr>
            <w:r>
              <w:rPr>
                <w:sz w:val="16"/>
              </w:rPr>
              <w:t>ECS</w:t>
            </w:r>
          </w:p>
        </w:tc>
        <w:tc>
          <w:tcPr>
            <w:tcW w:type="dxa" w:w="7143"/>
            <w:vAlign w:val="center"/>
            <w:tcMar>
              <w:top w:w="85" w:type="dxa"/>
              <w:start w:w="90" w:type="dxa"/>
              <w:bottom w:w="85" w:type="dxa"/>
              <w:end w:w="90" w:type="dxa"/>
            </w:tcMar>
          </w:tcPr>
          <w:p>
            <w:pPr>
              <w:spacing w:after="0" w:line="257" w:lineRule="auto"/>
            </w:pPr>
            <w:r>
              <w:rPr>
                <w:sz w:val="16"/>
              </w:rPr>
              <w:t>Elastic Common Schema</w:t>
            </w:r>
          </w:p>
        </w:tc>
      </w:tr>
      <w:tr>
        <w:tc>
          <w:tcPr>
            <w:tcW w:type="dxa" w:w="2268"/>
            <w:vAlign w:val="center"/>
            <w:tcMar>
              <w:top w:w="85" w:type="dxa"/>
              <w:start w:w="90" w:type="dxa"/>
              <w:bottom w:w="85" w:type="dxa"/>
              <w:end w:w="90" w:type="dxa"/>
            </w:tcMar>
            <w:shd w:fill="F0F5F7"/>
          </w:tcPr>
          <w:p>
            <w:pPr>
              <w:spacing w:after="0" w:line="257" w:lineRule="auto"/>
            </w:pPr>
            <w:r>
              <w:rPr>
                <w:sz w:val="16"/>
              </w:rPr>
              <w:t>ECH</w:t>
            </w:r>
          </w:p>
        </w:tc>
        <w:tc>
          <w:tcPr>
            <w:tcW w:type="dxa" w:w="7143"/>
            <w:vAlign w:val="center"/>
            <w:tcMar>
              <w:top w:w="85" w:type="dxa"/>
              <w:start w:w="90" w:type="dxa"/>
              <w:bottom w:w="85" w:type="dxa"/>
              <w:end w:w="90" w:type="dxa"/>
            </w:tcMar>
            <w:shd w:fill="F0F5F7"/>
          </w:tcPr>
          <w:p>
            <w:pPr>
              <w:spacing w:after="0" w:line="257" w:lineRule="auto"/>
            </w:pPr>
            <w:r>
              <w:rPr>
                <w:sz w:val="16"/>
              </w:rPr>
              <w:t>Elastic Cloud Hosted</w:t>
            </w:r>
          </w:p>
        </w:tc>
      </w:tr>
      <w:tr>
        <w:tc>
          <w:tcPr>
            <w:tcW w:type="dxa" w:w="2268"/>
            <w:vAlign w:val="center"/>
            <w:tcMar>
              <w:top w:w="85" w:type="dxa"/>
              <w:start w:w="90" w:type="dxa"/>
              <w:bottom w:w="85" w:type="dxa"/>
              <w:end w:w="90" w:type="dxa"/>
            </w:tcMar>
          </w:tcPr>
          <w:p>
            <w:pPr>
              <w:spacing w:after="0" w:line="257" w:lineRule="auto"/>
            </w:pPr>
            <w:r>
              <w:rPr>
                <w:sz w:val="16"/>
              </w:rPr>
              <w:t>ILM / SLM</w:t>
            </w:r>
          </w:p>
        </w:tc>
        <w:tc>
          <w:tcPr>
            <w:tcW w:type="dxa" w:w="7143"/>
            <w:vAlign w:val="center"/>
            <w:tcMar>
              <w:top w:w="85" w:type="dxa"/>
              <w:start w:w="90" w:type="dxa"/>
              <w:bottom w:w="85" w:type="dxa"/>
              <w:end w:w="90" w:type="dxa"/>
            </w:tcMar>
          </w:tcPr>
          <w:p>
            <w:pPr>
              <w:spacing w:after="0" w:line="257" w:lineRule="auto"/>
            </w:pPr>
            <w:r>
              <w:rPr>
                <w:sz w:val="16"/>
              </w:rPr>
              <w:t>Index Lifecycle Management / Snapshot Lifecycle Management</w:t>
            </w:r>
          </w:p>
        </w:tc>
      </w:tr>
      <w:tr>
        <w:tc>
          <w:tcPr>
            <w:tcW w:type="dxa" w:w="2268"/>
            <w:vAlign w:val="center"/>
            <w:tcMar>
              <w:top w:w="85" w:type="dxa"/>
              <w:start w:w="90" w:type="dxa"/>
              <w:bottom w:w="85" w:type="dxa"/>
              <w:end w:w="90" w:type="dxa"/>
            </w:tcMar>
            <w:shd w:fill="F0F5F7"/>
          </w:tcPr>
          <w:p>
            <w:pPr>
              <w:spacing w:after="0" w:line="257" w:lineRule="auto"/>
            </w:pPr>
            <w:r>
              <w:rPr>
                <w:sz w:val="16"/>
              </w:rPr>
              <w:t>JVM / GC</w:t>
            </w:r>
          </w:p>
        </w:tc>
        <w:tc>
          <w:tcPr>
            <w:tcW w:type="dxa" w:w="7143"/>
            <w:vAlign w:val="center"/>
            <w:tcMar>
              <w:top w:w="85" w:type="dxa"/>
              <w:start w:w="90" w:type="dxa"/>
              <w:bottom w:w="85" w:type="dxa"/>
              <w:end w:w="90" w:type="dxa"/>
            </w:tcMar>
            <w:shd w:fill="F0F5F7"/>
          </w:tcPr>
          <w:p>
            <w:pPr>
              <w:spacing w:after="0" w:line="257" w:lineRule="auto"/>
            </w:pPr>
            <w:r>
              <w:rPr>
                <w:sz w:val="16"/>
              </w:rPr>
              <w:t>Java Virtual Machine / Garbage Collection</w:t>
            </w:r>
          </w:p>
        </w:tc>
      </w:tr>
      <w:tr>
        <w:tc>
          <w:tcPr>
            <w:tcW w:type="dxa" w:w="2268"/>
            <w:vAlign w:val="center"/>
            <w:tcMar>
              <w:top w:w="85" w:type="dxa"/>
              <w:start w:w="90" w:type="dxa"/>
              <w:bottom w:w="85" w:type="dxa"/>
              <w:end w:w="90" w:type="dxa"/>
            </w:tcMar>
          </w:tcPr>
          <w:p>
            <w:pPr>
              <w:spacing w:after="0" w:line="257" w:lineRule="auto"/>
            </w:pPr>
            <w:r>
              <w:rPr>
                <w:sz w:val="16"/>
              </w:rPr>
              <w:t>KPI / SLO</w:t>
            </w:r>
          </w:p>
        </w:tc>
        <w:tc>
          <w:tcPr>
            <w:tcW w:type="dxa" w:w="7143"/>
            <w:vAlign w:val="center"/>
            <w:tcMar>
              <w:top w:w="85" w:type="dxa"/>
              <w:start w:w="90" w:type="dxa"/>
              <w:bottom w:w="85" w:type="dxa"/>
              <w:end w:w="90" w:type="dxa"/>
            </w:tcMar>
          </w:tcPr>
          <w:p>
            <w:pPr>
              <w:spacing w:after="0" w:line="257" w:lineRule="auto"/>
            </w:pPr>
            <w:r>
              <w:rPr>
                <w:sz w:val="16"/>
              </w:rPr>
              <w:t>Key Performance Indicator / Service Level Objective</w:t>
            </w:r>
          </w:p>
        </w:tc>
      </w:tr>
      <w:tr>
        <w:tc>
          <w:tcPr>
            <w:tcW w:type="dxa" w:w="2268"/>
            <w:vAlign w:val="center"/>
            <w:tcMar>
              <w:top w:w="85" w:type="dxa"/>
              <w:start w:w="90" w:type="dxa"/>
              <w:bottom w:w="85" w:type="dxa"/>
              <w:end w:w="90" w:type="dxa"/>
            </w:tcMar>
            <w:shd w:fill="F0F5F7"/>
          </w:tcPr>
          <w:p>
            <w:pPr>
              <w:spacing w:after="0" w:line="257" w:lineRule="auto"/>
            </w:pPr>
            <w:r>
              <w:rPr>
                <w:sz w:val="16"/>
              </w:rPr>
              <w:t>RACI</w:t>
            </w:r>
          </w:p>
        </w:tc>
        <w:tc>
          <w:tcPr>
            <w:tcW w:type="dxa" w:w="7143"/>
            <w:vAlign w:val="center"/>
            <w:tcMar>
              <w:top w:w="85" w:type="dxa"/>
              <w:start w:w="90" w:type="dxa"/>
              <w:bottom w:w="85" w:type="dxa"/>
              <w:end w:w="90" w:type="dxa"/>
            </w:tcMar>
            <w:shd w:fill="F0F5F7"/>
          </w:tcPr>
          <w:p>
            <w:pPr>
              <w:spacing w:after="0" w:line="257" w:lineRule="auto"/>
            </w:pPr>
            <w:r>
              <w:rPr>
                <w:sz w:val="16"/>
              </w:rPr>
              <w:t>Responsible, Accountable, Consulted, Informed</w:t>
            </w:r>
          </w:p>
        </w:tc>
      </w:tr>
      <w:tr>
        <w:tc>
          <w:tcPr>
            <w:tcW w:type="dxa" w:w="2268"/>
            <w:vAlign w:val="center"/>
            <w:tcMar>
              <w:top w:w="85" w:type="dxa"/>
              <w:start w:w="90" w:type="dxa"/>
              <w:bottom w:w="85" w:type="dxa"/>
              <w:end w:w="90" w:type="dxa"/>
            </w:tcMar>
          </w:tcPr>
          <w:p>
            <w:pPr>
              <w:spacing w:after="0" w:line="257" w:lineRule="auto"/>
            </w:pPr>
            <w:r>
              <w:rPr>
                <w:sz w:val="16"/>
              </w:rPr>
              <w:t>RCA</w:t>
            </w:r>
          </w:p>
        </w:tc>
        <w:tc>
          <w:tcPr>
            <w:tcW w:type="dxa" w:w="7143"/>
            <w:vAlign w:val="center"/>
            <w:tcMar>
              <w:top w:w="85" w:type="dxa"/>
              <w:start w:w="90" w:type="dxa"/>
              <w:bottom w:w="85" w:type="dxa"/>
              <w:end w:w="90" w:type="dxa"/>
            </w:tcMar>
          </w:tcPr>
          <w:p>
            <w:pPr>
              <w:spacing w:after="0" w:line="257" w:lineRule="auto"/>
            </w:pPr>
            <w:r>
              <w:rPr>
                <w:sz w:val="16"/>
              </w:rPr>
              <w:t>Root Cause Analysis</w:t>
            </w:r>
          </w:p>
        </w:tc>
      </w:tr>
      <w:tr>
        <w:tc>
          <w:tcPr>
            <w:tcW w:type="dxa" w:w="2268"/>
            <w:vAlign w:val="center"/>
            <w:tcMar>
              <w:top w:w="85" w:type="dxa"/>
              <w:start w:w="90" w:type="dxa"/>
              <w:bottom w:w="85" w:type="dxa"/>
              <w:end w:w="90" w:type="dxa"/>
            </w:tcMar>
            <w:shd w:fill="F0F5F7"/>
          </w:tcPr>
          <w:p>
            <w:pPr>
              <w:spacing w:after="0" w:line="257" w:lineRule="auto"/>
            </w:pPr>
            <w:r>
              <w:rPr>
                <w:sz w:val="16"/>
              </w:rPr>
              <w:t>RPO / RTO</w:t>
            </w:r>
          </w:p>
        </w:tc>
        <w:tc>
          <w:tcPr>
            <w:tcW w:type="dxa" w:w="7143"/>
            <w:vAlign w:val="center"/>
            <w:tcMar>
              <w:top w:w="85" w:type="dxa"/>
              <w:start w:w="90" w:type="dxa"/>
              <w:bottom w:w="85" w:type="dxa"/>
              <w:end w:w="90" w:type="dxa"/>
            </w:tcMar>
            <w:shd w:fill="F0F5F7"/>
          </w:tcPr>
          <w:p>
            <w:pPr>
              <w:spacing w:after="0" w:line="257" w:lineRule="auto"/>
            </w:pPr>
            <w:r>
              <w:rPr>
                <w:sz w:val="16"/>
              </w:rPr>
              <w:t>Recovery Point Objective (data loss tolerance) / Recovery Time Objective (time to recover)</w:t>
            </w:r>
          </w:p>
        </w:tc>
      </w:tr>
      <w:tr>
        <w:tc>
          <w:tcPr>
            <w:tcW w:type="dxa" w:w="2268"/>
            <w:vAlign w:val="center"/>
            <w:tcMar>
              <w:top w:w="85" w:type="dxa"/>
              <w:start w:w="90" w:type="dxa"/>
              <w:bottom w:w="85" w:type="dxa"/>
              <w:end w:w="90" w:type="dxa"/>
            </w:tcMar>
          </w:tcPr>
          <w:p>
            <w:pPr>
              <w:spacing w:after="0" w:line="257" w:lineRule="auto"/>
            </w:pPr>
            <w:r>
              <w:rPr>
                <w:sz w:val="16"/>
              </w:rPr>
              <w:t>SSO / SAML</w:t>
            </w:r>
          </w:p>
        </w:tc>
        <w:tc>
          <w:tcPr>
            <w:tcW w:type="dxa" w:w="7143"/>
            <w:vAlign w:val="center"/>
            <w:tcMar>
              <w:top w:w="85" w:type="dxa"/>
              <w:start w:w="90" w:type="dxa"/>
              <w:bottom w:w="85" w:type="dxa"/>
              <w:end w:w="90" w:type="dxa"/>
            </w:tcMar>
          </w:tcPr>
          <w:p>
            <w:pPr>
              <w:spacing w:after="0" w:line="257" w:lineRule="auto"/>
            </w:pPr>
            <w:r>
              <w:rPr>
                <w:sz w:val="16"/>
              </w:rPr>
              <w:t>Single Sign-On / Security Assertion Markup Language</w:t>
            </w:r>
          </w:p>
        </w:tc>
      </w:tr>
    </w:tbl>
    <w:p>
      <w:pPr>
        <w:spacing w:after="0"/>
      </w:pPr>
    </w:p>
    <w:p>
      <w:pPr>
        <w:pStyle w:val="Heading1"/>
        <w:widowControl w:val="1"/>
      </w:pPr>
      <w:r>
        <w:t>Appendix A. Read-only diagnostic command catalogue</w:t>
      </w:r>
    </w:p>
    <w:p>
      <w:pPr>
        <w:widowControl w:val="1"/>
      </w:pPr>
      <w:r>
        <w:t>Run in Kibana → Dev Tools → Console against the approved deployment. These examples are for skilled operators with the required least-privilege role. They do not modify the cluster. Large wildcard queries and verbose API responses can still consume resources; limit output and inspect scope.</w:t>
      </w:r>
    </w:p>
    <w:tbl>
      <w:tblPr>
        <w:tblStyle w:val="TableGrid"/>
        <w:tblW w:type="auto" w:w="0"/>
        <w:jc w:val="center"/>
        <w:tblLayout w:type="fixed"/>
        <w:tblLook w:firstColumn="1" w:firstRow="1" w:lastColumn="0" w:lastRow="0" w:noHBand="0" w:noVBand="1" w:val="04A0"/>
      </w:tblPr>
      <w:tblGrid>
        <w:gridCol w:w="3184"/>
        <w:gridCol w:w="3184"/>
        <w:gridCol w:w="3184"/>
      </w:tblGrid>
      <w:tr>
        <w:trPr>
          <w:tblHeader w:val="true"/>
        </w:trPr>
        <w:tc>
          <w:tcPr>
            <w:tcW w:type="dxa" w:w="1701"/>
            <w:shd w:fill="15456B"/>
            <w:tcMar>
              <w:top w:w="85" w:type="dxa"/>
              <w:start w:w="90" w:type="dxa"/>
              <w:bottom w:w="85" w:type="dxa"/>
              <w:end w:w="90" w:type="dxa"/>
            </w:tcMar>
          </w:tcPr>
          <w:p>
            <w:pPr>
              <w:spacing w:after="0"/>
            </w:pPr>
            <w:r>
              <w:rPr>
                <w:b/>
                <w:color w:val="FFFFFF"/>
                <w:sz w:val="16"/>
              </w:rPr>
              <w:t>Purpose</w:t>
            </w:r>
          </w:p>
        </w:tc>
        <w:tc>
          <w:tcPr>
            <w:tcW w:type="dxa" w:w="4337"/>
            <w:shd w:fill="15456B"/>
            <w:tcMar>
              <w:top w:w="85" w:type="dxa"/>
              <w:start w:w="90" w:type="dxa"/>
              <w:bottom w:w="85" w:type="dxa"/>
              <w:end w:w="90" w:type="dxa"/>
            </w:tcMar>
          </w:tcPr>
          <w:p>
            <w:pPr>
              <w:spacing w:after="0"/>
            </w:pPr>
            <w:r>
              <w:rPr>
                <w:b/>
                <w:color w:val="FFFFFF"/>
                <w:sz w:val="16"/>
              </w:rPr>
              <w:t>Example (Kibana Dev Tools)</w:t>
            </w:r>
          </w:p>
        </w:tc>
        <w:tc>
          <w:tcPr>
            <w:tcW w:type="dxa" w:w="3373"/>
            <w:shd w:fill="15456B"/>
            <w:tcMar>
              <w:top w:w="85" w:type="dxa"/>
              <w:start w:w="90" w:type="dxa"/>
              <w:bottom w:w="85" w:type="dxa"/>
              <w:end w:w="90" w:type="dxa"/>
            </w:tcMar>
          </w:tcPr>
          <w:p>
            <w:pPr>
              <w:spacing w:after="0"/>
            </w:pPr>
            <w:r>
              <w:rPr>
                <w:b/>
                <w:color w:val="FFFFFF"/>
                <w:sz w:val="16"/>
              </w:rPr>
              <w:t>How to interpret</w:t>
            </w:r>
          </w:p>
        </w:tc>
      </w:tr>
      <w:tr>
        <w:tc>
          <w:tcPr>
            <w:tcW w:type="dxa" w:w="1701"/>
            <w:vAlign w:val="center"/>
            <w:tcMar>
              <w:top w:w="85" w:type="dxa"/>
              <w:start w:w="90" w:type="dxa"/>
              <w:bottom w:w="85" w:type="dxa"/>
              <w:end w:w="90" w:type="dxa"/>
            </w:tcMar>
          </w:tcPr>
          <w:p>
            <w:pPr>
              <w:spacing w:after="0" w:line="257" w:lineRule="auto"/>
            </w:pPr>
            <w:r>
              <w:rPr>
                <w:sz w:val="16"/>
              </w:rPr>
              <w:t>Cluster overall</w:t>
            </w:r>
          </w:p>
        </w:tc>
        <w:tc>
          <w:tcPr>
            <w:tcW w:type="dxa" w:w="4337"/>
            <w:vAlign w:val="center"/>
            <w:tcMar>
              <w:top w:w="85" w:type="dxa"/>
              <w:start w:w="90" w:type="dxa"/>
              <w:bottom w:w="85" w:type="dxa"/>
              <w:end w:w="90" w:type="dxa"/>
            </w:tcMar>
          </w:tcPr>
          <w:p>
            <w:pPr>
              <w:spacing w:after="0" w:line="257" w:lineRule="auto"/>
            </w:pPr>
            <w:r>
              <w:rPr>
                <w:sz w:val="16"/>
              </w:rPr>
              <w:t>GET /_cluster/health?pretty</w:t>
            </w:r>
          </w:p>
        </w:tc>
        <w:tc>
          <w:tcPr>
            <w:tcW w:type="dxa" w:w="3373"/>
            <w:vAlign w:val="center"/>
            <w:tcMar>
              <w:top w:w="85" w:type="dxa"/>
              <w:start w:w="90" w:type="dxa"/>
              <w:bottom w:w="85" w:type="dxa"/>
              <w:end w:w="90" w:type="dxa"/>
            </w:tcMar>
          </w:tcPr>
          <w:p>
            <w:pPr>
              <w:spacing w:after="0" w:line="257" w:lineRule="auto"/>
            </w:pPr>
            <w:r>
              <w:rPr>
                <w:sz w:val="16"/>
              </w:rPr>
              <w:t>status, number_of_nodes, unassigned_shards</w:t>
            </w:r>
          </w:p>
        </w:tc>
      </w:tr>
      <w:tr>
        <w:tc>
          <w:tcPr>
            <w:tcW w:type="dxa" w:w="1701"/>
            <w:vAlign w:val="center"/>
            <w:tcMar>
              <w:top w:w="85" w:type="dxa"/>
              <w:start w:w="90" w:type="dxa"/>
              <w:bottom w:w="85" w:type="dxa"/>
              <w:end w:w="90" w:type="dxa"/>
            </w:tcMar>
            <w:shd w:fill="F0F5F7"/>
          </w:tcPr>
          <w:p>
            <w:pPr>
              <w:spacing w:after="0" w:line="257" w:lineRule="auto"/>
            </w:pPr>
            <w:r>
              <w:rPr>
                <w:sz w:val="16"/>
              </w:rPr>
              <w:t>Node usage</w:t>
            </w:r>
          </w:p>
        </w:tc>
        <w:tc>
          <w:tcPr>
            <w:tcW w:type="dxa" w:w="4337"/>
            <w:vAlign w:val="center"/>
            <w:tcMar>
              <w:top w:w="85" w:type="dxa"/>
              <w:start w:w="90" w:type="dxa"/>
              <w:bottom w:w="85" w:type="dxa"/>
              <w:end w:w="90" w:type="dxa"/>
            </w:tcMar>
            <w:shd w:fill="F0F5F7"/>
          </w:tcPr>
          <w:p>
            <w:pPr>
              <w:spacing w:after="0" w:line="257" w:lineRule="auto"/>
            </w:pPr>
            <w:r>
              <w:rPr>
                <w:sz w:val="16"/>
              </w:rPr>
              <w:t>GET /_cat/nodes?v&amp;h=name,ip,node.role,cpu,heap.percent,ram.percent,disk.used_percent</w:t>
            </w:r>
          </w:p>
        </w:tc>
        <w:tc>
          <w:tcPr>
            <w:tcW w:type="dxa" w:w="3373"/>
            <w:vAlign w:val="center"/>
            <w:tcMar>
              <w:top w:w="85" w:type="dxa"/>
              <w:start w:w="90" w:type="dxa"/>
              <w:bottom w:w="85" w:type="dxa"/>
              <w:end w:w="90" w:type="dxa"/>
            </w:tcMar>
            <w:shd w:fill="F0F5F7"/>
          </w:tcPr>
          <w:p>
            <w:pPr>
              <w:spacing w:after="0" w:line="257" w:lineRule="auto"/>
            </w:pPr>
            <w:r>
              <w:rPr>
                <w:sz w:val="16"/>
              </w:rPr>
              <w:t>Check per-node pressure; fields vary by version</w:t>
            </w:r>
          </w:p>
        </w:tc>
      </w:tr>
      <w:tr>
        <w:tc>
          <w:tcPr>
            <w:tcW w:type="dxa" w:w="1701"/>
            <w:vAlign w:val="center"/>
            <w:tcMar>
              <w:top w:w="85" w:type="dxa"/>
              <w:start w:w="90" w:type="dxa"/>
              <w:bottom w:w="85" w:type="dxa"/>
              <w:end w:w="90" w:type="dxa"/>
            </w:tcMar>
          </w:tcPr>
          <w:p>
            <w:pPr>
              <w:spacing w:after="0" w:line="257" w:lineRule="auto"/>
            </w:pPr>
            <w:r>
              <w:rPr>
                <w:sz w:val="16"/>
              </w:rPr>
              <w:t>Data tier allocation</w:t>
            </w:r>
          </w:p>
        </w:tc>
        <w:tc>
          <w:tcPr>
            <w:tcW w:type="dxa" w:w="4337"/>
            <w:vAlign w:val="center"/>
            <w:tcMar>
              <w:top w:w="85" w:type="dxa"/>
              <w:start w:w="90" w:type="dxa"/>
              <w:bottom w:w="85" w:type="dxa"/>
              <w:end w:w="90" w:type="dxa"/>
            </w:tcMar>
          </w:tcPr>
          <w:p>
            <w:pPr>
              <w:spacing w:after="0" w:line="257" w:lineRule="auto"/>
            </w:pPr>
            <w:r>
              <w:rPr>
                <w:sz w:val="16"/>
              </w:rPr>
              <w:t>GET /_cat/allocation?v</w:t>
            </w:r>
          </w:p>
        </w:tc>
        <w:tc>
          <w:tcPr>
            <w:tcW w:type="dxa" w:w="3373"/>
            <w:vAlign w:val="center"/>
            <w:tcMar>
              <w:top w:w="85" w:type="dxa"/>
              <w:start w:w="90" w:type="dxa"/>
              <w:bottom w:w="85" w:type="dxa"/>
              <w:end w:w="90" w:type="dxa"/>
            </w:tcMar>
          </w:tcPr>
          <w:p>
            <w:pPr>
              <w:spacing w:after="0" w:line="257" w:lineRule="auto"/>
            </w:pPr>
            <w:r>
              <w:rPr>
                <w:sz w:val="16"/>
              </w:rPr>
              <w:t>Look for disk and shard skew</w:t>
            </w:r>
          </w:p>
        </w:tc>
      </w:tr>
      <w:tr>
        <w:tc>
          <w:tcPr>
            <w:tcW w:type="dxa" w:w="1701"/>
            <w:vAlign w:val="center"/>
            <w:tcMar>
              <w:top w:w="85" w:type="dxa"/>
              <w:start w:w="90" w:type="dxa"/>
              <w:bottom w:w="85" w:type="dxa"/>
              <w:end w:w="90" w:type="dxa"/>
            </w:tcMar>
            <w:shd w:fill="F0F5F7"/>
          </w:tcPr>
          <w:p>
            <w:pPr>
              <w:spacing w:after="0" w:line="257" w:lineRule="auto"/>
            </w:pPr>
            <w:r>
              <w:rPr>
                <w:sz w:val="16"/>
              </w:rPr>
              <w:t>Shard assignment</w:t>
            </w:r>
          </w:p>
        </w:tc>
        <w:tc>
          <w:tcPr>
            <w:tcW w:type="dxa" w:w="4337"/>
            <w:vAlign w:val="center"/>
            <w:tcMar>
              <w:top w:w="85" w:type="dxa"/>
              <w:start w:w="90" w:type="dxa"/>
              <w:bottom w:w="85" w:type="dxa"/>
              <w:end w:w="90" w:type="dxa"/>
            </w:tcMar>
            <w:shd w:fill="F0F5F7"/>
          </w:tcPr>
          <w:p>
            <w:pPr>
              <w:spacing w:after="0" w:line="257" w:lineRule="auto"/>
            </w:pPr>
            <w:r>
              <w:rPr>
                <w:sz w:val="16"/>
              </w:rPr>
              <w:t>GET /_cat/shards?v&amp;s=state</w:t>
            </w:r>
          </w:p>
        </w:tc>
        <w:tc>
          <w:tcPr>
            <w:tcW w:type="dxa" w:w="3373"/>
            <w:vAlign w:val="center"/>
            <w:tcMar>
              <w:top w:w="85" w:type="dxa"/>
              <w:start w:w="90" w:type="dxa"/>
              <w:bottom w:w="85" w:type="dxa"/>
              <w:end w:w="90" w:type="dxa"/>
            </w:tcMar>
            <w:shd w:fill="F0F5F7"/>
          </w:tcPr>
          <w:p>
            <w:pPr>
              <w:spacing w:after="0" w:line="257" w:lineRule="auto"/>
            </w:pPr>
            <w:r>
              <w:rPr>
                <w:sz w:val="16"/>
              </w:rPr>
              <w:t>Locate UNASSIGNED shards / primary p or replica r</w:t>
            </w:r>
          </w:p>
        </w:tc>
      </w:tr>
      <w:tr>
        <w:tc>
          <w:tcPr>
            <w:tcW w:type="dxa" w:w="1701"/>
            <w:vAlign w:val="center"/>
            <w:tcMar>
              <w:top w:w="85" w:type="dxa"/>
              <w:start w:w="90" w:type="dxa"/>
              <w:bottom w:w="85" w:type="dxa"/>
              <w:end w:w="90" w:type="dxa"/>
            </w:tcMar>
          </w:tcPr>
          <w:p>
            <w:pPr>
              <w:spacing w:after="0" w:line="257" w:lineRule="auto"/>
            </w:pPr>
            <w:r>
              <w:rPr>
                <w:sz w:val="16"/>
              </w:rPr>
              <w:t>Allocation explanation</w:t>
            </w:r>
          </w:p>
        </w:tc>
        <w:tc>
          <w:tcPr>
            <w:tcW w:type="dxa" w:w="4337"/>
            <w:vAlign w:val="center"/>
            <w:tcMar>
              <w:top w:w="85" w:type="dxa"/>
              <w:start w:w="90" w:type="dxa"/>
              <w:bottom w:w="85" w:type="dxa"/>
              <w:end w:w="90" w:type="dxa"/>
            </w:tcMar>
          </w:tcPr>
          <w:p>
            <w:pPr>
              <w:spacing w:after="0" w:line="257" w:lineRule="auto"/>
            </w:pPr>
            <w:r>
              <w:rPr>
                <w:sz w:val="16"/>
              </w:rPr>
              <w:t>POST /_cluster/allocation/explain</w:t>
            </w:r>
          </w:p>
        </w:tc>
        <w:tc>
          <w:tcPr>
            <w:tcW w:type="dxa" w:w="3373"/>
            <w:vAlign w:val="center"/>
            <w:tcMar>
              <w:top w:w="85" w:type="dxa"/>
              <w:start w:w="90" w:type="dxa"/>
              <w:bottom w:w="85" w:type="dxa"/>
              <w:end w:w="90" w:type="dxa"/>
            </w:tcMar>
          </w:tcPr>
          <w:p>
            <w:pPr>
              <w:spacing w:after="0" w:line="257" w:lineRule="auto"/>
            </w:pPr>
            <w:r>
              <w:rPr>
                <w:sz w:val="16"/>
              </w:rPr>
              <w:t>Diagnostic request; POST is read-only but may require an explicit shard body</w:t>
            </w:r>
          </w:p>
        </w:tc>
      </w:tr>
      <w:tr>
        <w:tc>
          <w:tcPr>
            <w:tcW w:type="dxa" w:w="1701"/>
            <w:vAlign w:val="center"/>
            <w:tcMar>
              <w:top w:w="85" w:type="dxa"/>
              <w:start w:w="90" w:type="dxa"/>
              <w:bottom w:w="85" w:type="dxa"/>
              <w:end w:w="90" w:type="dxa"/>
            </w:tcMar>
            <w:shd w:fill="F0F5F7"/>
          </w:tcPr>
          <w:p>
            <w:pPr>
              <w:spacing w:after="0" w:line="257" w:lineRule="auto"/>
            </w:pPr>
            <w:r>
              <w:rPr>
                <w:sz w:val="16"/>
              </w:rPr>
              <w:t>Indices by space</w:t>
            </w:r>
          </w:p>
        </w:tc>
        <w:tc>
          <w:tcPr>
            <w:tcW w:type="dxa" w:w="4337"/>
            <w:vAlign w:val="center"/>
            <w:tcMar>
              <w:top w:w="85" w:type="dxa"/>
              <w:start w:w="90" w:type="dxa"/>
              <w:bottom w:w="85" w:type="dxa"/>
              <w:end w:w="90" w:type="dxa"/>
            </w:tcMar>
            <w:shd w:fill="F0F5F7"/>
          </w:tcPr>
          <w:p>
            <w:pPr>
              <w:spacing w:after="0" w:line="257" w:lineRule="auto"/>
            </w:pPr>
            <w:r>
              <w:rPr>
                <w:sz w:val="16"/>
              </w:rPr>
              <w:t>GET /_cat/indices?v&amp;s=store.size:desc</w:t>
            </w:r>
          </w:p>
        </w:tc>
        <w:tc>
          <w:tcPr>
            <w:tcW w:type="dxa" w:w="3373"/>
            <w:vAlign w:val="center"/>
            <w:tcMar>
              <w:top w:w="85" w:type="dxa"/>
              <w:start w:w="90" w:type="dxa"/>
              <w:bottom w:w="85" w:type="dxa"/>
              <w:end w:w="90" w:type="dxa"/>
            </w:tcMar>
            <w:shd w:fill="F0F5F7"/>
          </w:tcPr>
          <w:p>
            <w:pPr>
              <w:spacing w:after="0" w:line="257" w:lineRule="auto"/>
            </w:pPr>
            <w:r>
              <w:rPr>
                <w:sz w:val="16"/>
              </w:rPr>
              <w:t>Identify high-space data; system indices may be hidden</w:t>
            </w:r>
          </w:p>
        </w:tc>
      </w:tr>
      <w:tr>
        <w:tc>
          <w:tcPr>
            <w:tcW w:type="dxa" w:w="1701"/>
            <w:vAlign w:val="center"/>
            <w:tcMar>
              <w:top w:w="85" w:type="dxa"/>
              <w:start w:w="90" w:type="dxa"/>
              <w:bottom w:w="85" w:type="dxa"/>
              <w:end w:w="90" w:type="dxa"/>
            </w:tcMar>
          </w:tcPr>
          <w:p>
            <w:pPr>
              <w:spacing w:after="0" w:line="257" w:lineRule="auto"/>
            </w:pPr>
            <w:r>
              <w:rPr>
                <w:sz w:val="16"/>
              </w:rPr>
              <w:t>Index stats</w:t>
            </w:r>
          </w:p>
        </w:tc>
        <w:tc>
          <w:tcPr>
            <w:tcW w:type="dxa" w:w="4337"/>
            <w:vAlign w:val="center"/>
            <w:tcMar>
              <w:top w:w="85" w:type="dxa"/>
              <w:start w:w="90" w:type="dxa"/>
              <w:bottom w:w="85" w:type="dxa"/>
              <w:end w:w="90" w:type="dxa"/>
            </w:tcMar>
          </w:tcPr>
          <w:p>
            <w:pPr>
              <w:spacing w:after="0" w:line="257" w:lineRule="auto"/>
            </w:pPr>
            <w:r>
              <w:rPr>
                <w:sz w:val="16"/>
              </w:rPr>
              <w:t>GET /_nodes/stats/indices/indexing,search</w:t>
            </w:r>
          </w:p>
        </w:tc>
        <w:tc>
          <w:tcPr>
            <w:tcW w:type="dxa" w:w="3373"/>
            <w:vAlign w:val="center"/>
            <w:tcMar>
              <w:top w:w="85" w:type="dxa"/>
              <w:start w:w="90" w:type="dxa"/>
              <w:bottom w:w="85" w:type="dxa"/>
              <w:end w:w="90" w:type="dxa"/>
            </w:tcMar>
          </w:tcPr>
          <w:p>
            <w:pPr>
              <w:spacing w:after="0" w:line="257" w:lineRule="auto"/>
            </w:pPr>
            <w:r>
              <w:rPr>
                <w:sz w:val="16"/>
              </w:rPr>
              <w:t>Look for rate, times and errors</w:t>
            </w:r>
          </w:p>
        </w:tc>
      </w:tr>
      <w:tr>
        <w:tc>
          <w:tcPr>
            <w:tcW w:type="dxa" w:w="1701"/>
            <w:vAlign w:val="center"/>
            <w:tcMar>
              <w:top w:w="85" w:type="dxa"/>
              <w:start w:w="90" w:type="dxa"/>
              <w:bottom w:w="85" w:type="dxa"/>
              <w:end w:w="90" w:type="dxa"/>
            </w:tcMar>
            <w:shd w:fill="F0F5F7"/>
          </w:tcPr>
          <w:p>
            <w:pPr>
              <w:spacing w:after="0" w:line="257" w:lineRule="auto"/>
            </w:pPr>
            <w:r>
              <w:rPr>
                <w:sz w:val="16"/>
              </w:rPr>
              <w:t>Node stats</w:t>
            </w:r>
          </w:p>
        </w:tc>
        <w:tc>
          <w:tcPr>
            <w:tcW w:type="dxa" w:w="4337"/>
            <w:vAlign w:val="center"/>
            <w:tcMar>
              <w:top w:w="85" w:type="dxa"/>
              <w:start w:w="90" w:type="dxa"/>
              <w:bottom w:w="85" w:type="dxa"/>
              <w:end w:w="90" w:type="dxa"/>
            </w:tcMar>
            <w:shd w:fill="F0F5F7"/>
          </w:tcPr>
          <w:p>
            <w:pPr>
              <w:spacing w:after="0" w:line="257" w:lineRule="auto"/>
            </w:pPr>
            <w:r>
              <w:rPr>
                <w:sz w:val="16"/>
              </w:rPr>
              <w:t>GET /_nodes/stats/jvm,fs,os,process</w:t>
            </w:r>
          </w:p>
        </w:tc>
        <w:tc>
          <w:tcPr>
            <w:tcW w:type="dxa" w:w="3373"/>
            <w:vAlign w:val="center"/>
            <w:tcMar>
              <w:top w:w="85" w:type="dxa"/>
              <w:start w:w="90" w:type="dxa"/>
              <w:bottom w:w="85" w:type="dxa"/>
              <w:end w:w="90" w:type="dxa"/>
            </w:tcMar>
            <w:shd w:fill="F0F5F7"/>
          </w:tcPr>
          <w:p>
            <w:pPr>
              <w:spacing w:after="0" w:line="257" w:lineRule="auto"/>
            </w:pPr>
            <w:r>
              <w:rPr>
                <w:sz w:val="16"/>
              </w:rPr>
              <w:t>Heap, free disk, OS stats</w:t>
            </w:r>
          </w:p>
        </w:tc>
      </w:tr>
      <w:tr>
        <w:tc>
          <w:tcPr>
            <w:tcW w:type="dxa" w:w="1701"/>
            <w:vAlign w:val="center"/>
            <w:tcMar>
              <w:top w:w="85" w:type="dxa"/>
              <w:start w:w="90" w:type="dxa"/>
              <w:bottom w:w="85" w:type="dxa"/>
              <w:end w:w="90" w:type="dxa"/>
            </w:tcMar>
          </w:tcPr>
          <w:p>
            <w:pPr>
              <w:spacing w:after="0" w:line="257" w:lineRule="auto"/>
            </w:pPr>
            <w:r>
              <w:rPr>
                <w:sz w:val="16"/>
              </w:rPr>
              <w:t>Lifecycle issues</w:t>
            </w:r>
          </w:p>
        </w:tc>
        <w:tc>
          <w:tcPr>
            <w:tcW w:type="dxa" w:w="4337"/>
            <w:vAlign w:val="center"/>
            <w:tcMar>
              <w:top w:w="85" w:type="dxa"/>
              <w:start w:w="90" w:type="dxa"/>
              <w:bottom w:w="85" w:type="dxa"/>
              <w:end w:w="90" w:type="dxa"/>
            </w:tcMar>
          </w:tcPr>
          <w:p>
            <w:pPr>
              <w:spacing w:after="0" w:line="257" w:lineRule="auto"/>
            </w:pPr>
            <w:r>
              <w:rPr>
                <w:sz w:val="16"/>
              </w:rPr>
              <w:t>GET /logs-*/_ilm/explain?human</w:t>
            </w:r>
          </w:p>
        </w:tc>
        <w:tc>
          <w:tcPr>
            <w:tcW w:type="dxa" w:w="3373"/>
            <w:vAlign w:val="center"/>
            <w:tcMar>
              <w:top w:w="85" w:type="dxa"/>
              <w:start w:w="90" w:type="dxa"/>
              <w:bottom w:w="85" w:type="dxa"/>
              <w:end w:w="90" w:type="dxa"/>
            </w:tcMar>
          </w:tcPr>
          <w:p>
            <w:pPr>
              <w:spacing w:after="0" w:line="257" w:lineRule="auto"/>
            </w:pPr>
            <w:r>
              <w:rPr>
                <w:sz w:val="16"/>
              </w:rPr>
              <w:t>Applicable only where ILM is actually used</w:t>
            </w:r>
          </w:p>
        </w:tc>
      </w:tr>
      <w:tr>
        <w:tc>
          <w:tcPr>
            <w:tcW w:type="dxa" w:w="1701"/>
            <w:vAlign w:val="center"/>
            <w:tcMar>
              <w:top w:w="85" w:type="dxa"/>
              <w:start w:w="90" w:type="dxa"/>
              <w:bottom w:w="85" w:type="dxa"/>
              <w:end w:w="90" w:type="dxa"/>
            </w:tcMar>
            <w:shd w:fill="F0F5F7"/>
          </w:tcPr>
          <w:p>
            <w:pPr>
              <w:spacing w:after="0" w:line="257" w:lineRule="auto"/>
            </w:pPr>
            <w:r>
              <w:rPr>
                <w:sz w:val="16"/>
              </w:rPr>
              <w:t>Lifecycle policies</w:t>
            </w:r>
          </w:p>
        </w:tc>
        <w:tc>
          <w:tcPr>
            <w:tcW w:type="dxa" w:w="4337"/>
            <w:vAlign w:val="center"/>
            <w:tcMar>
              <w:top w:w="85" w:type="dxa"/>
              <w:start w:w="90" w:type="dxa"/>
              <w:bottom w:w="85" w:type="dxa"/>
              <w:end w:w="90" w:type="dxa"/>
            </w:tcMar>
            <w:shd w:fill="F0F5F7"/>
          </w:tcPr>
          <w:p>
            <w:pPr>
              <w:spacing w:after="0" w:line="257" w:lineRule="auto"/>
            </w:pPr>
            <w:r>
              <w:rPr>
                <w:sz w:val="16"/>
              </w:rPr>
              <w:t>GET /_ilm/policy</w:t>
            </w:r>
          </w:p>
        </w:tc>
        <w:tc>
          <w:tcPr>
            <w:tcW w:type="dxa" w:w="3373"/>
            <w:vAlign w:val="center"/>
            <w:tcMar>
              <w:top w:w="85" w:type="dxa"/>
              <w:start w:w="90" w:type="dxa"/>
              <w:bottom w:w="85" w:type="dxa"/>
              <w:end w:w="90" w:type="dxa"/>
            </w:tcMar>
            <w:shd w:fill="F0F5F7"/>
          </w:tcPr>
          <w:p>
            <w:pPr>
              <w:spacing w:after="0" w:line="257" w:lineRule="auto"/>
            </w:pPr>
            <w:r>
              <w:rPr>
                <w:sz w:val="16"/>
              </w:rPr>
              <w:t>Policies and configured actions</w:t>
            </w:r>
          </w:p>
        </w:tc>
      </w:tr>
      <w:tr>
        <w:tc>
          <w:tcPr>
            <w:tcW w:type="dxa" w:w="1701"/>
            <w:vAlign w:val="center"/>
            <w:tcMar>
              <w:top w:w="85" w:type="dxa"/>
              <w:start w:w="90" w:type="dxa"/>
              <w:bottom w:w="85" w:type="dxa"/>
              <w:end w:w="90" w:type="dxa"/>
            </w:tcMar>
          </w:tcPr>
          <w:p>
            <w:pPr>
              <w:spacing w:after="0" w:line="257" w:lineRule="auto"/>
            </w:pPr>
            <w:r>
              <w:rPr>
                <w:sz w:val="16"/>
              </w:rPr>
              <w:t>Snapshots</w:t>
            </w:r>
          </w:p>
        </w:tc>
        <w:tc>
          <w:tcPr>
            <w:tcW w:type="dxa" w:w="4337"/>
            <w:vAlign w:val="center"/>
            <w:tcMar>
              <w:top w:w="85" w:type="dxa"/>
              <w:start w:w="90" w:type="dxa"/>
              <w:bottom w:w="85" w:type="dxa"/>
              <w:end w:w="90" w:type="dxa"/>
            </w:tcMar>
          </w:tcPr>
          <w:p>
            <w:pPr>
              <w:spacing w:after="0" w:line="257" w:lineRule="auto"/>
            </w:pPr>
            <w:r>
              <w:rPr>
                <w:sz w:val="16"/>
              </w:rPr>
              <w:t>GET /_slm/stats</w:t>
            </w:r>
          </w:p>
        </w:tc>
        <w:tc>
          <w:tcPr>
            <w:tcW w:type="dxa" w:w="3373"/>
            <w:vAlign w:val="center"/>
            <w:tcMar>
              <w:top w:w="85" w:type="dxa"/>
              <w:start w:w="90" w:type="dxa"/>
              <w:bottom w:w="85" w:type="dxa"/>
              <w:end w:w="90" w:type="dxa"/>
            </w:tcMar>
          </w:tcPr>
          <w:p>
            <w:pPr>
              <w:spacing w:after="0" w:line="257" w:lineRule="auto"/>
            </w:pPr>
            <w:r>
              <w:rPr>
                <w:sz w:val="16"/>
              </w:rPr>
              <w:t>Snapshot lifecycle metrics if authorised/configured</w:t>
            </w:r>
          </w:p>
        </w:tc>
      </w:tr>
      <w:tr>
        <w:tc>
          <w:tcPr>
            <w:tcW w:type="dxa" w:w="1701"/>
            <w:vAlign w:val="center"/>
            <w:tcMar>
              <w:top w:w="85" w:type="dxa"/>
              <w:start w:w="90" w:type="dxa"/>
              <w:bottom w:w="85" w:type="dxa"/>
              <w:end w:w="90" w:type="dxa"/>
            </w:tcMar>
            <w:shd w:fill="F0F5F7"/>
          </w:tcPr>
          <w:p>
            <w:pPr>
              <w:spacing w:after="0" w:line="257" w:lineRule="auto"/>
            </w:pPr>
            <w:r>
              <w:rPr>
                <w:sz w:val="16"/>
              </w:rPr>
              <w:t>Repository list</w:t>
            </w:r>
          </w:p>
        </w:tc>
        <w:tc>
          <w:tcPr>
            <w:tcW w:type="dxa" w:w="4337"/>
            <w:vAlign w:val="center"/>
            <w:tcMar>
              <w:top w:w="85" w:type="dxa"/>
              <w:start w:w="90" w:type="dxa"/>
              <w:bottom w:w="85" w:type="dxa"/>
              <w:end w:w="90" w:type="dxa"/>
            </w:tcMar>
            <w:shd w:fill="F0F5F7"/>
          </w:tcPr>
          <w:p>
            <w:pPr>
              <w:spacing w:after="0" w:line="257" w:lineRule="auto"/>
            </w:pPr>
            <w:r>
              <w:rPr>
                <w:sz w:val="16"/>
              </w:rPr>
              <w:t>GET /_snapshot/_all</w:t>
            </w:r>
          </w:p>
        </w:tc>
        <w:tc>
          <w:tcPr>
            <w:tcW w:type="dxa" w:w="3373"/>
            <w:vAlign w:val="center"/>
            <w:tcMar>
              <w:top w:w="85" w:type="dxa"/>
              <w:start w:w="90" w:type="dxa"/>
              <w:bottom w:w="85" w:type="dxa"/>
              <w:end w:w="90" w:type="dxa"/>
            </w:tcMar>
            <w:shd w:fill="F0F5F7"/>
          </w:tcPr>
          <w:p>
            <w:pPr>
              <w:spacing w:after="0" w:line="257" w:lineRule="auto"/>
            </w:pPr>
            <w:r>
              <w:rPr>
                <w:sz w:val="16"/>
              </w:rPr>
              <w:t>Configured repositories, not backup success itself</w:t>
            </w:r>
          </w:p>
        </w:tc>
      </w:tr>
      <w:tr>
        <w:tc>
          <w:tcPr>
            <w:tcW w:type="dxa" w:w="1701"/>
            <w:vAlign w:val="center"/>
            <w:tcMar>
              <w:top w:w="85" w:type="dxa"/>
              <w:start w:w="90" w:type="dxa"/>
              <w:bottom w:w="85" w:type="dxa"/>
              <w:end w:w="90" w:type="dxa"/>
            </w:tcMar>
          </w:tcPr>
          <w:p>
            <w:pPr>
              <w:spacing w:after="0" w:line="257" w:lineRule="auto"/>
            </w:pPr>
            <w:r>
              <w:rPr>
                <w:sz w:val="16"/>
              </w:rPr>
              <w:t>Security identity</w:t>
            </w:r>
          </w:p>
        </w:tc>
        <w:tc>
          <w:tcPr>
            <w:tcW w:type="dxa" w:w="4337"/>
            <w:vAlign w:val="center"/>
            <w:tcMar>
              <w:top w:w="85" w:type="dxa"/>
              <w:start w:w="90" w:type="dxa"/>
              <w:bottom w:w="85" w:type="dxa"/>
              <w:end w:w="90" w:type="dxa"/>
            </w:tcMar>
          </w:tcPr>
          <w:p>
            <w:pPr>
              <w:spacing w:after="0" w:line="257" w:lineRule="auto"/>
            </w:pPr>
            <w:r>
              <w:rPr>
                <w:sz w:val="16"/>
              </w:rPr>
              <w:t>GET /_security/_authenticate</w:t>
            </w:r>
          </w:p>
        </w:tc>
        <w:tc>
          <w:tcPr>
            <w:tcW w:type="dxa" w:w="3373"/>
            <w:vAlign w:val="center"/>
            <w:tcMar>
              <w:top w:w="85" w:type="dxa"/>
              <w:start w:w="90" w:type="dxa"/>
              <w:bottom w:w="85" w:type="dxa"/>
              <w:end w:w="90" w:type="dxa"/>
            </w:tcMar>
          </w:tcPr>
          <w:p>
            <w:pPr>
              <w:spacing w:after="0" w:line="257" w:lineRule="auto"/>
            </w:pPr>
            <w:r>
              <w:rPr>
                <w:sz w:val="16"/>
              </w:rPr>
              <w:t>Shows current authenticated identity and roles</w:t>
            </w:r>
          </w:p>
        </w:tc>
      </w:tr>
      <w:tr>
        <w:tc>
          <w:tcPr>
            <w:tcW w:type="dxa" w:w="1701"/>
            <w:vAlign w:val="center"/>
            <w:tcMar>
              <w:top w:w="85" w:type="dxa"/>
              <w:start w:w="90" w:type="dxa"/>
              <w:bottom w:w="85" w:type="dxa"/>
              <w:end w:w="90" w:type="dxa"/>
            </w:tcMar>
            <w:shd w:fill="F0F5F7"/>
          </w:tcPr>
          <w:p>
            <w:pPr>
              <w:spacing w:after="0" w:line="257" w:lineRule="auto"/>
            </w:pPr>
            <w:r>
              <w:rPr>
                <w:sz w:val="16"/>
              </w:rPr>
              <w:t>Ingest pipeline list</w:t>
            </w:r>
          </w:p>
        </w:tc>
        <w:tc>
          <w:tcPr>
            <w:tcW w:type="dxa" w:w="4337"/>
            <w:vAlign w:val="center"/>
            <w:tcMar>
              <w:top w:w="85" w:type="dxa"/>
              <w:start w:w="90" w:type="dxa"/>
              <w:bottom w:w="85" w:type="dxa"/>
              <w:end w:w="90" w:type="dxa"/>
            </w:tcMar>
            <w:shd w:fill="F0F5F7"/>
          </w:tcPr>
          <w:p>
            <w:pPr>
              <w:spacing w:after="0" w:line="257" w:lineRule="auto"/>
            </w:pPr>
            <w:r>
              <w:rPr>
                <w:sz w:val="16"/>
              </w:rPr>
              <w:t>GET /_ingest/pipeline</w:t>
            </w:r>
          </w:p>
        </w:tc>
        <w:tc>
          <w:tcPr>
            <w:tcW w:type="dxa" w:w="3373"/>
            <w:vAlign w:val="center"/>
            <w:tcMar>
              <w:top w:w="85" w:type="dxa"/>
              <w:start w:w="90" w:type="dxa"/>
              <w:bottom w:w="85" w:type="dxa"/>
              <w:end w:w="90" w:type="dxa"/>
            </w:tcMar>
            <w:shd w:fill="F0F5F7"/>
          </w:tcPr>
          <w:p>
            <w:pPr>
              <w:spacing w:after="0" w:line="257" w:lineRule="auto"/>
            </w:pPr>
            <w:r>
              <w:rPr>
                <w:sz w:val="16"/>
              </w:rPr>
              <w:t>Review Elasticsearch ingest processors</w:t>
            </w:r>
          </w:p>
        </w:tc>
      </w:tr>
    </w:tbl>
    <w:p>
      <w:pPr>
        <w:spacing w:after="0"/>
      </w:pPr>
    </w:p>
    <w:p>
      <w:pPr>
        <w:pStyle w:val="Heading2"/>
        <w:widowControl w:val="1"/>
      </w:pPr>
      <w:r>
        <w:t>A.1 Explicit allocation explanation example</w:t>
      </w:r>
    </w:p>
    <w:p>
      <w:pPr>
        <w:widowControl w:val="1"/>
      </w:pPr>
      <w:r>
        <w:t>Diagnostic POST examples are permitted only when operator-approved. This endpoint requests an explanation; it does not reroute shards. If identifying an unassigned shard, use known index, shard number and primary flag. An empty request may explain one unassigned shard, depending on API behaviour.</w:t>
      </w:r>
    </w:p>
    <w:p>
      <w:pPr>
        <w:pStyle w:val="Code"/>
        <w:widowControl w:val="1"/>
        <w:ind w:left="198"/>
        <w:shd w:fill="F2F6F8"/>
      </w:pPr>
      <w:r>
        <w:t>POST /_cluster/allocation/explain</w:t>
      </w:r>
    </w:p>
    <w:p>
      <w:pPr>
        <w:pStyle w:val="Code"/>
        <w:widowControl w:val="1"/>
        <w:ind w:left="198"/>
        <w:shd w:fill="F2F6F8"/>
      </w:pPr>
      <w:r>
        <w:t>{</w:t>
      </w:r>
    </w:p>
    <w:p>
      <w:pPr>
        <w:pStyle w:val="Code"/>
        <w:widowControl w:val="1"/>
        <w:ind w:left="198"/>
        <w:shd w:fill="F2F6F8"/>
      </w:pPr>
      <w:r>
        <w:t xml:space="preserve">  "index": "&lt;index-name&gt;",</w:t>
      </w:r>
    </w:p>
    <w:p>
      <w:pPr>
        <w:pStyle w:val="Code"/>
        <w:widowControl w:val="1"/>
        <w:ind w:left="198"/>
        <w:shd w:fill="F2F6F8"/>
      </w:pPr>
      <w:r>
        <w:t xml:space="preserve">  "shard": 0,</w:t>
      </w:r>
    </w:p>
    <w:p>
      <w:pPr>
        <w:pStyle w:val="Code"/>
        <w:widowControl w:val="1"/>
        <w:ind w:left="198"/>
        <w:shd w:fill="F2F6F8"/>
      </w:pPr>
      <w:r>
        <w:t xml:space="preserve">  "primary": false</w:t>
      </w:r>
    </w:p>
    <w:p>
      <w:pPr>
        <w:pStyle w:val="Code"/>
        <w:widowControl w:val="1"/>
        <w:ind w:left="198"/>
        <w:shd w:fill="F2F6F8"/>
      </w:pPr>
      <w:r>
        <w:t>}</w:t>
      </w:r>
    </w:p>
    <w:p>
      <w:pPr>
        <w:pStyle w:val="Heading2"/>
        <w:widowControl w:val="1"/>
      </w:pPr>
      <w:r>
        <w:t>A.2 Host-side checks (only on systems ScottishPower controls)</w:t>
      </w:r>
    </w:p>
    <w:p>
      <w:pPr>
        <w:widowControl w:val="1"/>
      </w:pPr>
      <w:r>
        <w:t>Elastic Cloud Hosted nodes are managed by Elastic. Do NOT try to SSH into Elastic-managed nodes; the following checks apply only to ScottishPower-operated agents, Beats or Logstash hosts:</w:t>
      </w:r>
    </w:p>
    <w:p>
      <w:pPr>
        <w:pStyle w:val="Code"/>
        <w:widowControl w:val="1"/>
        <w:ind w:left="198"/>
        <w:shd w:fill="F2F6F8"/>
      </w:pPr>
      <w:r>
        <w:t>Linux (with authorised access):</w:t>
      </w:r>
    </w:p>
    <w:p>
      <w:pPr>
        <w:pStyle w:val="Code"/>
        <w:widowControl w:val="1"/>
        <w:ind w:left="198"/>
        <w:shd w:fill="F2F6F8"/>
      </w:pPr>
      <w:r>
        <w:t xml:space="preserve">  systemctl status elastic-agent</w:t>
      </w:r>
    </w:p>
    <w:p>
      <w:pPr>
        <w:pStyle w:val="Code"/>
        <w:widowControl w:val="1"/>
        <w:ind w:left="198"/>
        <w:shd w:fill="F2F6F8"/>
      </w:pPr>
      <w:r>
        <w:t xml:space="preserve">  elastic-agent status</w:t>
      </w:r>
    </w:p>
    <w:p>
      <w:pPr>
        <w:pStyle w:val="Code"/>
        <w:widowControl w:val="1"/>
        <w:ind w:left="198"/>
        <w:shd w:fill="F2F6F8"/>
      </w:pPr>
      <w:r>
        <w:t xml:space="preserve">  systemctl status filebeat</w:t>
      </w:r>
    </w:p>
    <w:p>
      <w:pPr>
        <w:pStyle w:val="Code"/>
        <w:widowControl w:val="1"/>
        <w:ind w:left="198"/>
        <w:shd w:fill="F2F6F8"/>
      </w:pPr>
      <w:r>
        <w:t xml:space="preserve">  systemctl status logstash</w:t>
      </w:r>
    </w:p>
    <w:p>
      <w:pPr>
        <w:pStyle w:val="Code"/>
        <w:widowControl w:val="1"/>
        <w:ind w:left="198"/>
        <w:shd w:fill="F2F6F8"/>
      </w:pPr>
      <w:r/>
    </w:p>
    <w:p>
      <w:pPr>
        <w:pStyle w:val="Code"/>
        <w:widowControl w:val="1"/>
        <w:ind w:left="198"/>
        <w:shd w:fill="F2F6F8"/>
      </w:pPr>
      <w:r>
        <w:t>Windows PowerShell (with authorised access):</w:t>
      </w:r>
    </w:p>
    <w:p>
      <w:pPr>
        <w:pStyle w:val="Code"/>
        <w:widowControl w:val="1"/>
        <w:ind w:left="198"/>
        <w:shd w:fill="F2F6F8"/>
      </w:pPr>
      <w:r>
        <w:t xml:space="preserve">  Get-Service elastic-agent</w:t>
      </w:r>
    </w:p>
    <w:p>
      <w:pPr>
        <w:pStyle w:val="Code"/>
        <w:widowControl w:val="1"/>
        <w:ind w:left="198"/>
        <w:shd w:fill="F2F6F8"/>
      </w:pPr>
      <w:r>
        <w:t xml:space="preserve">  Get-Service filebeat</w:t>
      </w:r>
    </w:p>
    <w:p>
      <w:pPr>
        <w:pStyle w:val="Code"/>
        <w:widowControl w:val="1"/>
        <w:ind w:left="198"/>
        <w:shd w:fill="F2F6F8"/>
      </w:pPr>
      <w:r>
        <w:t xml:space="preserve">  Get-Service metricbeat</w:t>
      </w:r>
    </w:p>
    <w:p>
      <w:pPr>
        <w:widowControl w:val="1"/>
      </w:pPr>
      <w:r>
        <w:t>Service names may differ by installation. Use approved secured logs and installation-specific configuration. For standalone Beats, use version-appropriate config validation (for example, filebeat test config) in an authorised environment. Logstash typically exposes local node/pipeline stats on its configured monitoring API, often port 9600; never expose that endpoint publicly or assume it is enabled.</w:t>
      </w:r>
    </w:p>
    <w:p>
      <w:pPr>
        <w:pStyle w:val="Heading2"/>
        <w:widowControl w:val="1"/>
      </w:pPr>
      <w:r>
        <w:t>A.3 How to interpret common API results</w:t>
      </w:r>
    </w:p>
    <w:tbl>
      <w:tblPr>
        <w:tblStyle w:val="TableGrid"/>
        <w:tblW w:type="auto" w:w="0"/>
        <w:jc w:val="center"/>
        <w:tblLayout w:type="fixed"/>
        <w:tblLook w:firstColumn="1" w:firstRow="1" w:lastColumn="0" w:lastRow="0" w:noHBand="0" w:noVBand="1" w:val="04A0"/>
      </w:tblPr>
      <w:tblGrid>
        <w:gridCol w:w="3184"/>
        <w:gridCol w:w="3184"/>
        <w:gridCol w:w="3184"/>
      </w:tblGrid>
      <w:tr>
        <w:trPr>
          <w:tblHeader w:val="true"/>
        </w:trPr>
        <w:tc>
          <w:tcPr>
            <w:tcW w:type="dxa" w:w="2041"/>
            <w:shd w:fill="15456B"/>
            <w:tcMar>
              <w:top w:w="85" w:type="dxa"/>
              <w:start w:w="90" w:type="dxa"/>
              <w:bottom w:w="85" w:type="dxa"/>
              <w:end w:w="90" w:type="dxa"/>
            </w:tcMar>
          </w:tcPr>
          <w:p>
            <w:pPr>
              <w:spacing w:after="0"/>
            </w:pPr>
            <w:r>
              <w:rPr>
                <w:b/>
                <w:color w:val="FFFFFF"/>
                <w:sz w:val="16"/>
              </w:rPr>
              <w:t>Finding</w:t>
            </w:r>
          </w:p>
        </w:tc>
        <w:tc>
          <w:tcPr>
            <w:tcW w:type="dxa" w:w="3628"/>
            <w:shd w:fill="15456B"/>
            <w:tcMar>
              <w:top w:w="85" w:type="dxa"/>
              <w:start w:w="90" w:type="dxa"/>
              <w:bottom w:w="85" w:type="dxa"/>
              <w:end w:w="90" w:type="dxa"/>
            </w:tcMar>
          </w:tcPr>
          <w:p>
            <w:pPr>
              <w:spacing w:after="0"/>
            </w:pPr>
            <w:r>
              <w:rPr>
                <w:b/>
                <w:color w:val="FFFFFF"/>
                <w:sz w:val="16"/>
              </w:rPr>
              <w:t>Interpretation</w:t>
            </w:r>
          </w:p>
        </w:tc>
        <w:tc>
          <w:tcPr>
            <w:tcW w:type="dxa" w:w="3742"/>
            <w:shd w:fill="15456B"/>
            <w:tcMar>
              <w:top w:w="85" w:type="dxa"/>
              <w:start w:w="90" w:type="dxa"/>
              <w:bottom w:w="85" w:type="dxa"/>
              <w:end w:w="90" w:type="dxa"/>
            </w:tcMar>
          </w:tcPr>
          <w:p>
            <w:pPr>
              <w:spacing w:after="0"/>
            </w:pPr>
            <w:r>
              <w:rPr>
                <w:b/>
                <w:color w:val="FFFFFF"/>
                <w:sz w:val="16"/>
              </w:rPr>
              <w:t>First action</w:t>
            </w:r>
          </w:p>
        </w:tc>
      </w:tr>
      <w:tr>
        <w:tc>
          <w:tcPr>
            <w:tcW w:type="dxa" w:w="2041"/>
            <w:vAlign w:val="center"/>
            <w:tcMar>
              <w:top w:w="85" w:type="dxa"/>
              <w:start w:w="90" w:type="dxa"/>
              <w:bottom w:w="85" w:type="dxa"/>
              <w:end w:w="90" w:type="dxa"/>
            </w:tcMar>
          </w:tcPr>
          <w:p>
            <w:pPr>
              <w:spacing w:after="0" w:line="257" w:lineRule="auto"/>
            </w:pPr>
            <w:r>
              <w:rPr>
                <w:sz w:val="16"/>
              </w:rPr>
              <w:t>status: green</w:t>
            </w:r>
          </w:p>
        </w:tc>
        <w:tc>
          <w:tcPr>
            <w:tcW w:type="dxa" w:w="3628"/>
            <w:vAlign w:val="center"/>
            <w:tcMar>
              <w:top w:w="85" w:type="dxa"/>
              <w:start w:w="90" w:type="dxa"/>
              <w:bottom w:w="85" w:type="dxa"/>
              <w:end w:w="90" w:type="dxa"/>
            </w:tcMar>
          </w:tcPr>
          <w:p>
            <w:pPr>
              <w:spacing w:after="0" w:line="257" w:lineRule="auto"/>
            </w:pPr>
            <w:r>
              <w:rPr>
                <w:sz w:val="16"/>
              </w:rPr>
              <w:t>Primary and replica shard assignments healthy at the instant sampled</w:t>
            </w:r>
          </w:p>
        </w:tc>
        <w:tc>
          <w:tcPr>
            <w:tcW w:type="dxa" w:w="3742"/>
            <w:vAlign w:val="center"/>
            <w:tcMar>
              <w:top w:w="85" w:type="dxa"/>
              <w:start w:w="90" w:type="dxa"/>
              <w:bottom w:w="85" w:type="dxa"/>
              <w:end w:w="90" w:type="dxa"/>
            </w:tcMar>
          </w:tcPr>
          <w:p>
            <w:pPr>
              <w:spacing w:after="0" w:line="257" w:lineRule="auto"/>
            </w:pPr>
            <w:r>
              <w:rPr>
                <w:sz w:val="16"/>
              </w:rPr>
              <w:t>Still check source freshness</w:t>
            </w:r>
          </w:p>
        </w:tc>
      </w:tr>
      <w:tr>
        <w:tc>
          <w:tcPr>
            <w:tcW w:type="dxa" w:w="2041"/>
            <w:vAlign w:val="center"/>
            <w:tcMar>
              <w:top w:w="85" w:type="dxa"/>
              <w:start w:w="90" w:type="dxa"/>
              <w:bottom w:w="85" w:type="dxa"/>
              <w:end w:w="90" w:type="dxa"/>
            </w:tcMar>
            <w:shd w:fill="F0F5F7"/>
          </w:tcPr>
          <w:p>
            <w:pPr>
              <w:spacing w:after="0" w:line="257" w:lineRule="auto"/>
            </w:pPr>
            <w:r>
              <w:rPr>
                <w:sz w:val="16"/>
              </w:rPr>
              <w:t>status: yellow</w:t>
            </w:r>
          </w:p>
        </w:tc>
        <w:tc>
          <w:tcPr>
            <w:tcW w:type="dxa" w:w="3628"/>
            <w:vAlign w:val="center"/>
            <w:tcMar>
              <w:top w:w="85" w:type="dxa"/>
              <w:start w:w="90" w:type="dxa"/>
              <w:bottom w:w="85" w:type="dxa"/>
              <w:end w:w="90" w:type="dxa"/>
            </w:tcMar>
            <w:shd w:fill="F0F5F7"/>
          </w:tcPr>
          <w:p>
            <w:pPr>
              <w:spacing w:after="0" w:line="257" w:lineRule="auto"/>
            </w:pPr>
            <w:r>
              <w:rPr>
                <w:sz w:val="16"/>
              </w:rPr>
              <w:t>Some replicas unassigned; resilience reduced</w:t>
            </w:r>
          </w:p>
        </w:tc>
        <w:tc>
          <w:tcPr>
            <w:tcW w:type="dxa" w:w="3742"/>
            <w:vAlign w:val="center"/>
            <w:tcMar>
              <w:top w:w="85" w:type="dxa"/>
              <w:start w:w="90" w:type="dxa"/>
              <w:bottom w:w="85" w:type="dxa"/>
              <w:end w:w="90" w:type="dxa"/>
            </w:tcMar>
            <w:shd w:fill="F0F5F7"/>
          </w:tcPr>
          <w:p>
            <w:pPr>
              <w:spacing w:after="0" w:line="257" w:lineRule="auto"/>
            </w:pPr>
            <w:r>
              <w:rPr>
                <w:sz w:val="16"/>
              </w:rPr>
              <w:t>Inspect allocation</w:t>
            </w:r>
          </w:p>
        </w:tc>
      </w:tr>
      <w:tr>
        <w:tc>
          <w:tcPr>
            <w:tcW w:type="dxa" w:w="2041"/>
            <w:vAlign w:val="center"/>
            <w:tcMar>
              <w:top w:w="85" w:type="dxa"/>
              <w:start w:w="90" w:type="dxa"/>
              <w:bottom w:w="85" w:type="dxa"/>
              <w:end w:w="90" w:type="dxa"/>
            </w:tcMar>
          </w:tcPr>
          <w:p>
            <w:pPr>
              <w:spacing w:after="0" w:line="257" w:lineRule="auto"/>
            </w:pPr>
            <w:r>
              <w:rPr>
                <w:sz w:val="16"/>
              </w:rPr>
              <w:t>status: red</w:t>
            </w:r>
          </w:p>
        </w:tc>
        <w:tc>
          <w:tcPr>
            <w:tcW w:type="dxa" w:w="3628"/>
            <w:vAlign w:val="center"/>
            <w:tcMar>
              <w:top w:w="85" w:type="dxa"/>
              <w:start w:w="90" w:type="dxa"/>
              <w:bottom w:w="85" w:type="dxa"/>
              <w:end w:w="90" w:type="dxa"/>
            </w:tcMar>
          </w:tcPr>
          <w:p>
            <w:pPr>
              <w:spacing w:after="0" w:line="257" w:lineRule="auto"/>
            </w:pPr>
            <w:r>
              <w:rPr>
                <w:sz w:val="16"/>
              </w:rPr>
              <w:t>At least one primary shard unassigned; some data may be unavailable</w:t>
            </w:r>
          </w:p>
        </w:tc>
        <w:tc>
          <w:tcPr>
            <w:tcW w:type="dxa" w:w="3742"/>
            <w:vAlign w:val="center"/>
            <w:tcMar>
              <w:top w:w="85" w:type="dxa"/>
              <w:start w:w="90" w:type="dxa"/>
              <w:bottom w:w="85" w:type="dxa"/>
              <w:end w:w="90" w:type="dxa"/>
            </w:tcMar>
          </w:tcPr>
          <w:p>
            <w:pPr>
              <w:spacing w:after="0" w:line="257" w:lineRule="auto"/>
            </w:pPr>
            <w:r>
              <w:rPr>
                <w:sz w:val="16"/>
              </w:rPr>
              <w:t>Incident/escalate</w:t>
            </w:r>
          </w:p>
        </w:tc>
      </w:tr>
      <w:tr>
        <w:tc>
          <w:tcPr>
            <w:tcW w:type="dxa" w:w="2041"/>
            <w:vAlign w:val="center"/>
            <w:tcMar>
              <w:top w:w="85" w:type="dxa"/>
              <w:start w:w="90" w:type="dxa"/>
              <w:bottom w:w="85" w:type="dxa"/>
              <w:end w:w="90" w:type="dxa"/>
            </w:tcMar>
            <w:shd w:fill="F0F5F7"/>
          </w:tcPr>
          <w:p>
            <w:pPr>
              <w:spacing w:after="0" w:line="257" w:lineRule="auto"/>
            </w:pPr>
            <w:r>
              <w:rPr>
                <w:sz w:val="16"/>
              </w:rPr>
              <w:t>unassigned_shards &gt; 0</w:t>
            </w:r>
          </w:p>
        </w:tc>
        <w:tc>
          <w:tcPr>
            <w:tcW w:type="dxa" w:w="3628"/>
            <w:vAlign w:val="center"/>
            <w:tcMar>
              <w:top w:w="85" w:type="dxa"/>
              <w:start w:w="90" w:type="dxa"/>
              <w:bottom w:w="85" w:type="dxa"/>
              <w:end w:w="90" w:type="dxa"/>
            </w:tcMar>
            <w:shd w:fill="F0F5F7"/>
          </w:tcPr>
          <w:p>
            <w:pPr>
              <w:spacing w:after="0" w:line="257" w:lineRule="auto"/>
            </w:pPr>
            <w:r>
              <w:rPr>
                <w:sz w:val="16"/>
              </w:rPr>
              <w:t>Allocation issue may be temporary or sustained</w:t>
            </w:r>
          </w:p>
        </w:tc>
        <w:tc>
          <w:tcPr>
            <w:tcW w:type="dxa" w:w="3742"/>
            <w:vAlign w:val="center"/>
            <w:tcMar>
              <w:top w:w="85" w:type="dxa"/>
              <w:start w:w="90" w:type="dxa"/>
              <w:bottom w:w="85" w:type="dxa"/>
              <w:end w:w="90" w:type="dxa"/>
            </w:tcMar>
            <w:shd w:fill="F0F5F7"/>
          </w:tcPr>
          <w:p>
            <w:pPr>
              <w:spacing w:after="0" w:line="257" w:lineRule="auto"/>
            </w:pPr>
            <w:r>
              <w:rPr>
                <w:sz w:val="16"/>
              </w:rPr>
              <w:t>Identify index, primary/replica and cause</w:t>
            </w:r>
          </w:p>
        </w:tc>
      </w:tr>
      <w:tr>
        <w:tc>
          <w:tcPr>
            <w:tcW w:type="dxa" w:w="2041"/>
            <w:vAlign w:val="center"/>
            <w:tcMar>
              <w:top w:w="85" w:type="dxa"/>
              <w:start w:w="90" w:type="dxa"/>
              <w:bottom w:w="85" w:type="dxa"/>
              <w:end w:w="90" w:type="dxa"/>
            </w:tcMar>
          </w:tcPr>
          <w:p>
            <w:pPr>
              <w:spacing w:after="0" w:line="257" w:lineRule="auto"/>
            </w:pPr>
            <w:r>
              <w:rPr>
                <w:sz w:val="16"/>
              </w:rPr>
              <w:t>High heap with low CPU</w:t>
            </w:r>
          </w:p>
        </w:tc>
        <w:tc>
          <w:tcPr>
            <w:tcW w:type="dxa" w:w="3628"/>
            <w:vAlign w:val="center"/>
            <w:tcMar>
              <w:top w:w="85" w:type="dxa"/>
              <w:start w:w="90" w:type="dxa"/>
              <w:bottom w:w="85" w:type="dxa"/>
              <w:end w:w="90" w:type="dxa"/>
            </w:tcMar>
          </w:tcPr>
          <w:p>
            <w:pPr>
              <w:spacing w:after="0" w:line="257" w:lineRule="auto"/>
            </w:pPr>
            <w:r>
              <w:rPr>
                <w:sz w:val="16"/>
              </w:rPr>
              <w:t>May be normal caching or memory pressure</w:t>
            </w:r>
          </w:p>
        </w:tc>
        <w:tc>
          <w:tcPr>
            <w:tcW w:type="dxa" w:w="3742"/>
            <w:vAlign w:val="center"/>
            <w:tcMar>
              <w:top w:w="85" w:type="dxa"/>
              <w:start w:w="90" w:type="dxa"/>
              <w:bottom w:w="85" w:type="dxa"/>
              <w:end w:w="90" w:type="dxa"/>
            </w:tcMar>
          </w:tcPr>
          <w:p>
            <w:pPr>
              <w:spacing w:after="0" w:line="257" w:lineRule="auto"/>
            </w:pPr>
            <w:r>
              <w:rPr>
                <w:sz w:val="16"/>
              </w:rPr>
              <w:t>Review duration, GC, rejections and latency</w:t>
            </w:r>
          </w:p>
        </w:tc>
      </w:tr>
      <w:tr>
        <w:tc>
          <w:tcPr>
            <w:tcW w:type="dxa" w:w="2041"/>
            <w:vAlign w:val="center"/>
            <w:tcMar>
              <w:top w:w="85" w:type="dxa"/>
              <w:start w:w="90" w:type="dxa"/>
              <w:bottom w:w="85" w:type="dxa"/>
              <w:end w:w="90" w:type="dxa"/>
            </w:tcMar>
            <w:shd w:fill="F0F5F7"/>
          </w:tcPr>
          <w:p>
            <w:pPr>
              <w:spacing w:after="0" w:line="257" w:lineRule="auto"/>
            </w:pPr>
            <w:r>
              <w:rPr>
                <w:sz w:val="16"/>
              </w:rPr>
              <w:t>Last @timestamp old</w:t>
            </w:r>
          </w:p>
        </w:tc>
        <w:tc>
          <w:tcPr>
            <w:tcW w:type="dxa" w:w="3628"/>
            <w:vAlign w:val="center"/>
            <w:tcMar>
              <w:top w:w="85" w:type="dxa"/>
              <w:start w:w="90" w:type="dxa"/>
              <w:bottom w:w="85" w:type="dxa"/>
              <w:end w:w="90" w:type="dxa"/>
            </w:tcMar>
            <w:shd w:fill="F0F5F7"/>
          </w:tcPr>
          <w:p>
            <w:pPr>
              <w:spacing w:after="0" w:line="257" w:lineRule="auto"/>
            </w:pPr>
            <w:r>
              <w:rPr>
                <w:sz w:val="16"/>
              </w:rPr>
              <w:t>Could be truly missing events, quiet source or timestamp skew</w:t>
            </w:r>
          </w:p>
        </w:tc>
        <w:tc>
          <w:tcPr>
            <w:tcW w:type="dxa" w:w="3742"/>
            <w:vAlign w:val="center"/>
            <w:tcMar>
              <w:top w:w="85" w:type="dxa"/>
              <w:start w:w="90" w:type="dxa"/>
              <w:bottom w:w="85" w:type="dxa"/>
              <w:end w:w="90" w:type="dxa"/>
            </w:tcMar>
            <w:shd w:fill="F0F5F7"/>
          </w:tcPr>
          <w:p>
            <w:pPr>
              <w:spacing w:after="0" w:line="257" w:lineRule="auto"/>
            </w:pPr>
            <w:r>
              <w:rPr>
                <w:sz w:val="16"/>
              </w:rPr>
              <w:t>Check event.ingested/agent and expected frequency</w:t>
            </w:r>
          </w:p>
        </w:tc>
      </w:tr>
    </w:tbl>
    <w:p>
      <w:pPr>
        <w:spacing w:after="0"/>
      </w:pPr>
    </w:p>
    <w:p>
      <w:pPr>
        <w:pStyle w:val="Heading1"/>
        <w:widowControl w:val="1"/>
      </w:pPr>
      <w:r>
        <w:t>Appendix B. Official references and best-practice basis</w:t>
      </w:r>
    </w:p>
    <w:p>
      <w:pPr>
        <w:widowControl w:val="1"/>
      </w:pPr>
      <w:r>
        <w:t>These references support the operating principles; check version-specific applicability and licence/subscription features before applying any procedure.</w:t>
      </w:r>
    </w:p>
    <w:p>
      <w:pPr>
        <w:pStyle w:val="SmallGray"/>
        <w:widowControl w:val="1"/>
      </w:pPr>
      <w:r>
        <w:t>01. Elastic Cloud Hosted overview: https://www.elastic.co/docs/deploy-manage/deploy/elastic-cloud/cloud-hosted</w:t>
      </w:r>
    </w:p>
    <w:p>
      <w:pPr>
        <w:pStyle w:val="SmallGray"/>
        <w:widowControl w:val="1"/>
      </w:pPr>
      <w:r>
        <w:t>02. Manage hosted deployments: https://www.elastic.co/docs/deploy-manage/deploy/elastic-cloud/manage-deployments</w:t>
      </w:r>
    </w:p>
    <w:p>
      <w:pPr>
        <w:pStyle w:val="SmallGray"/>
        <w:widowControl w:val="1"/>
      </w:pPr>
      <w:r>
        <w:t>03. Upgrade on Elastic Cloud Hosted: https://www.elastic.co/docs/deploy-manage/upgrade/deployment-or-cluster/upgrade-on-ech</w:t>
      </w:r>
    </w:p>
    <w:p>
      <w:pPr>
        <w:pStyle w:val="SmallGray"/>
        <w:widowControl w:val="1"/>
      </w:pPr>
      <w:r>
        <w:t>04. Stack monitoring: https://www.elastic.co/docs/deploy-manage/monitor/stack-monitoring</w:t>
      </w:r>
    </w:p>
    <w:p>
      <w:pPr>
        <w:pStyle w:val="SmallGray"/>
        <w:widowControl w:val="1"/>
      </w:pPr>
      <w:r>
        <w:t>05. Disk-based shard allocation and watermarks: https://www.elastic.co/docs/reference/elasticsearch/configuration-reference/cluster-level-shard-allocation-routing-settings</w:t>
      </w:r>
    </w:p>
    <w:p>
      <w:pPr>
        <w:pStyle w:val="SmallGray"/>
        <w:widowControl w:val="1"/>
      </w:pPr>
      <w:r>
        <w:t>06. Elasticsearch REST APIs: https://www.elastic.co/docs/reference/elasticsearch/rest-apis</w:t>
      </w:r>
    </w:p>
    <w:p>
      <w:pPr>
        <w:pStyle w:val="SmallGray"/>
        <w:widowControl w:val="1"/>
      </w:pPr>
      <w:r>
        <w:t>07. ILM explain API: https://www.elastic.co/docs/reference/elasticsearch/rest-apis/explain-lifecycle</w:t>
      </w:r>
    </w:p>
    <w:p>
      <w:pPr>
        <w:pStyle w:val="SmallGray"/>
        <w:widowControl w:val="1"/>
      </w:pPr>
      <w:r>
        <w:t>08. Elastic Cloud Hosted snapshot repositories: https://www.elastic.co/docs/deploy-manage/tools/snapshot-and-restore/elastic-cloud-hosted</w:t>
      </w:r>
    </w:p>
    <w:p>
      <w:pPr>
        <w:pStyle w:val="SmallGray"/>
        <w:widowControl w:val="1"/>
      </w:pPr>
      <w:r>
        <w:t>09. Fleet agent status and monitoring: https://www.elastic.co/docs/reference/fleet/monitor-elastic-agent</w:t>
      </w:r>
    </w:p>
    <w:p>
      <w:pPr>
        <w:pStyle w:val="SmallGray"/>
        <w:widowControl w:val="1"/>
      </w:pPr>
      <w:r>
        <w:t>10. Upgrade Fleet-managed Agents: https://www.elastic.co/docs/reference/fleet/upgrade-elastic-agent</w:t>
      </w:r>
    </w:p>
    <w:p>
      <w:pPr>
        <w:pStyle w:val="SmallGray"/>
        <w:widowControl w:val="1"/>
      </w:pPr>
      <w:r>
        <w:t>11. Fleet agent policies: https://www.elastic.co/docs/reference/fleet/agent-policy</w:t>
      </w:r>
    </w:p>
    <w:p>
      <w:pPr>
        <w:pStyle w:val="SmallGray"/>
        <w:widowControl w:val="1"/>
      </w:pPr>
      <w:r>
        <w:t>12. Logstash queues and data resiliency: https://www.elastic.co/docs/reference/logstash/queues-data-resiliency</w:t>
      </w:r>
    </w:p>
    <w:p>
      <w:pPr>
        <w:pStyle w:val="SmallGray"/>
        <w:widowControl w:val="1"/>
      </w:pPr>
      <w:r>
        <w:t>13. Logstash dead letter queues: https://www.elastic.co/docs/reference/logstash/dead-letter-queues</w:t>
      </w:r>
    </w:p>
    <w:p>
      <w:pPr>
        <w:pStyle w:val="SmallGray"/>
        <w:widowControl w:val="1"/>
      </w:pPr>
      <w:r>
        <w:t>14. APM service inventory: https://www.elastic.co/docs/solutions/observability/apm/services</w:t>
      </w:r>
    </w:p>
    <w:p>
      <w:pPr>
        <w:pStyle w:val="SmallGray"/>
        <w:widowControl w:val="1"/>
      </w:pPr>
      <w:r>
        <w:t>15. Synthetic monitoring: https://www.elastic.co/docs/solutions/observability/synthetics</w:t>
      </w:r>
    </w:p>
    <w:p>
      <w:pPr>
        <w:pStyle w:val="SmallGray"/>
        <w:widowControl w:val="1"/>
      </w:pPr>
      <w:r>
        <w:t>16. Elastic Cloud organisation access: https://www.elastic.co/docs/deploy-manage/users-roles/cloud-organization</w:t>
      </w:r>
    </w:p>
    <w:p>
      <w:pPr>
        <w:pStyle w:val="Heading2"/>
        <w:widowControl w:val="1"/>
      </w:pPr>
      <w:r>
        <w:t>Approval record</w:t>
      </w:r>
    </w:p>
    <w:tbl>
      <w:tblPr>
        <w:tblStyle w:val="TableGrid"/>
        <w:tblW w:type="auto" w:w="0"/>
        <w:jc w:val="center"/>
        <w:tblLayout w:type="fixed"/>
        <w:tblLook w:firstColumn="1" w:firstRow="1" w:lastColumn="0" w:lastRow="0" w:noHBand="0" w:noVBand="1" w:val="04A0"/>
      </w:tblPr>
      <w:tblGrid>
        <w:gridCol w:w="4776"/>
        <w:gridCol w:w="4776"/>
      </w:tblGrid>
      <w:tr>
        <w:trPr>
          <w:tblHeader w:val="true"/>
        </w:trPr>
        <w:tc>
          <w:tcPr>
            <w:tcW w:type="dxa" w:w="3402"/>
            <w:shd w:fill="15456B"/>
            <w:tcMar>
              <w:top w:w="85" w:type="dxa"/>
              <w:start w:w="90" w:type="dxa"/>
              <w:bottom w:w="85" w:type="dxa"/>
              <w:end w:w="90" w:type="dxa"/>
            </w:tcMar>
          </w:tcPr>
          <w:p>
            <w:pPr>
              <w:spacing w:after="0"/>
            </w:pPr>
            <w:r>
              <w:rPr>
                <w:b/>
                <w:color w:val="FFFFFF"/>
                <w:sz w:val="16"/>
              </w:rPr>
              <w:t>Role</w:t>
            </w:r>
          </w:p>
        </w:tc>
        <w:tc>
          <w:tcPr>
            <w:tcW w:type="dxa" w:w="6009"/>
            <w:shd w:fill="15456B"/>
            <w:tcMar>
              <w:top w:w="85" w:type="dxa"/>
              <w:start w:w="90" w:type="dxa"/>
              <w:bottom w:w="85" w:type="dxa"/>
              <w:end w:w="90" w:type="dxa"/>
            </w:tcMar>
          </w:tcPr>
          <w:p>
            <w:pPr>
              <w:spacing w:after="0"/>
            </w:pPr>
            <w:r>
              <w:rPr>
                <w:b/>
                <w:color w:val="FFFFFF"/>
                <w:sz w:val="16"/>
              </w:rPr>
              <w:t>Name / sign-off / date</w:t>
            </w:r>
          </w:p>
        </w:tc>
      </w:tr>
      <w:tr>
        <w:tc>
          <w:tcPr>
            <w:tcW w:type="dxa" w:w="3402"/>
            <w:vAlign w:val="center"/>
            <w:tcMar>
              <w:top w:w="85" w:type="dxa"/>
              <w:start w:w="90" w:type="dxa"/>
              <w:bottom w:w="85" w:type="dxa"/>
              <w:end w:w="90" w:type="dxa"/>
            </w:tcMar>
          </w:tcPr>
          <w:p>
            <w:pPr>
              <w:spacing w:after="0" w:line="257" w:lineRule="auto"/>
            </w:pPr>
            <w:r>
              <w:rPr>
                <w:sz w:val="16"/>
              </w:rPr>
              <w:t>Document author</w:t>
            </w:r>
          </w:p>
        </w:tc>
        <w:tc>
          <w:tcPr>
            <w:tcW w:type="dxa" w:w="6009"/>
            <w:vAlign w:val="center"/>
            <w:tcMar>
              <w:top w:w="85" w:type="dxa"/>
              <w:start w:w="90" w:type="dxa"/>
              <w:bottom w:w="85" w:type="dxa"/>
              <w:end w:w="90" w:type="dxa"/>
            </w:tcMar>
          </w:tcPr>
          <w:p>
            <w:pPr>
              <w:spacing w:after="0" w:line="257" w:lineRule="auto"/>
            </w:pPr>
            <w:r>
              <w:rPr>
                <w:sz w:val="16"/>
              </w:rPr>
              <w:t>[CONFIRM]</w:t>
            </w:r>
          </w:p>
        </w:tc>
      </w:tr>
      <w:tr>
        <w:tc>
          <w:tcPr>
            <w:tcW w:type="dxa" w:w="3402"/>
            <w:vAlign w:val="center"/>
            <w:tcMar>
              <w:top w:w="85" w:type="dxa"/>
              <w:start w:w="90" w:type="dxa"/>
              <w:bottom w:w="85" w:type="dxa"/>
              <w:end w:w="90" w:type="dxa"/>
            </w:tcMar>
            <w:shd w:fill="F0F5F7"/>
          </w:tcPr>
          <w:p>
            <w:pPr>
              <w:spacing w:after="0" w:line="257" w:lineRule="auto"/>
            </w:pPr>
            <w:r>
              <w:rPr>
                <w:sz w:val="16"/>
              </w:rPr>
              <w:t>Observability operations reviewer</w:t>
            </w:r>
          </w:p>
        </w:tc>
        <w:tc>
          <w:tcPr>
            <w:tcW w:type="dxa" w:w="6009"/>
            <w:vAlign w:val="center"/>
            <w:tcMar>
              <w:top w:w="85" w:type="dxa"/>
              <w:start w:w="90" w:type="dxa"/>
              <w:bottom w:w="85" w:type="dxa"/>
              <w:end w:w="90" w:type="dxa"/>
            </w:tcMar>
            <w:shd w:fill="F0F5F7"/>
          </w:tcPr>
          <w:p>
            <w:pPr>
              <w:spacing w:after="0" w:line="257" w:lineRule="auto"/>
            </w:pPr>
            <w:r>
              <w:rPr>
                <w:sz w:val="16"/>
              </w:rPr>
              <w:t>[CONFIRM]</w:t>
            </w:r>
          </w:p>
        </w:tc>
      </w:tr>
      <w:tr>
        <w:tc>
          <w:tcPr>
            <w:tcW w:type="dxa" w:w="3402"/>
            <w:vAlign w:val="center"/>
            <w:tcMar>
              <w:top w:w="85" w:type="dxa"/>
              <w:start w:w="90" w:type="dxa"/>
              <w:bottom w:w="85" w:type="dxa"/>
              <w:end w:w="90" w:type="dxa"/>
            </w:tcMar>
          </w:tcPr>
          <w:p>
            <w:pPr>
              <w:spacing w:after="0" w:line="257" w:lineRule="auto"/>
            </w:pPr>
            <w:r>
              <w:rPr>
                <w:sz w:val="16"/>
              </w:rPr>
              <w:t>Cybersecurity and IAM reviewer</w:t>
            </w:r>
          </w:p>
        </w:tc>
        <w:tc>
          <w:tcPr>
            <w:tcW w:type="dxa" w:w="6009"/>
            <w:vAlign w:val="center"/>
            <w:tcMar>
              <w:top w:w="85" w:type="dxa"/>
              <w:start w:w="90" w:type="dxa"/>
              <w:bottom w:w="85" w:type="dxa"/>
              <w:end w:w="90" w:type="dxa"/>
            </w:tcMar>
          </w:tcPr>
          <w:p>
            <w:pPr>
              <w:spacing w:after="0" w:line="257" w:lineRule="auto"/>
            </w:pPr>
            <w:r>
              <w:rPr>
                <w:sz w:val="16"/>
              </w:rPr>
              <w:t>[CONFIRM]</w:t>
            </w:r>
          </w:p>
        </w:tc>
      </w:tr>
      <w:tr>
        <w:tc>
          <w:tcPr>
            <w:tcW w:type="dxa" w:w="3402"/>
            <w:vAlign w:val="center"/>
            <w:tcMar>
              <w:top w:w="85" w:type="dxa"/>
              <w:start w:w="90" w:type="dxa"/>
              <w:bottom w:w="85" w:type="dxa"/>
              <w:end w:w="90" w:type="dxa"/>
            </w:tcMar>
            <w:shd w:fill="F0F5F7"/>
          </w:tcPr>
          <w:p>
            <w:pPr>
              <w:spacing w:after="0" w:line="257" w:lineRule="auto"/>
            </w:pPr>
            <w:r>
              <w:rPr>
                <w:sz w:val="16"/>
              </w:rPr>
              <w:t>Cloud service owner</w:t>
            </w:r>
          </w:p>
        </w:tc>
        <w:tc>
          <w:tcPr>
            <w:tcW w:type="dxa" w:w="6009"/>
            <w:vAlign w:val="center"/>
            <w:tcMar>
              <w:top w:w="85" w:type="dxa"/>
              <w:start w:w="90" w:type="dxa"/>
              <w:bottom w:w="85" w:type="dxa"/>
              <w:end w:w="90" w:type="dxa"/>
            </w:tcMar>
            <w:shd w:fill="F0F5F7"/>
          </w:tcPr>
          <w:p>
            <w:pPr>
              <w:spacing w:after="0" w:line="257" w:lineRule="auto"/>
            </w:pPr>
            <w:r>
              <w:rPr>
                <w:sz w:val="16"/>
              </w:rPr>
              <w:t>[CONFIRM]</w:t>
            </w:r>
          </w:p>
        </w:tc>
      </w:tr>
      <w:tr>
        <w:tc>
          <w:tcPr>
            <w:tcW w:type="dxa" w:w="3402"/>
            <w:vAlign w:val="center"/>
            <w:tcMar>
              <w:top w:w="85" w:type="dxa"/>
              <w:start w:w="90" w:type="dxa"/>
              <w:bottom w:w="85" w:type="dxa"/>
              <w:end w:w="90" w:type="dxa"/>
            </w:tcMar>
          </w:tcPr>
          <w:p>
            <w:pPr>
              <w:spacing w:after="0" w:line="257" w:lineRule="auto"/>
            </w:pPr>
            <w:r>
              <w:rPr>
                <w:sz w:val="16"/>
              </w:rPr>
              <w:t>Business/service owner</w:t>
            </w:r>
          </w:p>
        </w:tc>
        <w:tc>
          <w:tcPr>
            <w:tcW w:type="dxa" w:w="6009"/>
            <w:vAlign w:val="center"/>
            <w:tcMar>
              <w:top w:w="85" w:type="dxa"/>
              <w:start w:w="90" w:type="dxa"/>
              <w:bottom w:w="85" w:type="dxa"/>
              <w:end w:w="90" w:type="dxa"/>
            </w:tcMar>
          </w:tcPr>
          <w:p>
            <w:pPr>
              <w:spacing w:after="0" w:line="257" w:lineRule="auto"/>
            </w:pPr>
            <w:r>
              <w:rPr>
                <w:sz w:val="16"/>
              </w:rPr>
              <w:t>[CONFIRM]</w:t>
            </w:r>
          </w:p>
        </w:tc>
      </w:tr>
    </w:tbl>
    <w:p>
      <w:pPr>
        <w:spacing w:after="0"/>
      </w:pPr>
    </w:p>
    <w:sectPr w:rsidR="00FC693F" w:rsidRPr="0006063C" w:rsidSect="00034616">
      <w:headerReference w:type="default" r:id="rId9"/>
      <w:footerReference w:type="default" r:id="rId10"/>
      <w:pgSz w:w="11906" w:h="16838"/>
      <w:pgMar w:top="1162" w:right="1134" w:bottom="992" w:left="1219"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36D"/>
        <w:sz w:val="15"/>
      </w:rPr>
      <w:t xml:space="preserve">INTERNAL WORKING DRAFT  |  v1.0  |  24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4537B"/>
        <w:sz w:val="16"/>
      </w:rPr>
      <w:t>SCOTTISHPOWER  /  ELASTIC CLOUD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26344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59" w:lineRule="auto"/>
      <w:outlineLvl w:val="0"/>
    </w:pPr>
    <w:rPr>
      <w:rFonts w:asciiTheme="majorHAnsi" w:eastAsiaTheme="majorEastAsia" w:hAnsiTheme="majorHAnsi" w:cstheme="majorBidi" w:ascii="Aptos Display" w:hAnsi="Aptos Display"/>
      <w:b/>
      <w:bCs/>
      <w:color w:val="143453"/>
      <w:sz w:val="32"/>
      <w:szCs w:val="28"/>
    </w:rPr>
  </w:style>
  <w:style w:type="paragraph" w:styleId="Heading2">
    <w:name w:val="heading 2"/>
    <w:basedOn w:val="Normal"/>
    <w:next w:val="Normal"/>
    <w:link w:val="Heading2Char"/>
    <w:uiPriority w:val="9"/>
    <w:unhideWhenUsed/>
    <w:qFormat/>
    <w:rsid w:val="00FC693F"/>
    <w:pPr>
      <w:keepNext/>
      <w:keepLines/>
      <w:spacing w:before="260" w:after="100" w:line="259" w:lineRule="auto"/>
      <w:outlineLvl w:val="1"/>
    </w:pPr>
    <w:rPr>
      <w:rFonts w:asciiTheme="majorHAnsi" w:eastAsiaTheme="majorEastAsia" w:hAnsiTheme="majorHAnsi" w:cstheme="majorBidi" w:ascii="Aptos" w:hAnsi="Aptos"/>
      <w:b/>
      <w:bCs/>
      <w:color w:val="24537B"/>
      <w:sz w:val="24"/>
      <w:szCs w:val="26"/>
    </w:rPr>
  </w:style>
  <w:style w:type="paragraph" w:styleId="Heading3">
    <w:name w:val="heading 3"/>
    <w:basedOn w:val="Normal"/>
    <w:next w:val="Normal"/>
    <w:link w:val="Heading3Char"/>
    <w:uiPriority w:val="9"/>
    <w:unhideWhenUsed/>
    <w:qFormat/>
    <w:rsid w:val="00FC693F"/>
    <w:pPr>
      <w:keepNext/>
      <w:keepLines/>
      <w:spacing w:before="200" w:after="80" w:line="259" w:lineRule="auto"/>
      <w:outlineLvl w:val="2"/>
    </w:pPr>
    <w:rPr>
      <w:rFonts w:asciiTheme="majorHAnsi" w:eastAsiaTheme="majorEastAsia" w:hAnsiTheme="majorHAnsi" w:cstheme="majorBidi" w:ascii="Aptos" w:hAnsi="Aptos"/>
      <w:b/>
      <w:bCs/>
      <w:color w:val="00747E"/>
      <w:sz w:val="21"/>
    </w:rPr>
  </w:style>
  <w:style w:type="paragraph" w:styleId="Heading4">
    <w:name w:val="heading 4"/>
    <w:basedOn w:val="Normal"/>
    <w:next w:val="Normal"/>
    <w:link w:val="Heading4Char"/>
    <w:uiPriority w:val="9"/>
    <w:semiHidden/>
    <w:unhideWhenUsed/>
    <w:qFormat/>
    <w:rsid w:val="00FC693F"/>
    <w:pPr>
      <w:keepNext/>
      <w:keepLines/>
      <w:spacing w:before="180" w:after="80" w:line="259" w:lineRule="auto"/>
      <w:outlineLvl w:val="3"/>
    </w:pPr>
    <w:rPr>
      <w:rFonts w:asciiTheme="majorHAnsi" w:eastAsiaTheme="majorEastAsia" w:hAnsiTheme="majorHAnsi" w:cstheme="majorBidi" w:ascii="Aptos" w:hAnsi="Aptos"/>
      <w:b/>
      <w:bCs/>
      <w:i/>
      <w:iCs/>
      <w:color w:val="24537B"/>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59" w:lineRule="auto" w:before="0"/>
      <w:contextualSpacing/>
    </w:pPr>
    <w:rPr>
      <w:rFonts w:asciiTheme="majorHAnsi" w:eastAsiaTheme="majorEastAsia" w:hAnsiTheme="majorHAnsi" w:cstheme="majorBidi" w:ascii="Aptos Display" w:hAnsi="Aptos Display"/>
      <w:b/>
      <w:color w:val="14345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8"/>
      <w:ind w:left="283" w:hanging="113"/>
      <w:contextualSpacing/>
    </w:pPr>
    <w:rPr>
      <w:rFonts w:ascii="Aptos" w:hAnsi="Aptos"/>
      <w:color w:val="263440"/>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8"/>
      <w:ind w:left="283" w:hanging="113"/>
      <w:contextualSpacing/>
    </w:pPr>
    <w:rPr>
      <w:rFonts w:ascii="Aptos" w:hAnsi="Aptos"/>
      <w:color w:val="263440"/>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Gray">
    <w:name w:val="Small Gray"/>
    <w:pPr>
      <w:spacing w:after="80"/>
    </w:pPr>
    <w:rPr>
      <w:rFonts w:ascii="Aptos" w:hAnsi="Aptos"/>
      <w:color w:val="55636D"/>
      <w:sz w:val="16"/>
    </w:rPr>
  </w:style>
  <w:style w:type="paragraph" w:customStyle="1" w:styleId="Code">
    <w:name w:val="Code"/>
    <w:pPr>
      <w:spacing w:before="60" w:after="120"/>
    </w:pPr>
    <w:rPr>
      <w:rFonts w:ascii="Consolas" w:hAnsi="Consolas"/>
      <w:color w:val="14345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ScottishPower Elastic Stack Cloud Operations Runbook</dc:title>
  <dc:subject>Elastic Cloud Hosted operations, observability and incident response</dc:subject>
  <dc:creator>ScottishPower – draft prepared for team review</dc:creator>
  <cp:keywords>Elasticsearch,Kibana,Elastic Cloud Hosted,Fleet,Logstash,Runbook</cp:keywords>
  <dc:description>generated by python-docx</dc:description>
  <cp:lastModifiedBy/>
  <cp:revision>1</cp:revision>
  <dcterms:created xsi:type="dcterms:W3CDTF">2013-12-23T23:15:00Z</dcterms:created>
  <dcterms:modified xsi:type="dcterms:W3CDTF">2013-12-23T23:15:00Z</dcterms:modified>
  <cp:category/>
</cp:coreProperties>
</file>