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357C9A">
        <w:t>Mason and Plumber</w:t>
      </w:r>
      <w:r w:rsidRPr="0019003E">
        <w:t>.</w:t>
      </w:r>
      <w:r>
        <w:t xml:space="preserve"> </w:t>
      </w:r>
      <w:r w:rsidRPr="0019003E">
        <w:t xml:space="preserve">The occupations are proposed in </w:t>
      </w:r>
      <w:r w:rsidR="00357C9A">
        <w:t>two</w:t>
      </w:r>
      <w:r w:rsidR="00287DC8">
        <w:t xml:space="preser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and local coordinators</w:t>
      </w:r>
      <w:r w:rsidR="00357C9A">
        <w:t xml:space="preserve"> at</w:t>
      </w:r>
      <w:r w:rsidRPr="0019003E">
        <w:t xml:space="preserve"> </w:t>
      </w:r>
      <w:r w:rsidR="00357C9A">
        <w:t>training conducting districts</w:t>
      </w:r>
      <w:r w:rsidRPr="0019003E">
        <w:t xml:space="preserve">.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466EC7" w:rsidRPr="0019003E" w:rsidRDefault="00466EC7" w:rsidP="00466EC7">
      <w:pPr>
        <w:spacing w:line="276" w:lineRule="auto"/>
        <w:jc w:val="both"/>
      </w:pPr>
      <w:r w:rsidRPr="0019003E">
        <w:t>The broader objectives of the assignment is to deliver quality skill training and employment services for the targeted youths following 390 hours curriculum of CTEVT, 10 houses life skill and business skill training, managing their skill testing and placement in to gainful employment in trained occupations. Other specific objectives of this assignment are to:</w:t>
      </w:r>
    </w:p>
    <w:p w:rsidR="00466EC7" w:rsidRPr="0019003E" w:rsidRDefault="00466EC7" w:rsidP="003E4390">
      <w:pPr>
        <w:pStyle w:val="ListParagraph"/>
        <w:numPr>
          <w:ilvl w:val="0"/>
          <w:numId w:val="8"/>
        </w:numPr>
        <w:spacing w:after="160" w:line="276" w:lineRule="auto"/>
        <w:jc w:val="both"/>
      </w:pPr>
      <w:r w:rsidRPr="0019003E">
        <w:t>Manage training venue with adequate facilities as per minimum standard outlined in CTEVT curriculum and Nation Skill Standard of the National Skill Testing Board (NSTB)</w:t>
      </w:r>
    </w:p>
    <w:p w:rsidR="00466EC7" w:rsidRPr="0019003E" w:rsidRDefault="00466EC7" w:rsidP="00466EC7">
      <w:pPr>
        <w:pStyle w:val="ListParagraph"/>
        <w:numPr>
          <w:ilvl w:val="0"/>
          <w:numId w:val="8"/>
        </w:numPr>
        <w:spacing w:after="160" w:line="276" w:lineRule="auto"/>
        <w:jc w:val="both"/>
      </w:pPr>
      <w:r w:rsidRPr="0019003E">
        <w:t>Conduct sessions on career guidance and counseling to the trainees;</w:t>
      </w:r>
    </w:p>
    <w:p w:rsidR="00466EC7" w:rsidRPr="0019003E" w:rsidRDefault="00466EC7" w:rsidP="00466EC7">
      <w:pPr>
        <w:pStyle w:val="ListParagraph"/>
        <w:numPr>
          <w:ilvl w:val="0"/>
          <w:numId w:val="8"/>
        </w:numPr>
        <w:spacing w:after="160" w:line="276" w:lineRule="auto"/>
        <w:jc w:val="both"/>
      </w:pPr>
      <w:r w:rsidRPr="0019003E">
        <w:t xml:space="preserve">Conduct skill training including life skill and business skill. </w:t>
      </w:r>
    </w:p>
    <w:p w:rsidR="00466EC7" w:rsidRPr="0019003E" w:rsidRDefault="00466EC7" w:rsidP="00466EC7">
      <w:pPr>
        <w:pStyle w:val="ListParagraph"/>
        <w:numPr>
          <w:ilvl w:val="0"/>
          <w:numId w:val="8"/>
        </w:numPr>
        <w:spacing w:after="160" w:line="276" w:lineRule="auto"/>
        <w:jc w:val="both"/>
      </w:pPr>
      <w:r w:rsidRPr="0019003E">
        <w:t>Ensure adequate practical involvement for the trainees as per the curricula;</w:t>
      </w:r>
    </w:p>
    <w:p w:rsidR="00466EC7" w:rsidRPr="0019003E" w:rsidRDefault="00466EC7" w:rsidP="00466EC7">
      <w:pPr>
        <w:pStyle w:val="ListParagraph"/>
        <w:numPr>
          <w:ilvl w:val="0"/>
          <w:numId w:val="8"/>
        </w:numPr>
        <w:spacing w:after="160" w:line="276" w:lineRule="auto"/>
        <w:jc w:val="both"/>
      </w:pPr>
      <w:r w:rsidRPr="0019003E">
        <w:t>Coordinate with the employers and develop roaster of them;</w:t>
      </w:r>
    </w:p>
    <w:p w:rsidR="00466EC7" w:rsidRPr="0019003E" w:rsidRDefault="00466EC7" w:rsidP="00466EC7">
      <w:pPr>
        <w:pStyle w:val="ListParagraph"/>
        <w:numPr>
          <w:ilvl w:val="0"/>
          <w:numId w:val="8"/>
        </w:numPr>
        <w:spacing w:after="160" w:line="276" w:lineRule="auto"/>
        <w:jc w:val="both"/>
      </w:pPr>
      <w:r w:rsidRPr="0019003E">
        <w:t>Establish linkage of the trainees/graduates with the financial institutions /cooperatives and industries;</w:t>
      </w:r>
    </w:p>
    <w:p w:rsidR="00466EC7" w:rsidRPr="0019003E" w:rsidRDefault="00466EC7" w:rsidP="00466EC7">
      <w:pPr>
        <w:pStyle w:val="ListParagraph"/>
        <w:numPr>
          <w:ilvl w:val="0"/>
          <w:numId w:val="8"/>
        </w:numPr>
        <w:spacing w:after="160" w:line="276" w:lineRule="auto"/>
        <w:jc w:val="both"/>
      </w:pPr>
      <w:r w:rsidRPr="0019003E">
        <w:t>Manage skill test level 1 of the trainees;</w:t>
      </w:r>
    </w:p>
    <w:p w:rsidR="00466EC7" w:rsidRPr="0019003E" w:rsidRDefault="00466EC7" w:rsidP="00466EC7">
      <w:pPr>
        <w:pStyle w:val="ListParagraph"/>
        <w:numPr>
          <w:ilvl w:val="0"/>
          <w:numId w:val="8"/>
        </w:numPr>
        <w:spacing w:after="160" w:line="276" w:lineRule="auto"/>
        <w:jc w:val="both"/>
      </w:pPr>
      <w:r w:rsidRPr="0019003E">
        <w:t>Manage employment of the graduates in self and wage employment in trained areas</w:t>
      </w:r>
    </w:p>
    <w:p w:rsidR="00466EC7" w:rsidRDefault="00466EC7" w:rsidP="00466EC7">
      <w:pPr>
        <w:pStyle w:val="ListParagraph"/>
        <w:spacing w:line="276" w:lineRule="auto"/>
        <w:ind w:left="0"/>
        <w:jc w:val="both"/>
      </w:pPr>
      <w:r w:rsidRPr="0019003E">
        <w:lastRenderedPageBreak/>
        <w:t>To achieve the objectives including Environmental, Social Health and Safety (ESHS) aspects the training approach is designed in the following three phases taking the quality and relevancy factors as a guiding principles.</w:t>
      </w:r>
    </w:p>
    <w:p w:rsidR="00631021" w:rsidRPr="00631021" w:rsidRDefault="00631021" w:rsidP="00631021">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466EC7" w:rsidRDefault="00466EC7" w:rsidP="00FD7379">
      <w:pPr>
        <w:pStyle w:val="ListParagraph"/>
        <w:spacing w:line="276" w:lineRule="auto"/>
        <w:ind w:left="0"/>
        <w:jc w:val="both"/>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w:t>
      </w:r>
      <w:r w:rsidRPr="00E64FE4">
        <w:rPr>
          <w:bCs/>
          <w:lang w:val="en-GB"/>
        </w:rPr>
        <w:lastRenderedPageBreak/>
        <w:t xml:space="preserve">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631021" w:rsidRPr="00773481" w:rsidRDefault="00631021" w:rsidP="00631021">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047840">
        <w:rPr>
          <w:b/>
          <w:bCs/>
          <w:i/>
          <w:iCs/>
          <w:highlight w:val="yellow"/>
        </w:rPr>
        <w:t>Annex -2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631021" w:rsidRPr="00631021" w:rsidRDefault="00631021" w:rsidP="00631021">
      <w:pPr>
        <w:pStyle w:val="ListParagraph"/>
        <w:spacing w:line="288" w:lineRule="auto"/>
        <w:rPr>
          <w:i/>
          <w:iCs/>
        </w:rPr>
      </w:pPr>
      <w:r w:rsidRPr="00631021">
        <w:rPr>
          <w:b/>
          <w:i/>
          <w:iCs/>
        </w:rPr>
        <w:t>Note: Sector-wise Problem Statement</w:t>
      </w:r>
      <w:r w:rsidRPr="00631021">
        <w:rPr>
          <w:b/>
          <w:bCs/>
          <w:i/>
          <w:iCs/>
        </w:rPr>
        <w:t xml:space="preserve"> has been described in details and placed in </w:t>
      </w:r>
      <w:r w:rsidRPr="00631021">
        <w:rPr>
          <w:b/>
          <w:bCs/>
          <w:i/>
          <w:iCs/>
          <w:highlight w:val="yellow"/>
        </w:rPr>
        <w:t>Annex-3</w:t>
      </w:r>
      <w:r w:rsidRPr="00631021">
        <w:rPr>
          <w:b/>
          <w:bCs/>
          <w:i/>
          <w:iCs/>
        </w:rPr>
        <w:t xml:space="preserve"> under “RMA Report”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357C9A">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357C9A">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F3090A" w:rsidRPr="00F3090A" w:rsidTr="00C207C4">
        <w:trPr>
          <w:trHeight w:val="315"/>
        </w:trPr>
        <w:tc>
          <w:tcPr>
            <w:tcW w:w="523"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1</w:t>
            </w:r>
          </w:p>
        </w:tc>
        <w:tc>
          <w:tcPr>
            <w:tcW w:w="3240"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Plumber</w:t>
            </w:r>
          </w:p>
        </w:tc>
        <w:tc>
          <w:tcPr>
            <w:tcW w:w="990"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proofErr w:type="spellStart"/>
            <w:r w:rsidRPr="00F3090A">
              <w:rPr>
                <w:color w:val="000000"/>
                <w:lang w:bidi="ne-NP"/>
              </w:rPr>
              <w:t>Mugu</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200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220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250</w:t>
            </w:r>
          </w:p>
        </w:tc>
      </w:tr>
      <w:tr w:rsidR="00F3090A" w:rsidRPr="00F3090A" w:rsidTr="00C207C4">
        <w:trPr>
          <w:trHeight w:val="315"/>
        </w:trPr>
        <w:tc>
          <w:tcPr>
            <w:tcW w:w="523" w:type="dxa"/>
            <w:vMerge/>
            <w:tcBorders>
              <w:left w:val="single" w:sz="4" w:space="0" w:color="auto"/>
              <w:right w:val="single" w:sz="4" w:space="0" w:color="auto"/>
            </w:tcBorders>
            <w:vAlign w:val="center"/>
          </w:tcPr>
          <w:p w:rsidR="00F3090A" w:rsidRPr="00F3090A" w:rsidRDefault="00F3090A" w:rsidP="00F3090A">
            <w:pPr>
              <w:rPr>
                <w:color w:val="000000"/>
                <w:lang w:bidi="ne-NP"/>
              </w:rPr>
            </w:pPr>
          </w:p>
        </w:tc>
        <w:tc>
          <w:tcPr>
            <w:tcW w:w="3240" w:type="dxa"/>
            <w:vMerge/>
            <w:tcBorders>
              <w:left w:val="single" w:sz="4" w:space="0" w:color="auto"/>
              <w:right w:val="single" w:sz="4" w:space="0" w:color="auto"/>
            </w:tcBorders>
            <w:vAlign w:val="center"/>
          </w:tcPr>
          <w:p w:rsidR="00F3090A" w:rsidRPr="00F3090A" w:rsidRDefault="00F3090A" w:rsidP="00F3090A">
            <w:pPr>
              <w:rPr>
                <w:color w:val="000000"/>
                <w:lang w:bidi="ne-NP"/>
              </w:rPr>
            </w:pPr>
          </w:p>
        </w:tc>
        <w:tc>
          <w:tcPr>
            <w:tcW w:w="990" w:type="dxa"/>
            <w:vMerge/>
            <w:tcBorders>
              <w:left w:val="single" w:sz="4" w:space="0" w:color="auto"/>
              <w:right w:val="single" w:sz="4" w:space="0" w:color="auto"/>
            </w:tcBorders>
            <w:vAlign w:val="center"/>
          </w:tcPr>
          <w:p w:rsidR="00F3090A" w:rsidRPr="00F3090A" w:rsidRDefault="00F3090A" w:rsidP="00F3090A">
            <w:pPr>
              <w:rPr>
                <w:color w:val="000000"/>
                <w:lang w:bidi="ne-NP"/>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80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100</w:t>
            </w:r>
          </w:p>
        </w:tc>
      </w:tr>
      <w:tr w:rsidR="00F3090A" w:rsidRPr="00F3090A" w:rsidTr="00C207C4">
        <w:trPr>
          <w:trHeight w:val="315"/>
        </w:trPr>
        <w:tc>
          <w:tcPr>
            <w:tcW w:w="523" w:type="dxa"/>
            <w:vMerge/>
            <w:tcBorders>
              <w:left w:val="single" w:sz="4" w:space="0" w:color="auto"/>
              <w:bottom w:val="single" w:sz="4" w:space="0" w:color="auto"/>
              <w:right w:val="single" w:sz="4" w:space="0" w:color="auto"/>
            </w:tcBorders>
            <w:vAlign w:val="center"/>
          </w:tcPr>
          <w:p w:rsidR="00F3090A" w:rsidRPr="00F3090A" w:rsidRDefault="00F3090A" w:rsidP="00F3090A">
            <w:pPr>
              <w:rPr>
                <w:color w:val="000000"/>
                <w:lang w:bidi="ne-NP"/>
              </w:rPr>
            </w:pPr>
          </w:p>
        </w:tc>
        <w:tc>
          <w:tcPr>
            <w:tcW w:w="3240" w:type="dxa"/>
            <w:vMerge/>
            <w:tcBorders>
              <w:left w:val="single" w:sz="4" w:space="0" w:color="auto"/>
              <w:bottom w:val="single" w:sz="4" w:space="0" w:color="auto"/>
              <w:right w:val="single" w:sz="4" w:space="0" w:color="auto"/>
            </w:tcBorders>
            <w:vAlign w:val="center"/>
          </w:tcPr>
          <w:p w:rsidR="00F3090A" w:rsidRPr="00F3090A" w:rsidRDefault="00F3090A" w:rsidP="00F3090A">
            <w:pPr>
              <w:rPr>
                <w:color w:val="000000"/>
                <w:lang w:bidi="ne-NP"/>
              </w:rPr>
            </w:pPr>
          </w:p>
        </w:tc>
        <w:tc>
          <w:tcPr>
            <w:tcW w:w="990" w:type="dxa"/>
            <w:vMerge/>
            <w:tcBorders>
              <w:left w:val="single" w:sz="4" w:space="0" w:color="auto"/>
              <w:bottom w:val="single" w:sz="4" w:space="0" w:color="auto"/>
              <w:right w:val="single" w:sz="4" w:space="0" w:color="auto"/>
            </w:tcBorders>
            <w:vAlign w:val="center"/>
          </w:tcPr>
          <w:p w:rsidR="00F3090A" w:rsidRPr="00F3090A" w:rsidRDefault="00F3090A" w:rsidP="00F3090A">
            <w:pPr>
              <w:rPr>
                <w:b/>
                <w:bCs/>
                <w:color w:val="000000"/>
                <w:lang w:bidi="ne-NP"/>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b/>
                <w:bCs/>
                <w:color w:val="000000"/>
                <w:lang w:bidi="ne-NP"/>
              </w:rPr>
            </w:pPr>
            <w:r w:rsidRPr="00F3090A">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125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150</w:t>
            </w:r>
          </w:p>
        </w:tc>
      </w:tr>
      <w:tr w:rsidR="00F3090A" w:rsidRPr="00F3090A" w:rsidTr="003F21B3">
        <w:trPr>
          <w:trHeight w:val="315"/>
        </w:trPr>
        <w:tc>
          <w:tcPr>
            <w:tcW w:w="523"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Pr>
                <w:color w:val="000000"/>
                <w:lang w:bidi="ne-NP"/>
              </w:rPr>
              <w:t>2</w:t>
            </w:r>
            <w:bookmarkStart w:id="1" w:name="_GoBack"/>
            <w:bookmarkEnd w:id="1"/>
          </w:p>
        </w:tc>
        <w:tc>
          <w:tcPr>
            <w:tcW w:w="3240"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Mason</w:t>
            </w:r>
          </w:p>
        </w:tc>
        <w:tc>
          <w:tcPr>
            <w:tcW w:w="990" w:type="dxa"/>
            <w:vMerge w:val="restart"/>
            <w:tcBorders>
              <w:top w:val="single" w:sz="4" w:space="0" w:color="auto"/>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proofErr w:type="spellStart"/>
            <w:r w:rsidRPr="00F3090A">
              <w:rPr>
                <w:color w:val="000000"/>
                <w:lang w:bidi="ne-NP"/>
              </w:rPr>
              <w:t>Jumla</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185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180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200</w:t>
            </w:r>
          </w:p>
        </w:tc>
      </w:tr>
      <w:tr w:rsidR="00F3090A" w:rsidRPr="00F3090A" w:rsidTr="003F21B3">
        <w:trPr>
          <w:trHeight w:val="315"/>
        </w:trPr>
        <w:tc>
          <w:tcPr>
            <w:tcW w:w="523" w:type="dxa"/>
            <w:vMerge/>
            <w:tcBorders>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p>
        </w:tc>
        <w:tc>
          <w:tcPr>
            <w:tcW w:w="3240" w:type="dxa"/>
            <w:vMerge/>
            <w:tcBorders>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p>
        </w:tc>
        <w:tc>
          <w:tcPr>
            <w:tcW w:w="990" w:type="dxa"/>
            <w:vMerge/>
            <w:tcBorders>
              <w:left w:val="single" w:sz="4" w:space="0" w:color="auto"/>
              <w:right w:val="single" w:sz="4" w:space="0" w:color="auto"/>
            </w:tcBorders>
            <w:shd w:val="clear" w:color="auto" w:fill="auto"/>
            <w:vAlign w:val="center"/>
          </w:tcPr>
          <w:p w:rsidR="00F3090A" w:rsidRPr="00F3090A" w:rsidRDefault="00F3090A" w:rsidP="00F3090A">
            <w:pPr>
              <w:rPr>
                <w:color w:val="000000"/>
                <w:lang w:bidi="ne-NP"/>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r w:rsidRPr="00F3090A">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80</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color w:val="000000"/>
                <w:lang w:bidi="ne-NP"/>
              </w:rPr>
            </w:pPr>
            <w:r w:rsidRPr="00F3090A">
              <w:rPr>
                <w:color w:val="000000"/>
                <w:lang w:bidi="ne-NP"/>
              </w:rPr>
              <w:t>80</w:t>
            </w:r>
          </w:p>
        </w:tc>
      </w:tr>
      <w:tr w:rsidR="00F3090A" w:rsidRPr="00F3090A" w:rsidTr="003F21B3">
        <w:trPr>
          <w:trHeight w:val="315"/>
        </w:trPr>
        <w:tc>
          <w:tcPr>
            <w:tcW w:w="523" w:type="dxa"/>
            <w:vMerge/>
            <w:tcBorders>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color w:val="000000"/>
                <w:lang w:bidi="ne-NP"/>
              </w:rPr>
            </w:pPr>
          </w:p>
        </w:tc>
        <w:tc>
          <w:tcPr>
            <w:tcW w:w="990" w:type="dxa"/>
            <w:vMerge/>
            <w:tcBorders>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b/>
                <w:bCs/>
                <w:color w:val="000000"/>
                <w:lang w:bidi="ne-NP"/>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3090A" w:rsidRPr="00F3090A" w:rsidRDefault="00F3090A" w:rsidP="00F3090A">
            <w:pPr>
              <w:rPr>
                <w:b/>
                <w:bCs/>
                <w:color w:val="000000"/>
                <w:lang w:bidi="ne-NP"/>
              </w:rPr>
            </w:pPr>
            <w:r w:rsidRPr="00F3090A">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105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85</w:t>
            </w:r>
          </w:p>
        </w:tc>
        <w:tc>
          <w:tcPr>
            <w:tcW w:w="1003" w:type="dxa"/>
            <w:tcBorders>
              <w:top w:val="nil"/>
              <w:left w:val="nil"/>
              <w:bottom w:val="single" w:sz="4" w:space="0" w:color="auto"/>
              <w:right w:val="single" w:sz="4" w:space="0" w:color="auto"/>
            </w:tcBorders>
            <w:shd w:val="clear" w:color="auto" w:fill="auto"/>
            <w:noWrap/>
            <w:vAlign w:val="center"/>
          </w:tcPr>
          <w:p w:rsidR="00F3090A" w:rsidRPr="00F3090A" w:rsidRDefault="00F3090A" w:rsidP="00F3090A">
            <w:pPr>
              <w:jc w:val="center"/>
              <w:rPr>
                <w:b/>
                <w:bCs/>
                <w:color w:val="000000"/>
                <w:lang w:bidi="ne-NP"/>
              </w:rPr>
            </w:pPr>
            <w:r w:rsidRPr="00F3090A">
              <w:rPr>
                <w:b/>
                <w:bCs/>
                <w:color w:val="000000"/>
                <w:lang w:bidi="ne-NP"/>
              </w:rPr>
              <w:t>120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097"/>
        <w:gridCol w:w="1123"/>
        <w:gridCol w:w="989"/>
        <w:gridCol w:w="2203"/>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2</w:t>
            </w:r>
          </w:p>
        </w:tc>
        <w:tc>
          <w:tcPr>
            <w:tcW w:w="0" w:type="auto"/>
          </w:tcPr>
          <w:p w:rsidR="006A3CE3" w:rsidRPr="006E573F" w:rsidRDefault="00536295" w:rsidP="00683F7B">
            <w:pPr>
              <w:spacing w:line="288" w:lineRule="auto"/>
              <w:rPr>
                <w:bCs/>
              </w:rPr>
            </w:pPr>
            <w:r>
              <w:rPr>
                <w:bCs/>
              </w:rPr>
              <w:t>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8A4966" w:rsidP="00683F7B">
            <w:pPr>
              <w:spacing w:line="288" w:lineRule="auto"/>
              <w:rPr>
                <w:bCs/>
              </w:rPr>
            </w:pPr>
            <w:r>
              <w:rPr>
                <w:bCs/>
              </w:rPr>
              <w:t>2</w:t>
            </w:r>
            <w:r w:rsidR="00536295">
              <w:rPr>
                <w:bCs/>
              </w:rPr>
              <w:t>0</w:t>
            </w:r>
          </w:p>
        </w:tc>
      </w:tr>
      <w:tr w:rsidR="00536295" w:rsidRPr="006E573F" w:rsidTr="006A3CE3">
        <w:tc>
          <w:tcPr>
            <w:tcW w:w="0" w:type="auto"/>
            <w:shd w:val="clear" w:color="auto" w:fill="auto"/>
          </w:tcPr>
          <w:p w:rsidR="00536295" w:rsidRDefault="00536295" w:rsidP="00683F7B">
            <w:pPr>
              <w:spacing w:line="288" w:lineRule="auto"/>
              <w:rPr>
                <w:bCs/>
              </w:rPr>
            </w:pPr>
            <w:r>
              <w:rPr>
                <w:bCs/>
              </w:rPr>
              <w:t>7</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Mugu</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D650FB">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8A4966" w:rsidP="00536295">
            <w:pPr>
              <w:spacing w:line="288" w:lineRule="auto"/>
              <w:rPr>
                <w:b/>
              </w:rPr>
            </w:pPr>
            <w:r>
              <w:rPr>
                <w:b/>
              </w:rPr>
              <w:t>40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120"/>
        <w:gridCol w:w="1068"/>
        <w:gridCol w:w="1137"/>
        <w:gridCol w:w="868"/>
      </w:tblGrid>
      <w:tr w:rsidR="006A3CE3" w:rsidRPr="006E573F" w:rsidTr="00F5446D">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lastRenderedPageBreak/>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599"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571"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F5446D">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F5446D" w:rsidP="00DB6416">
            <w:pPr>
              <w:spacing w:line="288" w:lineRule="auto"/>
              <w:jc w:val="center"/>
              <w:rPr>
                <w:bCs/>
              </w:rPr>
            </w:pPr>
            <w:r>
              <w:rPr>
                <w:bCs/>
              </w:rPr>
              <w:t>5</w:t>
            </w:r>
          </w:p>
        </w:tc>
        <w:tc>
          <w:tcPr>
            <w:tcW w:w="561" w:type="pct"/>
          </w:tcPr>
          <w:p w:rsidR="00DB6416" w:rsidRPr="0039165E" w:rsidRDefault="00F5446D" w:rsidP="00DB6416">
            <w:pPr>
              <w:spacing w:line="288" w:lineRule="auto"/>
              <w:jc w:val="center"/>
              <w:rPr>
                <w:bCs/>
              </w:rPr>
            </w:pPr>
            <w:r>
              <w:rPr>
                <w:bCs/>
              </w:rPr>
              <w:t>10</w:t>
            </w:r>
          </w:p>
        </w:tc>
        <w:tc>
          <w:tcPr>
            <w:tcW w:w="794" w:type="pct"/>
            <w:shd w:val="clear" w:color="auto" w:fill="auto"/>
            <w:vAlign w:val="center"/>
          </w:tcPr>
          <w:p w:rsidR="00DB6416" w:rsidRPr="0039165E" w:rsidRDefault="00F5446D" w:rsidP="00DB6416">
            <w:pPr>
              <w:spacing w:line="288" w:lineRule="auto"/>
              <w:jc w:val="center"/>
              <w:rPr>
                <w:bCs/>
              </w:rPr>
            </w:pPr>
            <w:r>
              <w:rPr>
                <w:bCs/>
              </w:rPr>
              <w:t>10</w:t>
            </w:r>
          </w:p>
        </w:tc>
        <w:tc>
          <w:tcPr>
            <w:tcW w:w="599" w:type="pct"/>
            <w:shd w:val="clear" w:color="auto" w:fill="auto"/>
            <w:vAlign w:val="center"/>
          </w:tcPr>
          <w:p w:rsidR="00DB6416" w:rsidRPr="0039165E" w:rsidRDefault="00F5446D" w:rsidP="00DB6416">
            <w:pPr>
              <w:spacing w:line="288" w:lineRule="auto"/>
              <w:jc w:val="center"/>
              <w:rPr>
                <w:bCs/>
              </w:rPr>
            </w:pPr>
            <w:r>
              <w:rPr>
                <w:bCs/>
              </w:rPr>
              <w:t>5</w:t>
            </w:r>
          </w:p>
        </w:tc>
        <w:tc>
          <w:tcPr>
            <w:tcW w:w="571" w:type="pct"/>
          </w:tcPr>
          <w:p w:rsidR="00DB6416" w:rsidRPr="0039165E" w:rsidRDefault="00F5446D" w:rsidP="00DB6416">
            <w:pPr>
              <w:spacing w:line="288" w:lineRule="auto"/>
              <w:jc w:val="center"/>
              <w:rPr>
                <w:bCs/>
              </w:rPr>
            </w:pPr>
            <w:r>
              <w:rPr>
                <w:bCs/>
              </w:rPr>
              <w:t>10</w:t>
            </w:r>
          </w:p>
        </w:tc>
        <w:tc>
          <w:tcPr>
            <w:tcW w:w="608" w:type="pct"/>
            <w:shd w:val="clear" w:color="auto" w:fill="auto"/>
            <w:vAlign w:val="center"/>
          </w:tcPr>
          <w:p w:rsidR="00DB6416" w:rsidRPr="0039165E" w:rsidRDefault="00F5446D" w:rsidP="00F5446D">
            <w:pPr>
              <w:spacing w:line="288" w:lineRule="auto"/>
              <w:jc w:val="center"/>
              <w:rPr>
                <w:bCs/>
              </w:rPr>
            </w:pPr>
            <w:r>
              <w:rPr>
                <w:bCs/>
              </w:rPr>
              <w:t>-</w:t>
            </w:r>
          </w:p>
        </w:tc>
        <w:tc>
          <w:tcPr>
            <w:tcW w:w="464" w:type="pct"/>
          </w:tcPr>
          <w:p w:rsidR="00DB6416" w:rsidRPr="0039165E" w:rsidRDefault="00F5446D" w:rsidP="00DB6416">
            <w:pPr>
              <w:spacing w:line="288" w:lineRule="auto"/>
              <w:jc w:val="center"/>
              <w:rPr>
                <w:bCs/>
              </w:rPr>
            </w:pPr>
            <w:r>
              <w:rPr>
                <w:bCs/>
              </w:rPr>
              <w:t>40</w:t>
            </w:r>
          </w:p>
        </w:tc>
      </w:tr>
      <w:tr w:rsidR="00DB6416" w:rsidRPr="006E573F" w:rsidTr="00F5446D">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599" w:type="pct"/>
          </w:tcPr>
          <w:p w:rsidR="00DB6416" w:rsidRPr="0039165E" w:rsidRDefault="00DB6416" w:rsidP="00DB6416">
            <w:pPr>
              <w:spacing w:line="288" w:lineRule="auto"/>
              <w:jc w:val="center"/>
              <w:rPr>
                <w:bCs/>
              </w:rPr>
            </w:pPr>
            <w:r>
              <w:rPr>
                <w:bCs/>
              </w:rPr>
              <w:t>15%</w:t>
            </w:r>
          </w:p>
        </w:tc>
        <w:tc>
          <w:tcPr>
            <w:tcW w:w="571"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F5446D" w:rsidP="00F5446D">
            <w:pPr>
              <w:spacing w:line="288" w:lineRule="auto"/>
              <w:jc w:val="center"/>
              <w:rPr>
                <w:bCs/>
              </w:rPr>
            </w:pPr>
            <w:r>
              <w:rPr>
                <w:bCs/>
              </w:rPr>
              <w:t>-</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F5446D">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F5446D" w:rsidP="00DB6416">
            <w:pPr>
              <w:spacing w:line="288" w:lineRule="auto"/>
              <w:rPr>
                <w:rFonts w:ascii="Arial" w:hAnsi="Arial" w:cs="Arial"/>
                <w:bCs/>
              </w:rPr>
            </w:pPr>
            <w:r>
              <w:rPr>
                <w:rFonts w:ascii="Arial" w:hAnsi="Arial" w:cs="Arial"/>
                <w:bCs/>
              </w:rPr>
              <w:t>11000-25</w:t>
            </w:r>
            <w:r w:rsidR="00DB6416">
              <w:rPr>
                <w:rFonts w:ascii="Arial" w:hAnsi="Arial" w:cs="Arial"/>
                <w:bCs/>
              </w:rPr>
              <w:t>000</w:t>
            </w:r>
          </w:p>
        </w:tc>
        <w:tc>
          <w:tcPr>
            <w:tcW w:w="561" w:type="pct"/>
          </w:tcPr>
          <w:p w:rsidR="00DB6416" w:rsidRDefault="00F5446D" w:rsidP="00DB6416">
            <w:r>
              <w:rPr>
                <w:rFonts w:ascii="Arial" w:hAnsi="Arial" w:cs="Arial"/>
                <w:bCs/>
              </w:rPr>
              <w:t>11000</w:t>
            </w:r>
            <w:r w:rsidR="00DB6416" w:rsidRPr="00F73588">
              <w:rPr>
                <w:rFonts w:ascii="Arial" w:hAnsi="Arial" w:cs="Arial"/>
                <w:bCs/>
              </w:rPr>
              <w:t>-18000</w:t>
            </w:r>
          </w:p>
        </w:tc>
        <w:tc>
          <w:tcPr>
            <w:tcW w:w="794"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20</w:t>
            </w:r>
            <w:r w:rsidR="00DB6416" w:rsidRPr="00F73588">
              <w:rPr>
                <w:rFonts w:ascii="Arial" w:hAnsi="Arial" w:cs="Arial"/>
                <w:bCs/>
              </w:rPr>
              <w:t>000</w:t>
            </w:r>
          </w:p>
        </w:tc>
        <w:tc>
          <w:tcPr>
            <w:tcW w:w="599"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25</w:t>
            </w:r>
            <w:r w:rsidR="00DB6416" w:rsidRPr="00F73588">
              <w:rPr>
                <w:rFonts w:ascii="Arial" w:hAnsi="Arial" w:cs="Arial"/>
                <w:bCs/>
              </w:rPr>
              <w:t>000</w:t>
            </w:r>
          </w:p>
        </w:tc>
        <w:tc>
          <w:tcPr>
            <w:tcW w:w="571" w:type="pct"/>
          </w:tcPr>
          <w:p w:rsidR="00DB6416" w:rsidRDefault="00F5446D" w:rsidP="00F5446D">
            <w:r>
              <w:rPr>
                <w:rFonts w:ascii="Arial" w:hAnsi="Arial" w:cs="Arial"/>
                <w:bCs/>
              </w:rPr>
              <w:t>11000-20</w:t>
            </w:r>
            <w:r w:rsidR="00DB6416" w:rsidRPr="00F73588">
              <w:rPr>
                <w:rFonts w:ascii="Arial" w:hAnsi="Arial" w:cs="Arial"/>
                <w:bCs/>
              </w:rPr>
              <w:t>000</w:t>
            </w:r>
          </w:p>
        </w:tc>
        <w:tc>
          <w:tcPr>
            <w:tcW w:w="608" w:type="pct"/>
          </w:tcPr>
          <w:p w:rsidR="00DB6416" w:rsidRPr="0039165E" w:rsidRDefault="00F5446D" w:rsidP="00F5446D">
            <w:pPr>
              <w:spacing w:line="288" w:lineRule="auto"/>
              <w:jc w:val="center"/>
              <w:rPr>
                <w:bCs/>
              </w:rPr>
            </w:pPr>
            <w:r>
              <w:rPr>
                <w:bCs/>
              </w:rPr>
              <w:t>-</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734396" w:rsidP="00734396">
      <w:pPr>
        <w:spacing w:line="288" w:lineRule="auto"/>
        <w:jc w:val="center"/>
        <w:rPr>
          <w:b/>
        </w:rPr>
      </w:pPr>
      <w:r>
        <w:rPr>
          <w:b/>
        </w:rPr>
        <w:t>Note: Potential Employer List attached in Annex-3 under RMA Report</w:t>
      </w: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F5446D" w:rsidP="00683F7B">
            <w:pPr>
              <w:spacing w:line="288" w:lineRule="auto"/>
            </w:pPr>
            <w:r>
              <w:t>40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F5446D" w:rsidP="00683F7B">
            <w:pPr>
              <w:spacing w:line="288" w:lineRule="auto"/>
            </w:pPr>
            <w:r>
              <w:t>30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F5446D" w:rsidP="00683F7B">
            <w:pPr>
              <w:spacing w:line="288" w:lineRule="auto"/>
            </w:pPr>
            <w:r>
              <w:t>40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F5446D" w:rsidP="00683F7B">
            <w:pPr>
              <w:spacing w:line="288" w:lineRule="auto"/>
            </w:pPr>
            <w:r>
              <w:t>20</w:t>
            </w:r>
          </w:p>
        </w:tc>
        <w:tc>
          <w:tcPr>
            <w:tcW w:w="0" w:type="auto"/>
          </w:tcPr>
          <w:p w:rsidR="006A3CE3" w:rsidRPr="006E573F" w:rsidRDefault="00DD6EB0" w:rsidP="00683F7B">
            <w:pPr>
              <w:spacing w:line="288" w:lineRule="auto"/>
            </w:pPr>
            <w:proofErr w:type="spellStart"/>
            <w:r>
              <w:rPr>
                <w:highlight w:val="yellow"/>
              </w:rPr>
              <w:t>Bherir</w:t>
            </w:r>
            <w:r w:rsidR="006A3CE3" w:rsidRPr="00AC0015">
              <w:rPr>
                <w:highlight w:val="yellow"/>
              </w:rPr>
              <w:t>apti</w:t>
            </w:r>
            <w:proofErr w:type="spellEnd"/>
            <w:r w:rsidR="006A3CE3" w:rsidRPr="00AC0015">
              <w:rPr>
                <w:highlight w:val="yellow"/>
              </w:rPr>
              <w:t xml:space="preserve"> </w:t>
            </w:r>
            <w:proofErr w:type="spellStart"/>
            <w:r w:rsidR="006A3CE3" w:rsidRPr="00AC0015">
              <w:rPr>
                <w:highlight w:val="yellow"/>
              </w:rPr>
              <w:t>Prabidhik</w:t>
            </w:r>
            <w:proofErr w:type="spellEnd"/>
            <w:r w:rsidR="006A3CE3" w:rsidRPr="00AC0015">
              <w:rPr>
                <w:highlight w:val="yellow"/>
              </w:rPr>
              <w:t xml:space="preserve"> </w:t>
            </w:r>
            <w:proofErr w:type="spellStart"/>
            <w:r w:rsidR="006A3CE3" w:rsidRPr="00AC0015">
              <w:rPr>
                <w:highlight w:val="yellow"/>
              </w:rPr>
              <w:t>Sikshyalaya</w:t>
            </w:r>
            <w:proofErr w:type="spellEnd"/>
            <w:r w:rsidR="006A3CE3">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9C4885" w:rsidP="00C55D00">
            <w:pPr>
              <w:spacing w:line="288" w:lineRule="auto"/>
            </w:pPr>
            <w:r>
              <w:t>40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DD6EB0">
        <w:rPr>
          <w:bCs/>
          <w:iCs/>
          <w:szCs w:val="24"/>
          <w:highlight w:val="yellow"/>
        </w:rPr>
        <w:t>Bherir</w:t>
      </w:r>
      <w:r w:rsidR="006A3CE3" w:rsidRPr="003448C1">
        <w:rPr>
          <w:bCs/>
          <w:iCs/>
          <w:szCs w:val="24"/>
          <w:highlight w:val="yellow"/>
        </w:rPr>
        <w:t>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lastRenderedPageBreak/>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DD6EB0">
        <w:t xml:space="preserve"> </w:t>
      </w:r>
      <w:proofErr w:type="spellStart"/>
      <w:r w:rsidR="00DD6EB0">
        <w:t>Suman</w:t>
      </w:r>
      <w:proofErr w:type="spellEnd"/>
      <w:r w:rsidR="00DD6EB0">
        <w:t xml:space="preserve"> </w:t>
      </w:r>
      <w:proofErr w:type="spellStart"/>
      <w:r w:rsidR="00DD6EB0">
        <w:t>Nath</w:t>
      </w:r>
      <w:proofErr w:type="spellEnd"/>
      <w:r w:rsidR="00DD6EB0">
        <w:t xml:space="preserve"> Yogi</w:t>
      </w:r>
    </w:p>
    <w:p w:rsidR="006A3CE3" w:rsidRPr="006E573F" w:rsidRDefault="006A3CE3" w:rsidP="006A3CE3">
      <w:pPr>
        <w:tabs>
          <w:tab w:val="left" w:pos="4140"/>
        </w:tabs>
      </w:pPr>
      <w:r w:rsidRPr="006E573F">
        <w:tab/>
        <w:t xml:space="preserve">      Designation:</w:t>
      </w:r>
      <w:r w:rsidR="00DD6EB0">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DD6EB0" w:rsidRPr="00DD6EB0">
        <w:t xml:space="preserve"> </w:t>
      </w:r>
      <w:r w:rsidR="00DD6EB0">
        <w:t>21</w:t>
      </w:r>
      <w:r w:rsidR="00DD6EB0" w:rsidRPr="003044F7">
        <w:rPr>
          <w:vertAlign w:val="superscript"/>
        </w:rPr>
        <w:t>st</w:t>
      </w:r>
      <w:r w:rsidR="00DD6EB0">
        <w:t xml:space="preserve"> Jan 2021</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10151F"/>
    <w:rsid w:val="00170938"/>
    <w:rsid w:val="00287DC8"/>
    <w:rsid w:val="00357C9A"/>
    <w:rsid w:val="003E4390"/>
    <w:rsid w:val="00466EC7"/>
    <w:rsid w:val="00536295"/>
    <w:rsid w:val="005F564A"/>
    <w:rsid w:val="00631021"/>
    <w:rsid w:val="006A3CE3"/>
    <w:rsid w:val="0070363E"/>
    <w:rsid w:val="00734396"/>
    <w:rsid w:val="00762225"/>
    <w:rsid w:val="00773481"/>
    <w:rsid w:val="00820D36"/>
    <w:rsid w:val="008276E8"/>
    <w:rsid w:val="008A4966"/>
    <w:rsid w:val="009C4885"/>
    <w:rsid w:val="00A059F7"/>
    <w:rsid w:val="00A90957"/>
    <w:rsid w:val="00A94F00"/>
    <w:rsid w:val="00C55D00"/>
    <w:rsid w:val="00D055A4"/>
    <w:rsid w:val="00D9694E"/>
    <w:rsid w:val="00DA7432"/>
    <w:rsid w:val="00DB6416"/>
    <w:rsid w:val="00DD6EB0"/>
    <w:rsid w:val="00E10297"/>
    <w:rsid w:val="00E440E8"/>
    <w:rsid w:val="00E64FE4"/>
    <w:rsid w:val="00EA41C1"/>
    <w:rsid w:val="00EE4E38"/>
    <w:rsid w:val="00F11A3F"/>
    <w:rsid w:val="00F3090A"/>
    <w:rsid w:val="00F5446D"/>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 w:id="717165730">
      <w:bodyDiv w:val="1"/>
      <w:marLeft w:val="0"/>
      <w:marRight w:val="0"/>
      <w:marTop w:val="0"/>
      <w:marBottom w:val="0"/>
      <w:divBdr>
        <w:top w:val="none" w:sz="0" w:space="0" w:color="auto"/>
        <w:left w:val="none" w:sz="0" w:space="0" w:color="auto"/>
        <w:bottom w:val="none" w:sz="0" w:space="0" w:color="auto"/>
        <w:right w:val="none" w:sz="0" w:space="0" w:color="auto"/>
      </w:divBdr>
    </w:div>
    <w:div w:id="953290765">
      <w:bodyDiv w:val="1"/>
      <w:marLeft w:val="0"/>
      <w:marRight w:val="0"/>
      <w:marTop w:val="0"/>
      <w:marBottom w:val="0"/>
      <w:divBdr>
        <w:top w:val="none" w:sz="0" w:space="0" w:color="auto"/>
        <w:left w:val="none" w:sz="0" w:space="0" w:color="auto"/>
        <w:bottom w:val="none" w:sz="0" w:space="0" w:color="auto"/>
        <w:right w:val="none" w:sz="0" w:space="0" w:color="auto"/>
      </w:divBdr>
    </w:div>
    <w:div w:id="1398360988">
      <w:bodyDiv w:val="1"/>
      <w:marLeft w:val="0"/>
      <w:marRight w:val="0"/>
      <w:marTop w:val="0"/>
      <w:marBottom w:val="0"/>
      <w:divBdr>
        <w:top w:val="none" w:sz="0" w:space="0" w:color="auto"/>
        <w:left w:val="none" w:sz="0" w:space="0" w:color="auto"/>
        <w:bottom w:val="none" w:sz="0" w:space="0" w:color="auto"/>
        <w:right w:val="none" w:sz="0" w:space="0" w:color="auto"/>
      </w:divBdr>
    </w:div>
    <w:div w:id="190533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2021-01-28T05:03:00Z</dcterms:created>
  <dcterms:modified xsi:type="dcterms:W3CDTF">2021-02-07T12:48:00Z</dcterms:modified>
</cp:coreProperties>
</file>