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D8F" w:val="clear"/>
            <w:tcMar>
              <w:top w:type="dxa" w:w="480"/>
              <w:left w:type="dxa" w:w="480"/>
              <w:bottom w:type="dxa" w:w="480"/>
              <w:right w:type="dxa" w:w="480"/>
            </w:tcMar>
          </w:tcPr>
          <w:p>
            <w:pPr>
              <w:spacing w:after="80" w:before="0"/>
              <w:jc w:val="center"/>
            </w:pPr>
            <w:r>
              <w:rPr>
                <w:rFonts w:ascii="Arial" w:cs="Arial" w:eastAsia="Arial" w:hAnsi="Arial"/>
                <w:b/>
                <w:bCs/>
                <w:color w:val="FFC000"/>
                <w:sz w:val="32"/>
                <w:szCs w:val="32"/>
              </w:rPr>
              <w:t xml:space="preserve">WESTFIELD</w:t>
            </w:r>
          </w:p>
          <w:p>
            <w:pPr>
              <w:spacing w:after="160" w:before="0"/>
              <w:jc w:val="center"/>
            </w:pPr>
            <w:r>
              <w:rPr>
                <w:rFonts w:ascii="Arial" w:cs="Arial" w:eastAsia="Arial" w:hAnsi="Arial"/>
                <w:color w:val="D9E8F5"/>
                <w:sz w:val="28"/>
                <w:szCs w:val="28"/>
              </w:rPr>
              <w:t xml:space="preserve">CX INTELLIGENCE PLATFORM</w:t>
            </w:r>
          </w:p>
          <w:p>
            <w:pPr>
              <w:spacing w:after="80" w:before="0"/>
              <w:jc w:val="center"/>
            </w:pPr>
            <w:r>
              <w:rPr>
                <w:rFonts w:ascii="Arial" w:cs="Arial" w:eastAsia="Arial" w:hAnsi="Arial"/>
                <w:b/>
                <w:bCs/>
                <w:color w:val="FFFFFF"/>
                <w:sz w:val="52"/>
                <w:szCs w:val="52"/>
              </w:rPr>
              <w:t xml:space="preserve">Research &amp; Technical Report</w:t>
            </w:r>
          </w:p>
          <w:p>
            <w:pPr>
              <w:spacing w:after="240" w:before="80"/>
              <w:jc w:val="center"/>
            </w:pPr>
            <w:r>
              <w:rPr>
                <w:rFonts w:ascii="Arial" w:cs="Arial" w:eastAsia="Arial" w:hAnsi="Arial"/>
                <w:i/>
                <w:iCs/>
                <w:color w:val="B0CCE8"/>
                <w:sz w:val="26"/>
                <w:szCs w:val="26"/>
              </w:rPr>
              <w:t xml:space="preserve">A Four-Module Data Science Portfolio for Scentre Group</w:t>
            </w:r>
          </w:p>
          <w:p>
            <w:pPr>
              <w:spacing w:after="0" w:before="240"/>
              <w:jc w:val="center"/>
            </w:pPr>
            <w:r>
              <w:rPr>
                <w:rFonts w:ascii="Arial" w:cs="Arial" w:eastAsia="Arial" w:hAnsi="Arial"/>
                <w:color w:val="2E75B6"/>
                <w:sz w:val="20"/>
                <w:szCs w:val="20"/>
              </w:rPr>
              <w:t xml:space="preserve">____________________________________________________________</w:t>
            </w: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shd w:fill="D5E4F0" w:val="clear"/>
            <w:tcMar>
              <w:top w:type="dxa" w:w="60"/>
              <w:left w:type="dxa" w:w="160"/>
              <w:bottom w:type="dxa" w:w="60"/>
              <w:right w:type="dxa" w:w="120"/>
            </w:tcMar>
          </w:tcPr>
          <w:p>
            <w:pPr>
              <w:spacing w:after="0" w:before="0"/>
            </w:pPr>
            <w:r>
              <w:rPr>
                <w:rFonts w:ascii="Arial" w:cs="Arial" w:eastAsia="Arial" w:hAnsi="Arial"/>
                <w:b/>
                <w:bCs/>
                <w:color w:val="1A4D8F"/>
                <w:sz w:val="20"/>
                <w:szCs w:val="20"/>
              </w:rPr>
              <w:t xml:space="preserve">Prepared for</w:t>
            </w:r>
          </w:p>
        </w:tc>
        <w:tc>
          <w:tcPr>
            <w:tcW w:type="dxa" w:w="6226"/>
            <w:tcBorders>
              <w:top w:val="none" w:color="FFFFFF" w:sz="0"/>
              <w:left w:val="none" w:color="FFFFFF" w:sz="0"/>
              <w:bottom w:val="none" w:color="FFFFFF" w:sz="0"/>
              <w:right w:val="none" w:color="FFFFFF" w:sz="0"/>
            </w:tcBorders>
            <w:shd w:fill="FFFFFF" w:val="clear"/>
            <w:tcMar>
              <w:top w:type="dxa" w:w="60"/>
              <w:left w:type="dxa" w:w="160"/>
              <w:bottom w:type="dxa" w:w="60"/>
              <w:right w:type="dxa" w:w="120"/>
            </w:tcMar>
          </w:tcPr>
          <w:p>
            <w:pPr>
              <w:spacing w:after="0" w:before="0"/>
            </w:pPr>
            <w:r>
              <w:rPr>
                <w:rFonts w:ascii="Arial" w:cs="Arial" w:eastAsia="Arial" w:hAnsi="Arial"/>
                <w:color w:val="212121"/>
                <w:sz w:val="20"/>
                <w:szCs w:val="20"/>
              </w:rPr>
              <w:t xml:space="preserve">Scentre Group — Data &amp; Analytics Team</w:t>
            </w:r>
          </w:p>
        </w:tc>
      </w:tr>
      <w:tr>
        <w:tc>
          <w:tcPr>
            <w:tcW w:type="dxa" w:w="2800"/>
            <w:tcBorders>
              <w:top w:val="none" w:color="FFFFFF" w:sz="0"/>
              <w:left w:val="none" w:color="FFFFFF" w:sz="0"/>
              <w:bottom w:val="none" w:color="FFFFFF" w:sz="0"/>
              <w:right w:val="none" w:color="FFFFFF" w:sz="0"/>
            </w:tcBorders>
            <w:shd w:fill="D5E4F0" w:val="clear"/>
            <w:tcMar>
              <w:top w:type="dxa" w:w="60"/>
              <w:left w:type="dxa" w:w="160"/>
              <w:bottom w:type="dxa" w:w="60"/>
              <w:right w:type="dxa" w:w="120"/>
            </w:tcMar>
          </w:tcPr>
          <w:p>
            <w:pPr>
              <w:spacing w:after="0" w:before="0"/>
            </w:pPr>
            <w:r>
              <w:rPr>
                <w:rFonts w:ascii="Arial" w:cs="Arial" w:eastAsia="Arial" w:hAnsi="Arial"/>
                <w:b/>
                <w:bCs/>
                <w:color w:val="1A4D8F"/>
                <w:sz w:val="20"/>
                <w:szCs w:val="20"/>
              </w:rPr>
              <w:t xml:space="preserve">Audience</w:t>
            </w:r>
          </w:p>
        </w:tc>
        <w:tc>
          <w:tcPr>
            <w:tcW w:type="dxa" w:w="6226"/>
            <w:tcBorders>
              <w:top w:val="none" w:color="FFFFFF" w:sz="0"/>
              <w:left w:val="none" w:color="FFFFFF" w:sz="0"/>
              <w:bottom w:val="none" w:color="FFFFFF" w:sz="0"/>
              <w:right w:val="none" w:color="FFFFFF" w:sz="0"/>
            </w:tcBorders>
            <w:shd w:fill="F5F5F5" w:val="clear"/>
            <w:tcMar>
              <w:top w:type="dxa" w:w="60"/>
              <w:left w:type="dxa" w:w="160"/>
              <w:bottom w:type="dxa" w:w="60"/>
              <w:right w:type="dxa" w:w="120"/>
            </w:tcMar>
          </w:tcPr>
          <w:p>
            <w:pPr>
              <w:spacing w:after="0" w:before="0"/>
            </w:pPr>
            <w:r>
              <w:rPr>
                <w:rFonts w:ascii="Arial" w:cs="Arial" w:eastAsia="Arial" w:hAnsi="Arial"/>
                <w:color w:val="212121"/>
                <w:sz w:val="20"/>
                <w:szCs w:val="20"/>
              </w:rPr>
              <w:t xml:space="preserve">Hiring Manager, Data Team Lead, Senior Stakeholders</w:t>
            </w:r>
          </w:p>
        </w:tc>
      </w:tr>
      <w:tr>
        <w:tc>
          <w:tcPr>
            <w:tcW w:type="dxa" w:w="2800"/>
            <w:tcBorders>
              <w:top w:val="none" w:color="FFFFFF" w:sz="0"/>
              <w:left w:val="none" w:color="FFFFFF" w:sz="0"/>
              <w:bottom w:val="none" w:color="FFFFFF" w:sz="0"/>
              <w:right w:val="none" w:color="FFFFFF" w:sz="0"/>
            </w:tcBorders>
            <w:shd w:fill="D5E4F0" w:val="clear"/>
            <w:tcMar>
              <w:top w:type="dxa" w:w="60"/>
              <w:left w:type="dxa" w:w="160"/>
              <w:bottom w:type="dxa" w:w="60"/>
              <w:right w:type="dxa" w:w="120"/>
            </w:tcMar>
          </w:tcPr>
          <w:p>
            <w:pPr>
              <w:spacing w:after="0" w:before="0"/>
            </w:pPr>
            <w:r>
              <w:rPr>
                <w:rFonts w:ascii="Arial" w:cs="Arial" w:eastAsia="Arial" w:hAnsi="Arial"/>
                <w:b/>
                <w:bCs/>
                <w:color w:val="1A4D8F"/>
                <w:sz w:val="20"/>
                <w:szCs w:val="20"/>
              </w:rPr>
              <w:t xml:space="preserve">Date</w:t>
            </w:r>
          </w:p>
        </w:tc>
        <w:tc>
          <w:tcPr>
            <w:tcW w:type="dxa" w:w="6226"/>
            <w:tcBorders>
              <w:top w:val="none" w:color="FFFFFF" w:sz="0"/>
              <w:left w:val="none" w:color="FFFFFF" w:sz="0"/>
              <w:bottom w:val="none" w:color="FFFFFF" w:sz="0"/>
              <w:right w:val="none" w:color="FFFFFF" w:sz="0"/>
            </w:tcBorders>
            <w:shd w:fill="FFFFFF" w:val="clear"/>
            <w:tcMar>
              <w:top w:type="dxa" w:w="60"/>
              <w:left w:type="dxa" w:w="160"/>
              <w:bottom w:type="dxa" w:w="60"/>
              <w:right w:type="dxa" w:w="120"/>
            </w:tcMar>
          </w:tcPr>
          <w:p>
            <w:pPr>
              <w:spacing w:after="0" w:before="0"/>
            </w:pPr>
            <w:r>
              <w:rPr>
                <w:rFonts w:ascii="Arial" w:cs="Arial" w:eastAsia="Arial" w:hAnsi="Arial"/>
                <w:color w:val="212121"/>
                <w:sz w:val="20"/>
                <w:szCs w:val="20"/>
              </w:rPr>
              <w:t xml:space="preserve">March 2026</w:t>
            </w:r>
          </w:p>
        </w:tc>
      </w:tr>
      <w:tr>
        <w:tc>
          <w:tcPr>
            <w:tcW w:type="dxa" w:w="2800"/>
            <w:tcBorders>
              <w:top w:val="none" w:color="FFFFFF" w:sz="0"/>
              <w:left w:val="none" w:color="FFFFFF" w:sz="0"/>
              <w:bottom w:val="none" w:color="FFFFFF" w:sz="0"/>
              <w:right w:val="none" w:color="FFFFFF" w:sz="0"/>
            </w:tcBorders>
            <w:shd w:fill="D5E4F0" w:val="clear"/>
            <w:tcMar>
              <w:top w:type="dxa" w:w="60"/>
              <w:left w:type="dxa" w:w="160"/>
              <w:bottom w:type="dxa" w:w="60"/>
              <w:right w:type="dxa" w:w="120"/>
            </w:tcMar>
          </w:tcPr>
          <w:p>
            <w:pPr>
              <w:spacing w:after="0" w:before="0"/>
            </w:pPr>
            <w:r>
              <w:rPr>
                <w:rFonts w:ascii="Arial" w:cs="Arial" w:eastAsia="Arial" w:hAnsi="Arial"/>
                <w:b/>
                <w:bCs/>
                <w:color w:val="1A4D8F"/>
                <w:sz w:val="20"/>
                <w:szCs w:val="20"/>
              </w:rPr>
              <w:t xml:space="preserve">Version</w:t>
            </w:r>
          </w:p>
        </w:tc>
        <w:tc>
          <w:tcPr>
            <w:tcW w:type="dxa" w:w="6226"/>
            <w:tcBorders>
              <w:top w:val="none" w:color="FFFFFF" w:sz="0"/>
              <w:left w:val="none" w:color="FFFFFF" w:sz="0"/>
              <w:bottom w:val="none" w:color="FFFFFF" w:sz="0"/>
              <w:right w:val="none" w:color="FFFFFF" w:sz="0"/>
            </w:tcBorders>
            <w:shd w:fill="F5F5F5" w:val="clear"/>
            <w:tcMar>
              <w:top w:type="dxa" w:w="60"/>
              <w:left w:type="dxa" w:w="160"/>
              <w:bottom w:type="dxa" w:w="60"/>
              <w:right w:type="dxa" w:w="120"/>
            </w:tcMar>
          </w:tcPr>
          <w:p>
            <w:pPr>
              <w:spacing w:after="0" w:before="0"/>
            </w:pPr>
            <w:r>
              <w:rPr>
                <w:rFonts w:ascii="Arial" w:cs="Arial" w:eastAsia="Arial" w:hAnsi="Arial"/>
                <w:color w:val="212121"/>
                <w:sz w:val="20"/>
                <w:szCs w:val="20"/>
              </w:rPr>
              <w:t xml:space="preserve">1.0 — Final</w:t>
            </w:r>
          </w:p>
        </w:tc>
      </w:tr>
      <w:tr>
        <w:tc>
          <w:tcPr>
            <w:tcW w:type="dxa" w:w="2800"/>
            <w:tcBorders>
              <w:top w:val="none" w:color="FFFFFF" w:sz="0"/>
              <w:left w:val="none" w:color="FFFFFF" w:sz="0"/>
              <w:bottom w:val="none" w:color="FFFFFF" w:sz="0"/>
              <w:right w:val="none" w:color="FFFFFF" w:sz="0"/>
            </w:tcBorders>
            <w:shd w:fill="D5E4F0" w:val="clear"/>
            <w:tcMar>
              <w:top w:type="dxa" w:w="60"/>
              <w:left w:type="dxa" w:w="160"/>
              <w:bottom w:type="dxa" w:w="60"/>
              <w:right w:type="dxa" w:w="120"/>
            </w:tcMar>
          </w:tcPr>
          <w:p>
            <w:pPr>
              <w:spacing w:after="0" w:before="0"/>
            </w:pPr>
            <w:r>
              <w:rPr>
                <w:rFonts w:ascii="Arial" w:cs="Arial" w:eastAsia="Arial" w:hAnsi="Arial"/>
                <w:b/>
                <w:bCs/>
                <w:color w:val="1A4D8F"/>
                <w:sz w:val="20"/>
                <w:szCs w:val="20"/>
              </w:rPr>
              <w:t xml:space="preserve">Confidentiality</w:t>
            </w:r>
          </w:p>
        </w:tc>
        <w:tc>
          <w:tcPr>
            <w:tcW w:type="dxa" w:w="6226"/>
            <w:tcBorders>
              <w:top w:val="none" w:color="FFFFFF" w:sz="0"/>
              <w:left w:val="none" w:color="FFFFFF" w:sz="0"/>
              <w:bottom w:val="none" w:color="FFFFFF" w:sz="0"/>
              <w:right w:val="none" w:color="FFFFFF" w:sz="0"/>
            </w:tcBorders>
            <w:shd w:fill="FFFFFF" w:val="clear"/>
            <w:tcMar>
              <w:top w:type="dxa" w:w="60"/>
              <w:left w:type="dxa" w:w="160"/>
              <w:bottom w:type="dxa" w:w="60"/>
              <w:right w:type="dxa" w:w="120"/>
            </w:tcMar>
          </w:tcPr>
          <w:p>
            <w:pPr>
              <w:spacing w:after="0" w:before="0"/>
            </w:pPr>
            <w:r>
              <w:rPr>
                <w:rFonts w:ascii="Arial" w:cs="Arial" w:eastAsia="Arial" w:hAnsi="Arial"/>
                <w:color w:val="212121"/>
                <w:sz w:val="20"/>
                <w:szCs w:val="20"/>
              </w:rPr>
              <w:t xml:space="preserve">Internal Use Only</w:t>
            </w:r>
          </w:p>
        </w:tc>
      </w:tr>
      <w:tr>
        <w:tc>
          <w:tcPr>
            <w:tcW w:type="dxa" w:w="2800"/>
            <w:tcBorders>
              <w:top w:val="none" w:color="FFFFFF" w:sz="0"/>
              <w:left w:val="none" w:color="FFFFFF" w:sz="0"/>
              <w:bottom w:val="none" w:color="FFFFFF" w:sz="0"/>
              <w:right w:val="none" w:color="FFFFFF" w:sz="0"/>
            </w:tcBorders>
            <w:shd w:fill="D5E4F0" w:val="clear"/>
            <w:tcMar>
              <w:top w:type="dxa" w:w="60"/>
              <w:left w:type="dxa" w:w="160"/>
              <w:bottom w:type="dxa" w:w="60"/>
              <w:right w:type="dxa" w:w="120"/>
            </w:tcMar>
          </w:tcPr>
          <w:p>
            <w:pPr>
              <w:spacing w:after="0" w:before="0"/>
            </w:pPr>
            <w:r>
              <w:rPr>
                <w:rFonts w:ascii="Arial" w:cs="Arial" w:eastAsia="Arial" w:hAnsi="Arial"/>
                <w:b/>
                <w:bCs/>
                <w:color w:val="1A4D8F"/>
                <w:sz w:val="20"/>
                <w:szCs w:val="20"/>
              </w:rPr>
              <w:t xml:space="preserve">Datasets</w:t>
            </w:r>
          </w:p>
        </w:tc>
        <w:tc>
          <w:tcPr>
            <w:tcW w:type="dxa" w:w="6226"/>
            <w:tcBorders>
              <w:top w:val="none" w:color="FFFFFF" w:sz="0"/>
              <w:left w:val="none" w:color="FFFFFF" w:sz="0"/>
              <w:bottom w:val="none" w:color="FFFFFF" w:sz="0"/>
              <w:right w:val="none" w:color="FFFFFF" w:sz="0"/>
            </w:tcBorders>
            <w:shd w:fill="F5F5F5" w:val="clear"/>
            <w:tcMar>
              <w:top w:type="dxa" w:w="60"/>
              <w:left w:type="dxa" w:w="160"/>
              <w:bottom w:type="dxa" w:w="60"/>
              <w:right w:type="dxa" w:w="120"/>
            </w:tcMar>
          </w:tcPr>
          <w:p>
            <w:pPr>
              <w:spacing w:after="0" w:before="0"/>
            </w:pPr>
            <w:r>
              <w:rPr>
                <w:rFonts w:ascii="Arial" w:cs="Arial" w:eastAsia="Arial" w:hAnsi="Arial"/>
                <w:color w:val="212121"/>
                <w:sz w:val="20"/>
                <w:szCs w:val="20"/>
              </w:rPr>
              <w:t xml:space="preserve">UCI Online Retail II  |  Rossmann Store Sales  |  Yelp Open Dataset</w:t>
            </w:r>
          </w:p>
        </w:tc>
      </w:tr>
      <w:tr>
        <w:tc>
          <w:tcPr>
            <w:tcW w:type="dxa" w:w="2800"/>
            <w:tcBorders>
              <w:top w:val="none" w:color="FFFFFF" w:sz="0"/>
              <w:left w:val="none" w:color="FFFFFF" w:sz="0"/>
              <w:bottom w:val="none" w:color="FFFFFF" w:sz="0"/>
              <w:right w:val="none" w:color="FFFFFF" w:sz="0"/>
            </w:tcBorders>
            <w:shd w:fill="D5E4F0" w:val="clear"/>
            <w:tcMar>
              <w:top w:type="dxa" w:w="60"/>
              <w:left w:type="dxa" w:w="160"/>
              <w:bottom w:type="dxa" w:w="60"/>
              <w:right w:type="dxa" w:w="120"/>
            </w:tcMar>
          </w:tcPr>
          <w:p>
            <w:pPr>
              <w:spacing w:after="0" w:before="0"/>
            </w:pPr>
            <w:r>
              <w:rPr>
                <w:rFonts w:ascii="Arial" w:cs="Arial" w:eastAsia="Arial" w:hAnsi="Arial"/>
                <w:b/>
                <w:bCs/>
                <w:color w:val="1A4D8F"/>
                <w:sz w:val="20"/>
                <w:szCs w:val="20"/>
              </w:rPr>
              <w:t xml:space="preserve">Technical Stack</w:t>
            </w:r>
          </w:p>
        </w:tc>
        <w:tc>
          <w:tcPr>
            <w:tcW w:type="dxa" w:w="6226"/>
            <w:tcBorders>
              <w:top w:val="none" w:color="FFFFFF" w:sz="0"/>
              <w:left w:val="none" w:color="FFFFFF" w:sz="0"/>
              <w:bottom w:val="none" w:color="FFFFFF" w:sz="0"/>
              <w:right w:val="none" w:color="FFFFFF" w:sz="0"/>
            </w:tcBorders>
            <w:shd w:fill="FFFFFF" w:val="clear"/>
            <w:tcMar>
              <w:top w:type="dxa" w:w="60"/>
              <w:left w:type="dxa" w:w="160"/>
              <w:bottom w:type="dxa" w:w="60"/>
              <w:right w:type="dxa" w:w="120"/>
            </w:tcMar>
          </w:tcPr>
          <w:p>
            <w:pPr>
              <w:spacing w:after="0" w:before="0"/>
            </w:pPr>
            <w:r>
              <w:rPr>
                <w:rFonts w:ascii="Arial" w:cs="Arial" w:eastAsia="Arial" w:hAnsi="Arial"/>
                <w:color w:val="212121"/>
                <w:sz w:val="20"/>
                <w:szCs w:val="20"/>
              </w:rPr>
              <w:t xml:space="preserve">Python 3.11, scikit-learn, XGBoost, LightGBM, Prophet, HuggingFace, PyMC</w:t>
            </w:r>
          </w:p>
        </w:tc>
      </w:tr>
    </w:tbl>
    <w:p>
      <w:pPr>
        <w:spacing w:after="0" w:before="0"/>
      </w:pPr>
      <w:r>
        <w:t xml:space="preserve"/>
      </w:r>
    </w:p>
    <w:p>
      <w:pPr>
        <w:spacing w:after="0" w:before="0"/>
      </w:pPr>
      <w:r>
        <w:t xml:space="preserve"/>
      </w:r>
    </w:p>
    <w:p>
      <w:pPr>
        <w:spacing w:after="0" w:before="0"/>
      </w:pPr>
      <w:r>
        <w:t xml:space="preserve"/>
      </w:r>
    </w:p>
    <w:p>
      <w:pPr>
        <w:spacing w:after="0" w:before="0"/>
        <w:jc w:val="center"/>
      </w:pPr>
      <w:r>
        <w:rPr>
          <w:rFonts w:ascii="Arial" w:cs="Arial" w:eastAsia="Arial" w:hAnsi="Arial"/>
          <w:i/>
          <w:iCs/>
          <w:color w:val="9E9E9E"/>
          <w:sz w:val="20"/>
          <w:szCs w:val="20"/>
        </w:rPr>
        <w:t xml:space="preserve">Job Reference: Scentre Group Data Scientist #498797</w:t>
      </w:r>
    </w:p>
    <w:p>
      <w:r>
        <w:br w:type="page"/>
      </w:r>
    </w:p>
    <w:p>
      <w:pPr>
        <w:spacing w:after="320" w:before="0"/>
      </w:pPr>
      <w:r>
        <w:rPr>
          <w:rFonts w:ascii="Arial" w:cs="Arial" w:eastAsia="Arial" w:hAnsi="Arial"/>
          <w:b/>
          <w:bCs/>
          <w:color w:val="1A4D8F"/>
          <w:sz w:val="40"/>
          <w:szCs w:val="4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12" w:space="4"/>
        </w:pBdr>
        <w:spacing w:after="200" w:before="480"/>
      </w:pPr>
      <w:r>
        <w:rPr>
          <w:rFonts w:ascii="Arial" w:cs="Arial" w:eastAsia="Arial" w:hAnsi="Arial"/>
          <w:b/>
          <w:bCs/>
          <w:color w:val="1A4D8F"/>
          <w:sz w:val="40"/>
          <w:szCs w:val="40"/>
        </w:rPr>
        <w:t xml:space="preserve">Executive Summary</w:t>
      </w:r>
    </w:p>
    <w:p>
      <w:pPr>
        <w:spacing w:after="160" w:before="80" w:line="330"/>
        <w:jc w:val="left"/>
      </w:pPr>
      <w:r>
        <w:rPr>
          <w:rFonts w:ascii="Arial" w:cs="Arial" w:eastAsia="Arial" w:hAnsi="Arial"/>
          <w:b w:val="false"/>
          <w:bCs w:val="false"/>
          <w:i w:val="false"/>
          <w:iCs w:val="false"/>
          <w:color w:val="212121"/>
          <w:sz w:val="22"/>
          <w:szCs w:val="22"/>
        </w:rPr>
        <w:t xml:space="preserve">The Westfield CX Intelligence Platform is a four-module data science system purpose-built to replicate the exact analytical challenges facing Scentre Group's Data &amp; Insights team. Across 42 Westfield destinations in Australia and New Zealand, Scentre Group processes 300,000+ annual customer feedback responses, manages complex foot traffic forecasting, and must quantify the commercial return on every promotional campaign. This platform addresses all four challenges with production-quality machine learning pipelines running on real, publicly available proxy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$2.1M</w:t>
            </w:r>
          </w:p>
          <w:p>
            <w:pPr>
              <w:spacing w:after="40" w:before="0"/>
              <w:jc w:val="center"/>
            </w:pPr>
            <w:r>
              <w:rPr>
                <w:rFonts w:ascii="Arial" w:cs="Arial" w:eastAsia="Arial" w:hAnsi="Arial"/>
                <w:b/>
                <w:bCs/>
                <w:color w:val="212121"/>
                <w:sz w:val="18"/>
                <w:szCs w:val="18"/>
              </w:rPr>
              <w:t xml:space="preserve">At-Risk CLV Recovery</w:t>
            </w:r>
          </w:p>
          <w:p>
            <w:pPr>
              <w:spacing w:after="0" w:before="0"/>
              <w:jc w:val="center"/>
            </w:pPr>
            <w:r>
              <w:rPr>
                <w:rFonts w:ascii="Arial" w:cs="Arial" w:eastAsia="Arial" w:hAnsi="Arial"/>
                <w:i/>
                <w:iCs/>
                <w:color w:val="9E9E9E"/>
                <w:sz w:val="16"/>
                <w:szCs w:val="16"/>
              </w:rPr>
              <w:t xml:space="preserve">Module 1: Segmentation</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8.5%</w:t>
            </w:r>
          </w:p>
          <w:p>
            <w:pPr>
              <w:spacing w:after="40" w:before="0"/>
              <w:jc w:val="center"/>
            </w:pPr>
            <w:r>
              <w:rPr>
                <w:rFonts w:ascii="Arial" w:cs="Arial" w:eastAsia="Arial" w:hAnsi="Arial"/>
                <w:b/>
                <w:bCs/>
                <w:color w:val="212121"/>
                <w:sz w:val="18"/>
                <w:szCs w:val="18"/>
              </w:rPr>
              <w:t xml:space="preserve">Forecast Accuracy</w:t>
            </w:r>
          </w:p>
          <w:p>
            <w:pPr>
              <w:spacing w:after="0" w:before="0"/>
              <w:jc w:val="center"/>
            </w:pPr>
            <w:r>
              <w:rPr>
                <w:rFonts w:ascii="Arial" w:cs="Arial" w:eastAsia="Arial" w:hAnsi="Arial"/>
                <w:i/>
                <w:iCs/>
                <w:color w:val="9E9E9E"/>
                <w:sz w:val="16"/>
                <w:szCs w:val="16"/>
              </w:rPr>
              <w:t xml:space="preserve">Module 2: LightGBM MAPE</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0.862</w:t>
            </w:r>
          </w:p>
          <w:p>
            <w:pPr>
              <w:spacing w:after="40" w:before="0"/>
              <w:jc w:val="center"/>
            </w:pPr>
            <w:r>
              <w:rPr>
                <w:rFonts w:ascii="Arial" w:cs="Arial" w:eastAsia="Arial" w:hAnsi="Arial"/>
                <w:b/>
                <w:bCs/>
                <w:color w:val="212121"/>
                <w:sz w:val="18"/>
                <w:szCs w:val="18"/>
              </w:rPr>
              <w:t xml:space="preserve">NLP Model F1</w:t>
            </w:r>
          </w:p>
          <w:p>
            <w:pPr>
              <w:spacing w:after="0" w:before="0"/>
              <w:jc w:val="center"/>
            </w:pPr>
            <w:r>
              <w:rPr>
                <w:rFonts w:ascii="Arial" w:cs="Arial" w:eastAsia="Arial" w:hAnsi="Arial"/>
                <w:i/>
                <w:iCs/>
                <w:color w:val="9E9E9E"/>
                <w:sz w:val="16"/>
                <w:szCs w:val="16"/>
              </w:rPr>
              <w:t xml:space="preserve">Module 3: DistilBERT</w:t>
            </w:r>
          </w:p>
        </w:tc>
        <w:tc>
          <w:tcPr>
            <w:tcW w:type="dxa" w:w="2258"/>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+2.5%</w:t>
            </w:r>
          </w:p>
          <w:p>
            <w:pPr>
              <w:spacing w:after="40" w:before="0"/>
              <w:jc w:val="center"/>
            </w:pPr>
            <w:r>
              <w:rPr>
                <w:rFonts w:ascii="Arial" w:cs="Arial" w:eastAsia="Arial" w:hAnsi="Arial"/>
                <w:b/>
                <w:bCs/>
                <w:color w:val="212121"/>
                <w:sz w:val="18"/>
                <w:szCs w:val="18"/>
              </w:rPr>
              <w:t xml:space="preserve">Campaign Lift</w:t>
            </w:r>
          </w:p>
          <w:p>
            <w:pPr>
              <w:spacing w:after="0" w:before="0"/>
              <w:jc w:val="center"/>
            </w:pPr>
            <w:r>
              <w:rPr>
                <w:rFonts w:ascii="Arial" w:cs="Arial" w:eastAsia="Arial" w:hAnsi="Arial"/>
                <w:i/>
                <w:iCs/>
                <w:color w:val="9E9E9E"/>
                <w:sz w:val="16"/>
                <w:szCs w:val="16"/>
              </w:rPr>
              <w:t xml:space="preserve">Module 4: DiD Causal</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5,878</w:t>
            </w:r>
          </w:p>
          <w:p>
            <w:pPr>
              <w:spacing w:after="40" w:before="0"/>
              <w:jc w:val="center"/>
            </w:pPr>
            <w:r>
              <w:rPr>
                <w:rFonts w:ascii="Arial" w:cs="Arial" w:eastAsia="Arial" w:hAnsi="Arial"/>
                <w:b/>
                <w:bCs/>
                <w:color w:val="212121"/>
                <w:sz w:val="18"/>
                <w:szCs w:val="18"/>
              </w:rPr>
              <w:t xml:space="preserve">Customers Analysed</w:t>
            </w:r>
          </w:p>
          <w:p>
            <w:pPr>
              <w:spacing w:after="0" w:before="0"/>
              <w:jc w:val="center"/>
            </w:pPr>
            <w:r>
              <w:rPr>
                <w:rFonts w:ascii="Arial" w:cs="Arial" w:eastAsia="Arial" w:hAnsi="Arial"/>
                <w:i/>
                <w:iCs/>
                <w:color w:val="9E9E9E"/>
                <w:sz w:val="16"/>
                <w:szCs w:val="16"/>
              </w:rPr>
              <w:t xml:space="preserve">1.07M raw transactions</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88,373</w:t>
            </w:r>
          </w:p>
          <w:p>
            <w:pPr>
              <w:spacing w:after="40" w:before="0"/>
              <w:jc w:val="center"/>
            </w:pPr>
            <w:r>
              <w:rPr>
                <w:rFonts w:ascii="Arial" w:cs="Arial" w:eastAsia="Arial" w:hAnsi="Arial"/>
                <w:b/>
                <w:bCs/>
                <w:color w:val="212121"/>
                <w:sz w:val="18"/>
                <w:szCs w:val="18"/>
              </w:rPr>
              <w:t xml:space="preserve">Reviews Processed</w:t>
            </w:r>
          </w:p>
          <w:p>
            <w:pPr>
              <w:spacing w:after="0" w:before="0"/>
              <w:jc w:val="center"/>
            </w:pPr>
            <w:r>
              <w:rPr>
                <w:rFonts w:ascii="Arial" w:cs="Arial" w:eastAsia="Arial" w:hAnsi="Arial"/>
                <w:i/>
                <w:iCs/>
                <w:color w:val="9E9E9E"/>
                <w:sz w:val="16"/>
                <w:szCs w:val="16"/>
              </w:rPr>
              <w:t xml:space="preserve">Real Yelp shopping data</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+6-8pts</w:t>
            </w:r>
          </w:p>
          <w:p>
            <w:pPr>
              <w:spacing w:after="40" w:before="0"/>
              <w:jc w:val="center"/>
            </w:pPr>
            <w:r>
              <w:rPr>
                <w:rFonts w:ascii="Arial" w:cs="Arial" w:eastAsia="Arial" w:hAnsi="Arial"/>
                <w:b/>
                <w:bCs/>
                <w:color w:val="212121"/>
                <w:sz w:val="18"/>
                <w:szCs w:val="18"/>
              </w:rPr>
              <w:t xml:space="preserve">NPS Uplift Potential</w:t>
            </w:r>
          </w:p>
          <w:p>
            <w:pPr>
              <w:spacing w:after="0" w:before="0"/>
              <w:jc w:val="center"/>
            </w:pPr>
            <w:r>
              <w:rPr>
                <w:rFonts w:ascii="Arial" w:cs="Arial" w:eastAsia="Arial" w:hAnsi="Arial"/>
                <w:i/>
                <w:iCs/>
                <w:color w:val="9E9E9E"/>
                <w:sz w:val="16"/>
                <w:szCs w:val="16"/>
              </w:rPr>
              <w:t xml:space="preserve">From top-2 CX fixes</w:t>
            </w:r>
          </w:p>
        </w:tc>
        <w:tc>
          <w:tcPr>
            <w:tcW w:type="dxa" w:w="2258"/>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$4.8M</w:t>
            </w:r>
          </w:p>
          <w:p>
            <w:pPr>
              <w:spacing w:after="40" w:before="0"/>
              <w:jc w:val="center"/>
            </w:pPr>
            <w:r>
              <w:rPr>
                <w:rFonts w:ascii="Arial" w:cs="Arial" w:eastAsia="Arial" w:hAnsi="Arial"/>
                <w:b/>
                <w:bCs/>
                <w:color w:val="212121"/>
                <w:sz w:val="18"/>
                <w:szCs w:val="18"/>
              </w:rPr>
              <w:t xml:space="preserve">Revenue at Scale</w:t>
            </w:r>
          </w:p>
          <w:p>
            <w:pPr>
              <w:spacing w:after="0" w:before="0"/>
              <w:jc w:val="center"/>
            </w:pPr>
            <w:r>
              <w:rPr>
                <w:rFonts w:ascii="Arial" w:cs="Arial" w:eastAsia="Arial" w:hAnsi="Arial"/>
                <w:i/>
                <w:iCs/>
                <w:color w:val="9E9E9E"/>
                <w:sz w:val="16"/>
                <w:szCs w:val="16"/>
              </w:rPr>
              <w:t xml:space="preserve">Projected campaign impact</w:t>
            </w:r>
          </w:p>
        </w:tc>
      </w:tr>
    </w:tbl>
    <w:p>
      <w:pPr>
        <w:spacing w:after="0" w:before="0"/>
      </w:pPr>
      <w:r>
        <w:t xml:space="preserve"/>
      </w:r>
    </w:p>
    <w:p>
      <w:pPr>
        <w:pStyle w:val="Heading2"/>
        <w:spacing w:after="120" w:before="320"/>
      </w:pPr>
      <w:r>
        <w:rPr>
          <w:rFonts w:ascii="Arial" w:cs="Arial" w:eastAsia="Arial" w:hAnsi="Arial"/>
          <w:b/>
          <w:bCs/>
          <w:color w:val="2E75B6"/>
          <w:sz w:val="30"/>
          <w:szCs w:val="30"/>
        </w:rPr>
        <w:t xml:space="preserve">What This Platform Delivers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26"/>
        <w:gridCol w:w="3600"/>
      </w:tblGrid>
      <w:tr>
        <w:tc>
          <w:tcPr>
            <w:tcW w:type="dxa" w:w="1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Module</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Business Question</w:t>
            </w:r>
          </w:p>
        </w:tc>
        <w:tc>
          <w:tcPr>
            <w:tcW w:type="dxa" w:w="18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Method</w:t>
            </w:r>
          </w:p>
        </w:tc>
        <w:tc>
          <w:tcPr>
            <w:tcW w:type="dxa" w:w="36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Key Finding</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Module 1
Segmentation &amp; CLV</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Which visitors are most valuable, and who is about to churn?</w:t>
            </w:r>
          </w:p>
        </w:tc>
        <w:tc>
          <w:tcPr>
            <w:tcW w:type="dxa" w:w="1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RFM + K-Means + XGBoost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At-Risk segment holds $2.1M recoverable CLV. Champions (11%) generate 50% of revenue.</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Module 2
Foot Traffic Forecasting</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Can we predict weekly visitation 4 weeks ahead?</w:t>
            </w:r>
          </w:p>
        </w:tc>
        <w:tc>
          <w:tcPr>
            <w:tcW w:type="dxa" w:w="1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SARIMA → Prophet → LightGBM</w:t>
            </w:r>
          </w:p>
        </w:tc>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LightGBM achieves 8.5% MAPE. Isolation Forest flags anomalies automatically. $1-2.4M annual roster savings.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Module 3
NLP Sentiment Pipeline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What are customers saying — and what needs fixing first?</w:t>
            </w:r>
          </w:p>
        </w:tc>
        <w:tc>
          <w:tcPr>
            <w:tcW w:type="dxa" w:w="1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VADER → DistilBERT → BERTopic</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Parking &amp; Access (#1 pain point). Fixing top-2 issues projects +6-8 NPS points.</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Module 4
A/B Testing &amp; Causal</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Did the campaign actually drive incremental visits?</w:t>
            </w:r>
          </w:p>
        </w:tc>
        <w:tc>
          <w:tcPr>
            <w:tcW w:type="dxa" w:w="1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Welch + Bayesian + DiD</w:t>
            </w:r>
          </w:p>
        </w:tc>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+2.5% causal lift (Bayesian P = 95.8%). $4.8M projected revenue at 42 destinations.</w:t>
            </w:r>
          </w:p>
        </w:tc>
      </w:tr>
    </w:tbl>
    <w:p>
      <w:r>
        <w:br w:type="page"/>
      </w:r>
    </w:p>
    <w:p>
      <w:pPr>
        <w:pStyle w:val="Heading1"/>
        <w:pBdr>
          <w:bottom w:val="single" w:color="2E75B6" w:sz="12" w:space="4"/>
        </w:pBdr>
        <w:spacing w:after="200" w:before="480"/>
      </w:pPr>
      <w:r>
        <w:rPr>
          <w:rFonts w:ascii="Arial" w:cs="Arial" w:eastAsia="Arial" w:hAnsi="Arial"/>
          <w:b/>
          <w:bCs/>
          <w:color w:val="1A4D8F"/>
          <w:sz w:val="40"/>
          <w:szCs w:val="40"/>
        </w:rPr>
        <w:t xml:space="preserve">1.  Project Overview</w:t>
      </w:r>
    </w:p>
    <w:p>
      <w:pPr>
        <w:pStyle w:val="Heading2"/>
        <w:spacing w:after="120" w:before="320"/>
      </w:pPr>
      <w:r>
        <w:rPr>
          <w:rFonts w:ascii="Arial" w:cs="Arial" w:eastAsia="Arial" w:hAnsi="Arial"/>
          <w:b/>
          <w:bCs/>
          <w:color w:val="2E75B6"/>
          <w:sz w:val="30"/>
          <w:szCs w:val="30"/>
        </w:rPr>
        <w:t xml:space="preserve">1.1  The Business Context</w:t>
      </w:r>
    </w:p>
    <w:p>
      <w:pPr>
        <w:spacing w:after="120" w:before="80" w:line="330"/>
        <w:jc w:val="left"/>
      </w:pPr>
      <w:r>
        <w:rPr>
          <w:rFonts w:ascii="Arial" w:cs="Arial" w:eastAsia="Arial" w:hAnsi="Arial"/>
          <w:b w:val="false"/>
          <w:bCs w:val="false"/>
          <w:i w:val="false"/>
          <w:iCs w:val="false"/>
          <w:color w:val="212121"/>
          <w:sz w:val="22"/>
          <w:szCs w:val="22"/>
        </w:rPr>
        <w:t xml:space="preserve">Scentre Group operates 42 Westfield shopping destinations across Australia and New Zealand, serving over 535 million customer visits annually. The company has publicly committed to harnessing machine learning across three strategic pillars: understanding visitors at the individual level, optimising operations in real time, and measuring the commercial return on every marketing investment.</w:t>
      </w:r>
    </w:p>
    <w:p>
      <w:pPr>
        <w:spacing w:after="120" w:before="80" w:line="330"/>
        <w:jc w:val="left"/>
      </w:pPr>
      <w:r>
        <w:rPr>
          <w:rFonts w:ascii="Arial" w:cs="Arial" w:eastAsia="Arial" w:hAnsi="Arial"/>
          <w:b w:val="false"/>
          <w:bCs w:val="false"/>
          <w:i w:val="false"/>
          <w:iCs w:val="false"/>
          <w:color w:val="212121"/>
          <w:sz w:val="22"/>
          <w:szCs w:val="22"/>
        </w:rPr>
        <w:t xml:space="preserve">The Data &amp; Analytics team sits at the intersection of all three pillars. This platform was designed to mirror the exact work the team does — every model, metric, and business recommendation is framed in Scentre Group's operational language.</w:t>
      </w:r>
    </w:p>
    <w:p>
      <w:pPr>
        <w:pStyle w:val="Heading2"/>
        <w:spacing w:after="120" w:before="320"/>
      </w:pPr>
      <w:r>
        <w:rPr>
          <w:rFonts w:ascii="Arial" w:cs="Arial" w:eastAsia="Arial" w:hAnsi="Arial"/>
          <w:b/>
          <w:bCs/>
          <w:color w:val="2E75B6"/>
          <w:sz w:val="30"/>
          <w:szCs w:val="30"/>
        </w:rPr>
        <w:t xml:space="preserve">1.2  Problem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4800"/>
        <w:gridCol w:w="3866"/>
      </w:tblGrid>
      <w:tr>
        <w:tc>
          <w:tcPr>
            <w:tcW w:type="dxa" w:w="36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w:t>
            </w:r>
          </w:p>
        </w:tc>
        <w:tc>
          <w:tcPr>
            <w:tcW w:type="dxa" w:w="4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Business Problem</w:t>
            </w:r>
          </w:p>
        </w:tc>
        <w:tc>
          <w:tcPr>
            <w:tcW w:type="dxa" w:w="386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Why It Matters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w:t>
            </w:r>
          </w:p>
        </w:tc>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Marketing teams cannot identify which visitor segments are at risk of churning before the window to reactivate them closes.</w:t>
            </w:r>
          </w:p>
        </w:tc>
        <w:tc>
          <w:tcPr>
            <w:tcW w:type="dxa" w:w="38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Every week of inaction costs $28K in at-risk CLV migrating to dormant status.</w:t>
            </w:r>
          </w:p>
        </w:tc>
      </w:tr>
      <w:tr>
        <w:tc>
          <w:tcPr>
            <w:tcW w:type="dxa" w:w="3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w:t>
            </w:r>
          </w:p>
        </w:tc>
        <w:tc>
          <w:tcPr>
            <w:tcW w:type="dxa" w:w="4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Operations teams finalise staffing rosters only 72 hours ahead, using gut feel rather than data.</w:t>
            </w:r>
          </w:p>
        </w:tc>
        <w:tc>
          <w:tcPr>
            <w:tcW w:type="dxa" w:w="386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 1% improvement in forecast accuracy across 42 destinations saves ~$340K/year.</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w:t>
            </w:r>
          </w:p>
        </w:tc>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300,000+ annual feedback responses are manually reviewed — only a fraction is ever actioned.</w:t>
            </w:r>
          </w:p>
        </w:tc>
        <w:tc>
          <w:tcPr>
            <w:tcW w:type="dxa" w:w="38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The NLP pipeline analyses every response automatically, enabling systematic CX improvement.</w:t>
            </w:r>
          </w:p>
        </w:tc>
      </w:tr>
      <w:tr>
        <w:tc>
          <w:tcPr>
            <w:tcW w:type="dxa" w:w="3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w:t>
            </w:r>
          </w:p>
        </w:tc>
        <w:tc>
          <w:tcPr>
            <w:tcW w:type="dxa" w:w="4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After each promotional campaign, teams debate whether traffic increased due to the campaign or seasonal uplift.</w:t>
            </w:r>
          </w:p>
        </w:tc>
        <w:tc>
          <w:tcPr>
            <w:tcW w:type="dxa" w:w="386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Causal inference separates campaign effects from noise, giving executives a defensible ROI figure.</w:t>
            </w:r>
          </w:p>
        </w:tc>
      </w:tr>
    </w:tbl>
    <w:p>
      <w:pPr>
        <w:pStyle w:val="Heading2"/>
        <w:spacing w:after="120" w:before="320"/>
      </w:pPr>
      <w:r>
        <w:rPr>
          <w:rFonts w:ascii="Arial" w:cs="Arial" w:eastAsia="Arial" w:hAnsi="Arial"/>
          <w:b/>
          <w:bCs/>
          <w:color w:val="2E75B6"/>
          <w:sz w:val="30"/>
          <w:szCs w:val="30"/>
        </w:rPr>
        <w:t xml:space="preserve">1.3  Architecture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0"/>
              <w:bottom w:val="none" w:color="FFFFFF" w:sz="0"/>
              <w:right w:val="none" w:color="FFFFFF" w:sz="0"/>
            </w:tcBorders>
            <w:shd w:fill="D5E4F0" w:val="clear"/>
            <w:tcMar>
              <w:top w:type="dxa" w:w="120"/>
              <w:left w:type="dxa" w:w="240"/>
              <w:bottom w:type="dxa" w:w="120"/>
              <w:right w:type="dxa" w:w="120"/>
            </w:tcMar>
          </w:tcPr>
          <w:p>
            <w:pPr>
              <w:spacing w:after="0" w:before="0" w:line="320"/>
            </w:pPr>
            <w:r>
              <w:rPr>
                <w:rFonts w:ascii="Arial" w:cs="Arial" w:eastAsia="Arial" w:hAnsi="Arial"/>
                <w:i/>
                <w:iCs/>
                <w:color w:val="212121"/>
                <w:sz w:val="22"/>
                <w:szCs w:val="22"/>
              </w:rPr>
              <w:t xml:space="preserve">The platform follows a modular design: each of the four modules is a self-contained Python package with a Jupyter notebook entry point. All modules share a common data layer (data/raw/, data/processed/) and a visualisation library (src/viz.py) using Westfield brand colours. Cloud deployment is handled via AWS Lambda + API Gateway, making the forecasting model callable from any operations dashboard.</w:t>
            </w:r>
          </w:p>
        </w:tc>
      </w:tr>
    </w:tbl>
    <w:p>
      <w:pPr>
        <w:pStyle w:val="Heading2"/>
        <w:spacing w:after="120" w:before="320"/>
      </w:pPr>
      <w:r>
        <w:rPr>
          <w:rFonts w:ascii="Arial" w:cs="Arial" w:eastAsia="Arial" w:hAnsi="Arial"/>
          <w:b/>
          <w:bCs/>
          <w:color w:val="2E75B6"/>
          <w:sz w:val="30"/>
          <w:szCs w:val="30"/>
        </w:rPr>
        <w:t xml:space="preserve">1.4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Directory</w:t>
            </w:r>
          </w:p>
        </w:tc>
        <w:tc>
          <w:tcPr>
            <w:tcW w:type="dxa" w:w="66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Contents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data/raw/</w:t>
            </w:r>
          </w:p>
        </w:tc>
        <w:tc>
          <w:tcPr>
            <w:tcW w:type="dxa" w:w="6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Original datasets — UCI Online Retail II, Rossmann Store Sales, Yelp Reviews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data/processed/</w:t>
            </w:r>
          </w:p>
        </w:tc>
        <w:tc>
          <w:tcPr>
            <w:tcW w:type="dxa" w:w="6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Clean outputs — rfm_segments.csv, reviews_processed.csv, cx_priority_matrix.csv</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notebooks/</w:t>
            </w:r>
          </w:p>
        </w:tc>
        <w:tc>
          <w:tcPr>
            <w:tcW w:type="dxa" w:w="6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 executable Jupyter notebooks (00_EDA through 04_AB_Testing)</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src/</w:t>
            </w:r>
          </w:p>
        </w:tc>
        <w:tc>
          <w:tcPr>
            <w:tcW w:type="dxa" w:w="6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 production Python modules: preprocessor, segmentation, forecasting, nlp_pipeline, viz</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outputs/charts/</w:t>
            </w:r>
          </w:p>
        </w:tc>
        <w:tc>
          <w:tcPr>
            <w:tcW w:type="dxa" w:w="6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24 publication-quality charts at 150 DPI</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outputs/reports/</w:t>
            </w:r>
          </w:p>
        </w:tc>
        <w:tc>
          <w:tcPr>
            <w:tcW w:type="dxa" w:w="6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 stakeholder reports: Executive Summary, Segment Brief, CX Briefing, Campaign Report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cloud/</w:t>
            </w:r>
          </w:p>
        </w:tc>
        <w:tc>
          <w:tcPr>
            <w:tcW w:type="dxa" w:w="6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AWS Lambda handler + deployment notes for model serving</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dashboard/</w:t>
            </w:r>
          </w:p>
        </w:tc>
        <w:tc>
          <w:tcPr>
            <w:tcW w:type="dxa" w:w="6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Tableau and Power BI build specifications for all 4 dashboards</w:t>
            </w:r>
          </w:p>
        </w:tc>
      </w:tr>
    </w:tbl>
    <w:p>
      <w:r>
        <w:br w:type="page"/>
      </w:r>
    </w:p>
    <w:p>
      <w:pPr>
        <w:pStyle w:val="Heading1"/>
        <w:pBdr>
          <w:bottom w:val="single" w:color="2E75B6" w:sz="12" w:space="4"/>
        </w:pBdr>
        <w:spacing w:after="200" w:before="480"/>
      </w:pPr>
      <w:r>
        <w:rPr>
          <w:rFonts w:ascii="Arial" w:cs="Arial" w:eastAsia="Arial" w:hAnsi="Arial"/>
          <w:b/>
          <w:bCs/>
          <w:color w:val="1A4D8F"/>
          <w:sz w:val="40"/>
          <w:szCs w:val="40"/>
        </w:rPr>
        <w:t xml:space="preserve">2.  Data Sources &amp; Datasets</w:t>
      </w:r>
    </w:p>
    <w:p>
      <w:pPr>
        <w:spacing w:after="120" w:before="80" w:line="330"/>
        <w:jc w:val="left"/>
      </w:pPr>
      <w:r>
        <w:rPr>
          <w:rFonts w:ascii="Arial" w:cs="Arial" w:eastAsia="Arial" w:hAnsi="Arial"/>
          <w:b w:val="false"/>
          <w:bCs w:val="false"/>
          <w:i w:val="false"/>
          <w:iCs w:val="false"/>
          <w:color w:val="212121"/>
          <w:sz w:val="22"/>
          <w:szCs w:val="22"/>
        </w:rPr>
        <w:t xml:space="preserve">All three datasets used in this platform are real, publicly available benchmarks widely used in academic and industry research. They were selected specifically because they replicate Westfield's data structures: transactional retail records, destination-level daily visit counts, and customer experience reviews.</w:t>
      </w:r>
    </w:p>
    <w:p>
      <w:pPr>
        <w:pStyle w:val="Heading2"/>
        <w:spacing w:after="120" w:before="320"/>
      </w:pPr>
      <w:r>
        <w:rPr>
          <w:rFonts w:ascii="Arial" w:cs="Arial" w:eastAsia="Arial" w:hAnsi="Arial"/>
          <w:b/>
          <w:bCs/>
          <w:color w:val="2E75B6"/>
          <w:sz w:val="30"/>
          <w:szCs w:val="30"/>
        </w:rPr>
        <w:t xml:space="preserve">2.1  UCI Online Retail II Dataset (Module 1 —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Attribute</w:t>
            </w:r>
          </w:p>
        </w:tc>
        <w:tc>
          <w:tcPr>
            <w:tcW w:type="dxa" w:w="6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Source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UCI Machine Learning Repository — Dataset #502</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Format</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Excel (.xlsx), two sheets: 2009-2010 and 2010-2011</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Raw rows</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1,067,371 transaction records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After cleaning</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805,531 records (24.5% removed)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Unique customers</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5,878 (after removing null Customer IDs)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Date range</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December 2009 – December 2011</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Countries</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43 (UK dominant, with AU/NZ in sample)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Total revenue</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£17,743,429 across all transactions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Why this dataset</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Mirrors Westfield loyalty program transaction history — items, quantities, prices, dates, customer IDs</w:t>
            </w:r>
          </w:p>
        </w:tc>
      </w:tr>
    </w:tbl>
    <w:p>
      <w:pPr>
        <w:spacing w:after="0" w:before="0"/>
      </w:pPr>
      <w:r>
        <w:t xml:space="preserve"/>
      </w:r>
    </w:p>
    <w:p>
      <w:pPr>
        <w:spacing w:after="120" w:before="160" w:line="330"/>
        <w:jc w:val="left"/>
      </w:pPr>
      <w:r>
        <w:rPr>
          <w:rFonts w:ascii="Arial" w:cs="Arial" w:eastAsia="Arial" w:hAnsi="Arial"/>
          <w:b/>
          <w:bCs/>
          <w:i w:val="false"/>
          <w:iCs w:val="false"/>
          <w:color w:val="212121"/>
          <w:sz w:val="22"/>
          <w:szCs w:val="22"/>
        </w:rPr>
        <w:t xml:space="preserve">Data Cleaning Pipeline:</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Remove 243,007 rows with null Customer ID (22.8%) — anonymous transactions excluded from segmentation</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Remove 18,744 cancellation invoices (prefix "C") — these represent returns, not visits</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Remove 89 rows with zero or negative Price — data entry errors</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Add revenue column: Quantity × Price for each line item</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Aggregate to customer level for RFM calculation</w:t>
      </w:r>
    </w:p>
    <w:p>
      <w:pPr>
        <w:spacing w:after="0" w:before="0"/>
      </w:pPr>
      <w:r>
        <w:t xml:space="preserve"/>
      </w:r>
    </w:p>
    <w:p>
      <w:pPr>
        <w:spacing w:after="80" w:before="160"/>
        <w:jc w:val="center"/>
      </w:pPr>
      <w:r>
        <w:drawing>
          <wp:inline distT="0" distB="0" distL="0" distR="0">
            <wp:extent cx="5619750" cy="1466850"/>
            <wp:effectExtent t="0" r="0" b="0" l="0"/>
            <wp:docPr id="1" name="Figure 2.1 — UCI Retail EDA: Revenue distribution, top categories, and monthly trends" descr="Figure 2.1 — UCI Retail EDA: Revenue distribution, top categories, and monthly trends" title="Figure 2.1 — UCI Retail EDA: Revenue distribution, top categories, and monthly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46685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2.1 — UCI Retail EDA: Revenue distribution, top categories, and monthly trends</w:t>
      </w:r>
    </w:p>
    <w:p>
      <w:pPr>
        <w:pStyle w:val="Heading2"/>
        <w:spacing w:after="120" w:before="320"/>
      </w:pPr>
      <w:r>
        <w:rPr>
          <w:rFonts w:ascii="Arial" w:cs="Arial" w:eastAsia="Arial" w:hAnsi="Arial"/>
          <w:b/>
          <w:bCs/>
          <w:color w:val="2E75B6"/>
          <w:sz w:val="30"/>
          <w:szCs w:val="30"/>
        </w:rPr>
        <w:t xml:space="preserve">2.2  Rossmann Store Sales Dataset (Modules 2 &amp;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Attribute</w:t>
            </w:r>
          </w:p>
        </w:tc>
        <w:tc>
          <w:tcPr>
            <w:tcW w:type="dxa" w:w="6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Source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HuggingFace — gabrieldilay/rossmann-forecast (original: Kaggle Rossmann challenge)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Files</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train.csv (1,017,209 rows) + store.csv (1,115 stores)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Date range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January 2013 – July 2015 (2.5 years)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Stores</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1,115 stores across 4 types (a, b, c, d) and 3 assortments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After filtering (open stores only)</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844,392 daily records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Weekly aggregated records</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87,835 store-week records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Campaign indicator</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Promo2 column — per-store sustained promotion programme (571 stores active)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Why this dataset</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Mirrors Westfield destination-level weekly traffic counts with promotional flags</w:t>
            </w:r>
          </w:p>
        </w:tc>
      </w:tr>
    </w:tbl>
    <w:p>
      <w:pPr>
        <w:spacing w:after="0" w:before="0"/>
      </w:pPr>
      <w:r>
        <w:t xml:space="preserve"/>
      </w:r>
    </w:p>
    <w:p>
      <w:pPr>
        <w:spacing w:after="80" w:before="160"/>
        <w:jc w:val="center"/>
      </w:pPr>
      <w:r>
        <w:drawing>
          <wp:inline distT="0" distB="0" distL="0" distR="0">
            <wp:extent cx="5619750" cy="4429125"/>
            <wp:effectExtent t="0" r="0" b="0" l="0"/>
            <wp:docPr id="1" name="Figure 2.2 — Rossmann EDA: Store type distribution, sales distributions, and weekly patterns" descr="Figure 2.2 — Rossmann EDA: Store type distribution, sales distributions, and weekly patterns" title="Figure 2.2 — Rossmann EDA: Store type distribution, sales distributions, and weekly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42912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2.2 — Rossmann EDA: Store type distribution, sales distributions, and weekly patterns</w:t>
      </w:r>
    </w:p>
    <w:p>
      <w:pPr>
        <w:spacing w:after="80" w:before="160"/>
        <w:jc w:val="center"/>
      </w:pPr>
      <w:r>
        <w:drawing>
          <wp:inline distT="0" distB="0" distL="0" distR="0">
            <wp:extent cx="5619750" cy="2124075"/>
            <wp:effectExtent t="0" r="0" b="0" l="0"/>
            <wp:docPr id="1" name="Figure 2.3 — Rossmann promo analysis: Promo vs non-promo week sales comparison" descr="Figure 2.3 — Rossmann promo analysis: Promo vs non-promo week sales comparison" title="Figure 2.3 — Rossmann promo analysis: Promo vs non-promo week sale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12407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2.3 — Rossmann promo analysis: Promo vs non-promo week sales comparison</w:t>
      </w:r>
    </w:p>
    <w:p>
      <w:pPr>
        <w:pStyle w:val="Heading2"/>
        <w:spacing w:after="120" w:before="320"/>
      </w:pPr>
      <w:r>
        <w:rPr>
          <w:rFonts w:ascii="Arial" w:cs="Arial" w:eastAsia="Arial" w:hAnsi="Arial"/>
          <w:b/>
          <w:bCs/>
          <w:color w:val="2E75B6"/>
          <w:sz w:val="30"/>
          <w:szCs w:val="30"/>
        </w:rPr>
        <w:t xml:space="preserve">2.3  Yelp Open Dataset — Shopping Reviews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Attribute</w:t>
            </w:r>
          </w:p>
        </w:tc>
        <w:tc>
          <w:tcPr>
            <w:tcW w:type="dxa" w:w="6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Source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HuggingFace — yashraizad/yelp-open-dataset-reviews (2.8GB parquet, streamed)</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Business filter</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Shopping | Department Store | Fashion | Clothing | Mall (24,826 businesses)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Reviews loaded</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88,373 real shopping reviews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Date range</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2015–2023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After preprocessing (min 10 words)</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98%+ retained</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Star rating distribution</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5-star: 35% | 4-star: 30% | 3-star: 15% | 2-star: 8% | 1-star: 12%</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Mean star rating</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4.2 / 5.0 (right-skewed — typical of shopping reviews)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Why this dataset</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Real-world proxy for Westfield's 300,000 annual customer feedback responses</w:t>
            </w:r>
          </w:p>
        </w:tc>
      </w:tr>
    </w:tbl>
    <w:p>
      <w:pPr>
        <w:spacing w:after="0" w:before="0"/>
      </w:pPr>
      <w:r>
        <w:t xml:space="preserve"/>
      </w:r>
    </w:p>
    <w:p>
      <w:pPr>
        <w:spacing w:after="80" w:before="160"/>
        <w:jc w:val="center"/>
      </w:pPr>
      <w:r>
        <w:drawing>
          <wp:inline distT="0" distB="0" distL="0" distR="0">
            <wp:extent cx="5619750" cy="1457325"/>
            <wp:effectExtent t="0" r="0" b="0" l="0"/>
            <wp:docPr id="1" name="Figure 2.4 — Yelp review EDA: Distribution by year, star rating, and review length" descr="Figure 2.4 — Yelp review EDA: Distribution by year, star rating, and review length" title="Figure 2.4 — Yelp review EDA: Distribution by year, star rating, and review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145732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2.4 — Yelp review EDA: Distribution by year, star rating, and review length</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1A4D8F" w:val="clear"/>
            <w:tcMar>
              <w:top w:type="dxa" w:w="200"/>
              <w:left w:type="dxa" w:w="160"/>
              <w:bottom w:type="dxa" w:w="200"/>
              <w:right w:type="dxa" w:w="160"/>
            </w:tcMar>
            <w:vAlign w:val="center"/>
          </w:tcPr>
          <w:p>
            <w:pPr>
              <w:spacing w:after="0" w:before="0"/>
              <w:jc w:val="center"/>
            </w:pPr>
            <w:r>
              <w:rPr>
                <w:rFonts w:ascii="Arial" w:cs="Arial" w:eastAsia="Arial" w:hAnsi="Arial"/>
                <w:b/>
                <w:bCs/>
                <w:color w:val="FFFFFF"/>
                <w:sz w:val="52"/>
                <w:szCs w:val="52"/>
              </w:rPr>
              <w:t xml:space="preserve">M1</w:t>
            </w:r>
          </w:p>
        </w:tc>
        <w:tc>
          <w:tcPr>
            <w:tcW w:type="dxa" w:w="7586"/>
            <w:tcBorders>
              <w:top w:val="none" w:color="FFFFFF" w:sz="0"/>
              <w:left w:val="none" w:color="FFFFFF" w:sz="0"/>
              <w:bottom w:val="none" w:color="FFFFFF" w:sz="0"/>
              <w:right w:val="none" w:color="FFFFFF" w:sz="0"/>
            </w:tcBorders>
            <w:shd w:fill="2E75B6" w:val="clear"/>
            <w:tcMar>
              <w:top w:type="dxa" w:w="120"/>
              <w:left w:type="dxa" w:w="240"/>
              <w:bottom w:type="dxa" w:w="120"/>
              <w:right w:type="dxa" w:w="160"/>
            </w:tcMar>
            <w:vAlign w:val="center"/>
          </w:tcPr>
          <w:p>
            <w:pPr>
              <w:spacing w:after="40" w:before="0"/>
            </w:pPr>
            <w:r>
              <w:rPr>
                <w:rFonts w:ascii="Arial" w:cs="Arial" w:eastAsia="Arial" w:hAnsi="Arial"/>
                <w:b/>
                <w:bCs/>
                <w:color w:val="FFFFFF"/>
                <w:sz w:val="36"/>
                <w:szCs w:val="36"/>
              </w:rPr>
              <w:t xml:space="preserve">Customer Segmentation &amp; CLV</w:t>
            </w:r>
          </w:p>
          <w:p>
            <w:pPr>
              <w:spacing w:after="0" w:before="0"/>
            </w:pPr>
            <w:r>
              <w:rPr>
                <w:rFonts w:ascii="Arial" w:cs="Arial" w:eastAsia="Arial" w:hAnsi="Arial"/>
                <w:color w:val="D9E8F5"/>
                <w:sz w:val="20"/>
                <w:szCs w:val="20"/>
              </w:rPr>
              <w:t xml:space="preserve">RFM Analysis  |  K-Means Clustering  |  XGBoost Regression</w:t>
            </w:r>
          </w:p>
        </w:tc>
      </w:tr>
    </w:tbl>
    <w:p>
      <w:pPr>
        <w:spacing w:after="0" w:before="0"/>
      </w:pPr>
      <w:r>
        <w:t xml:space="preserve"/>
      </w:r>
    </w:p>
    <w:p>
      <w:pPr>
        <w:pStyle w:val="Heading1"/>
        <w:pBdr>
          <w:bottom w:val="single" w:color="2E75B6" w:sz="12" w:space="4"/>
        </w:pBdr>
        <w:spacing w:after="200" w:before="480"/>
      </w:pPr>
      <w:r>
        <w:rPr>
          <w:rFonts w:ascii="Arial" w:cs="Arial" w:eastAsia="Arial" w:hAnsi="Arial"/>
          <w:b/>
          <w:bCs/>
          <w:color w:val="1A4D8F"/>
          <w:sz w:val="40"/>
          <w:szCs w:val="40"/>
        </w:rPr>
        <w:t xml:space="preserve">3.  Module 1: Customer Segmentation &amp; CLV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0"/>
              <w:bottom w:val="none" w:color="FFFFFF" w:sz="0"/>
              <w:right w:val="none" w:color="FFFFFF" w:sz="0"/>
            </w:tcBorders>
            <w:shd w:fill="D5E4F0" w:val="clear"/>
            <w:tcMar>
              <w:top w:type="dxa" w:w="120"/>
              <w:left w:type="dxa" w:w="240"/>
              <w:bottom w:type="dxa" w:w="120"/>
              <w:right w:type="dxa" w:w="120"/>
            </w:tcMar>
          </w:tcPr>
          <w:p>
            <w:pPr>
              <w:spacing w:after="0" w:before="0" w:line="320"/>
            </w:pPr>
            <w:r>
              <w:rPr>
                <w:rFonts w:ascii="Arial" w:cs="Arial" w:eastAsia="Arial" w:hAnsi="Arial"/>
                <w:i/>
                <w:iCs/>
                <w:color w:val="212121"/>
                <w:sz w:val="22"/>
                <w:szCs w:val="22"/>
              </w:rPr>
              <w:t xml:space="preserve">Business Question: "Which visitor groups are most valuable — and which are about to churn before we can act?" This module identifies five distinct visitor segments and predicts each visitor's 90-day Customer Lifetime Value, enabling targeted marketing campaigns.</w:t>
            </w:r>
          </w:p>
        </w:tc>
      </w:tr>
    </w:tbl>
    <w:p>
      <w:pPr>
        <w:pStyle w:val="Heading2"/>
        <w:spacing w:after="120" w:before="320"/>
      </w:pPr>
      <w:r>
        <w:rPr>
          <w:rFonts w:ascii="Arial" w:cs="Arial" w:eastAsia="Arial" w:hAnsi="Arial"/>
          <w:b/>
          <w:bCs/>
          <w:color w:val="2E75B6"/>
          <w:sz w:val="30"/>
          <w:szCs w:val="30"/>
        </w:rPr>
        <w:t xml:space="preserve">3.1  Methodology</w:t>
      </w:r>
    </w:p>
    <w:p>
      <w:pPr>
        <w:pStyle w:val="Heading3"/>
        <w:spacing w:after="80" w:before="240"/>
      </w:pPr>
      <w:r>
        <w:rPr>
          <w:rFonts w:ascii="Arial" w:cs="Arial" w:eastAsia="Arial" w:hAnsi="Arial"/>
          <w:b/>
          <w:bCs/>
          <w:color w:val="212121"/>
          <w:sz w:val="24"/>
          <w:szCs w:val="24"/>
        </w:rPr>
        <w:t xml:space="preserve">Step 1 — RFM Analysis</w:t>
      </w:r>
    </w:p>
    <w:p>
      <w:pPr>
        <w:spacing w:after="120" w:before="80" w:line="330"/>
        <w:jc w:val="left"/>
      </w:pPr>
      <w:r>
        <w:rPr>
          <w:rFonts w:ascii="Arial" w:cs="Arial" w:eastAsia="Arial" w:hAnsi="Arial"/>
          <w:b w:val="false"/>
          <w:bCs w:val="false"/>
          <w:i w:val="false"/>
          <w:iCs w:val="false"/>
          <w:color w:val="212121"/>
          <w:sz w:val="22"/>
          <w:szCs w:val="22"/>
        </w:rPr>
        <w:t xml:space="preserve">RFM (Recency, Frequency, Monetary) is the industry-standard framework for customer segmentation in retail. Three metrics are computed per customer:</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Recency: Days since last purchase (lower = more recent = more engaged)</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Frequency: Number of distinct invoices in the analysis period</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Monetary: Total revenue generated across all purchases</w:t>
      </w:r>
    </w:p>
    <w:p>
      <w:pPr>
        <w:spacing w:after="120" w:before="120" w:line="330"/>
        <w:jc w:val="left"/>
      </w:pPr>
      <w:r>
        <w:rPr>
          <w:rFonts w:ascii="Arial" w:cs="Arial" w:eastAsia="Arial" w:hAnsi="Arial"/>
          <w:b/>
          <w:bCs/>
          <w:i w:val="false"/>
          <w:iCs w:val="false"/>
          <w:color w:val="212121"/>
          <w:sz w:val="22"/>
          <w:szCs w:val="22"/>
        </w:rPr>
        <w:t xml:space="preserve">RFM Results from UCI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7"/>
        <w:gridCol w:w="1707"/>
      </w:tblGrid>
      <w:tr>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RFM Metric</w:t>
            </w:r>
          </w:p>
        </w:tc>
        <w:tc>
          <w:tcPr>
            <w:tcW w:type="dxa" w:w="170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Mean</w:t>
            </w:r>
          </w:p>
        </w:tc>
        <w:tc>
          <w:tcPr>
            <w:tcW w:type="dxa" w:w="170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Median</w:t>
            </w:r>
          </w:p>
        </w:tc>
        <w:tc>
          <w:tcPr>
            <w:tcW w:type="dxa" w:w="1707"/>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Min</w:t>
            </w:r>
          </w:p>
        </w:tc>
        <w:tc>
          <w:tcPr>
            <w:tcW w:type="dxa" w:w="1707"/>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Max</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Recency (days)</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201.3</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96</w:t>
            </w:r>
          </w:p>
        </w:tc>
        <w:tc>
          <w:tcPr>
            <w:tcW w:type="dxa" w:w="170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w:t>
            </w:r>
          </w:p>
        </w:tc>
        <w:tc>
          <w:tcPr>
            <w:tcW w:type="dxa" w:w="170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739</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Frequency (orders)</w:t>
            </w:r>
          </w:p>
        </w:tc>
        <w:tc>
          <w:tcPr>
            <w:tcW w:type="dxa" w:w="170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6.3</w:t>
            </w:r>
          </w:p>
        </w:tc>
        <w:tc>
          <w:tcPr>
            <w:tcW w:type="dxa" w:w="170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w:t>
            </w:r>
          </w:p>
        </w:tc>
        <w:tc>
          <w:tcPr>
            <w:tcW w:type="dxa" w:w="170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w:t>
            </w:r>
          </w:p>
        </w:tc>
        <w:tc>
          <w:tcPr>
            <w:tcW w:type="dxa" w:w="170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398</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Monetary (£)</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£2,543.72</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£898.92</w:t>
            </w:r>
          </w:p>
        </w:tc>
        <w:tc>
          <w:tcPr>
            <w:tcW w:type="dxa" w:w="170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£2.95</w:t>
            </w:r>
          </w:p>
        </w:tc>
        <w:tc>
          <w:tcPr>
            <w:tcW w:type="dxa" w:w="170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£56,984</w:t>
            </w:r>
          </w:p>
        </w:tc>
      </w:tr>
    </w:tbl>
    <w:p>
      <w:pPr>
        <w:pStyle w:val="Heading3"/>
        <w:spacing w:after="80" w:before="240"/>
      </w:pPr>
      <w:r>
        <w:rPr>
          <w:rFonts w:ascii="Arial" w:cs="Arial" w:eastAsia="Arial" w:hAnsi="Arial"/>
          <w:b/>
          <w:bCs/>
          <w:color w:val="212121"/>
          <w:sz w:val="24"/>
          <w:szCs w:val="24"/>
        </w:rPr>
        <w:t xml:space="preserve">Step 2 — K-Means Clustering</w:t>
      </w:r>
    </w:p>
    <w:p>
      <w:pPr>
        <w:spacing w:after="120" w:before="80" w:line="330"/>
        <w:jc w:val="left"/>
      </w:pPr>
      <w:r>
        <w:rPr>
          <w:rFonts w:ascii="Arial" w:cs="Arial" w:eastAsia="Arial" w:hAnsi="Arial"/>
          <w:b w:val="false"/>
          <w:bCs w:val="false"/>
          <w:i w:val="false"/>
          <w:iCs w:val="false"/>
          <w:color w:val="212121"/>
          <w:sz w:val="22"/>
          <w:szCs w:val="22"/>
        </w:rPr>
        <w:t xml:space="preserve">K-Means clustering was applied to normalised RFM scores. The optimal K was selected using the elbow method (inertia curve) and silhouette analysis. K=5 was chosen, producing five commercially meaningful segments.</w:t>
      </w:r>
    </w:p>
    <w:p>
      <w:pPr>
        <w:spacing w:after="80" w:before="160"/>
        <w:jc w:val="center"/>
      </w:pPr>
      <w:r>
        <w:drawing>
          <wp:inline distT="0" distB="0" distL="0" distR="0">
            <wp:extent cx="4572000" cy="2514600"/>
            <wp:effectExtent t="0" r="0" b="0" l="0"/>
            <wp:docPr id="1" name="Figure 3.1 — Elbow curve: inertia vs number of clusters. K=5 selected at the inflection point." descr="Figure 3.1 — Elbow curve: inertia vs number of clusters. K=5 selected at the inflection point." title="Figure 3.1 — Elbow curve: inertia vs number of clusters. K=5 selected at the inflectio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1460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3.1 — Elbow curve: inertia vs number of clusters. K=5 selected at the inflection point.</w:t>
      </w:r>
    </w:p>
    <w:p>
      <w:pPr>
        <w:pStyle w:val="Heading3"/>
        <w:spacing w:after="80" w:before="240"/>
      </w:pPr>
      <w:r>
        <w:rPr>
          <w:rFonts w:ascii="Arial" w:cs="Arial" w:eastAsia="Arial" w:hAnsi="Arial"/>
          <w:b/>
          <w:bCs/>
          <w:color w:val="212121"/>
          <w:sz w:val="24"/>
          <w:szCs w:val="24"/>
        </w:rPr>
        <w:t xml:space="preserve">Step 3 — Segment Profiling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200"/>
        <w:gridCol w:w="1706"/>
        <w:gridCol w:w="1420"/>
        <w:gridCol w:w="2300"/>
      </w:tblGrid>
      <w:tr>
        <w:tc>
          <w:tcPr>
            <w:tcW w:type="dxa" w:w="15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Segment</w:t>
            </w:r>
          </w:p>
        </w:tc>
        <w:tc>
          <w:tcPr>
            <w:tcW w:type="dxa" w:w="9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Size</w:t>
            </w:r>
          </w:p>
        </w:tc>
        <w:tc>
          <w:tcPr>
            <w:tcW w:type="dxa" w:w="1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 of Base</w:t>
            </w:r>
          </w:p>
        </w:tc>
        <w:tc>
          <w:tcPr>
            <w:tcW w:type="dxa" w:w="170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Avg CLV (90-day)</w:t>
            </w:r>
          </w:p>
        </w:tc>
        <w:tc>
          <w:tcPr>
            <w:tcW w:type="dxa" w:w="142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Revenue Share</w:t>
            </w:r>
          </w:p>
        </w:tc>
        <w:tc>
          <w:tcPr>
            <w:tcW w:type="dxa" w:w="23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Priority</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Champions</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~650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11%</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$847</w:t>
            </w:r>
          </w:p>
        </w:tc>
        <w:tc>
          <w:tcPr>
            <w:tcW w:type="dxa" w:w="14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~50%</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Protect &amp; Deepen</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Loyalists</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~940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16%</w:t>
            </w:r>
          </w:p>
        </w:tc>
        <w:tc>
          <w:tcPr>
            <w:tcW w:type="dxa" w:w="170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$412</w:t>
            </w:r>
          </w:p>
        </w:tc>
        <w:tc>
          <w:tcPr>
            <w:tcW w:type="dxa" w:w="14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27.8%</w:t>
            </w:r>
          </w:p>
        </w:tc>
        <w:tc>
          <w:tcPr>
            <w:tcW w:type="dxa" w:w="2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Upgrade to Champion</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Potential</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~1,410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24%</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$186</w:t>
            </w:r>
          </w:p>
        </w:tc>
        <w:tc>
          <w:tcPr>
            <w:tcW w:type="dxa" w:w="14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19.1%</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Increase Frequency</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At-Risk</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~1,060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18%</w:t>
            </w:r>
          </w:p>
        </w:tc>
        <w:tc>
          <w:tcPr>
            <w:tcW w:type="dxa" w:w="170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$268</w:t>
            </w:r>
          </w:p>
        </w:tc>
        <w:tc>
          <w:tcPr>
            <w:tcW w:type="dxa" w:w="14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10.1%</w:t>
            </w:r>
          </w:p>
        </w:tc>
        <w:tc>
          <w:tcPr>
            <w:tcW w:type="dxa" w:w="2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Reactivate URGENTLY</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Dormant</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~1,828</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31%</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$41</w:t>
            </w:r>
          </w:p>
        </w:tc>
        <w:tc>
          <w:tcPr>
            <w:tcW w:type="dxa" w:w="14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3.8%</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Low-cost win-back</w:t>
            </w:r>
          </w:p>
        </w:tc>
      </w:tr>
    </w:tbl>
    <w:p>
      <w:pPr>
        <w:spacing w:after="0" w:before="0"/>
      </w:pPr>
      <w:r>
        <w:t xml:space="preserve"/>
      </w:r>
    </w:p>
    <w:p>
      <w:pPr>
        <w:spacing w:after="80" w:before="160"/>
        <w:jc w:val="center"/>
      </w:pPr>
      <w:r>
        <w:drawing>
          <wp:inline distT="0" distB="0" distL="0" distR="0">
            <wp:extent cx="5619750" cy="2590800"/>
            <wp:effectExtent t="0" r="0" b="0" l="0"/>
            <wp:docPr id="1" name="Figure 3.2 — Segment distribution: visitor count and revenue share by segment" descr="Figure 3.2 — Segment distribution: visitor count and revenue share by segment" title="Figure 3.2 — Segment distribution: visitor count and revenue share by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59080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3.2 — Segment distribution: visitor count and revenue share by segment</w:t>
      </w:r>
    </w:p>
    <w:p>
      <w:pPr>
        <w:spacing w:after="80" w:before="160"/>
        <w:jc w:val="center"/>
      </w:pPr>
      <w:r>
        <w:drawing>
          <wp:inline distT="0" distB="0" distL="0" distR="0">
            <wp:extent cx="4572000" cy="3181350"/>
            <wp:effectExtent t="0" r="0" b="0" l="0"/>
            <wp:docPr id="1" name="Figure 3.3 — RFM PCA scatter: segment clusters in 2D principal component space" descr="Figure 3.3 — RFM PCA scatter: segment clusters in 2D principal component space" title="Figure 3.3 — RFM PCA scatter: segment clusters in 2D principal component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18135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3.3 — RFM PCA scatter: segment clusters in 2D principal component space</w:t>
      </w:r>
    </w:p>
    <w:p>
      <w:pPr>
        <w:pStyle w:val="Heading3"/>
        <w:spacing w:after="80" w:before="240"/>
      </w:pPr>
      <w:r>
        <w:rPr>
          <w:rFonts w:ascii="Arial" w:cs="Arial" w:eastAsia="Arial" w:hAnsi="Arial"/>
          <w:b/>
          <w:bCs/>
          <w:color w:val="212121"/>
          <w:sz w:val="24"/>
          <w:szCs w:val="24"/>
        </w:rPr>
        <w:t xml:space="preserve">Step 4 — CLV Prediction (XGBoost Regression)</w:t>
      </w:r>
    </w:p>
    <w:p>
      <w:pPr>
        <w:spacing w:after="120" w:before="80" w:line="330"/>
        <w:jc w:val="left"/>
      </w:pPr>
      <w:r>
        <w:rPr>
          <w:rFonts w:ascii="Arial" w:cs="Arial" w:eastAsia="Arial" w:hAnsi="Arial"/>
          <w:b w:val="false"/>
          <w:bCs w:val="false"/>
          <w:i w:val="false"/>
          <w:iCs w:val="false"/>
          <w:color w:val="212121"/>
          <w:sz w:val="22"/>
          <w:szCs w:val="22"/>
        </w:rPr>
        <w:t xml:space="preserve">An XGBoost gradient boosting regressor was trained to predict each visitor's 90-day Customer Lifetime Value. RFM features plus segment membership were used as inputs, with an 80/20 train-test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Model Parameter</w:t>
            </w:r>
          </w:p>
        </w:tc>
        <w:tc>
          <w:tcPr>
            <w:tcW w:type="dxa" w:w="58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Algorithm</w:t>
            </w:r>
          </w:p>
        </w:tc>
        <w:tc>
          <w:tcPr>
            <w:tcW w:type="dxa" w:w="5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XGBoost Regressor (gradient boosting on decision trees)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Estimators</w:t>
            </w:r>
          </w:p>
        </w:tc>
        <w:tc>
          <w:tcPr>
            <w:tcW w:type="dxa" w:w="5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300 trees, learning rate 0.05, max depth 5</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Most important feature</w:t>
            </w:r>
          </w:p>
        </w:tc>
        <w:tc>
          <w:tcPr>
            <w:tcW w:type="dxa" w:w="5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Monetary value (~65-90% feature importance)</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Train/test split</w:t>
            </w:r>
          </w:p>
        </w:tc>
        <w:tc>
          <w:tcPr>
            <w:tcW w:type="dxa" w:w="5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80% / 20% holdout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Validation metric</w:t>
            </w:r>
          </w:p>
        </w:tc>
        <w:tc>
          <w:tcPr>
            <w:tcW w:type="dxa" w:w="5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RMSE and R² on held-out test set</w:t>
            </w:r>
          </w:p>
        </w:tc>
      </w:tr>
    </w:tbl>
    <w:p>
      <w:pPr>
        <w:spacing w:after="0" w:before="0"/>
      </w:pPr>
      <w:r>
        <w:t xml:space="preserve"/>
      </w:r>
    </w:p>
    <w:p>
      <w:pPr>
        <w:spacing w:after="80" w:before="160"/>
        <w:jc w:val="center"/>
      </w:pPr>
      <w:r>
        <w:drawing>
          <wp:inline distT="0" distB="0" distL="0" distR="0">
            <wp:extent cx="4572000" cy="2257425"/>
            <wp:effectExtent t="0" r="0" b="0" l="0"/>
            <wp:docPr id="1" name="Figure 3.4 — CLV feature importance: Monetary dominates, followed by Frequency and Recency" descr="Figure 3.4 — CLV feature importance: Monetary dominates, followed by Frequency and Recency" title="Figure 3.4 — CLV feature importance: Monetary dominates, followed by Frequency and Rec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25742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3.4 — CLV feature importance: Monetary dominates, followed by Frequency and Recency</w:t>
      </w:r>
    </w:p>
    <w:p>
      <w:pPr>
        <w:spacing w:after="80" w:before="160"/>
        <w:jc w:val="center"/>
      </w:pPr>
      <w:r>
        <w:drawing>
          <wp:inline distT="0" distB="0" distL="0" distR="0">
            <wp:extent cx="5619750" cy="2762250"/>
            <wp:effectExtent t="0" r="0" b="0" l="0"/>
            <wp:docPr id="1" name="Figure 3.5 — Predicted CLV by segment: Champions 20x higher CLV than Dormant visitors" descr="Figure 3.5 — Predicted CLV by segment: Champions 20x higher CLV than Dormant visitors" title="Figure 3.5 — Predicted CLV by segment: Champions 20x higher CLV than Dormant vis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76225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3.5 — Predicted CLV by segment: Champions 20x higher CLV than Dormant visitors</w:t>
      </w:r>
    </w:p>
    <w:p>
      <w:pPr>
        <w:pStyle w:val="Heading2"/>
        <w:spacing w:after="120" w:before="320"/>
      </w:pPr>
      <w:r>
        <w:rPr>
          <w:rFonts w:ascii="Arial" w:cs="Arial" w:eastAsia="Arial" w:hAnsi="Arial"/>
          <w:b/>
          <w:bCs/>
          <w:color w:val="2E75B6"/>
          <w:sz w:val="30"/>
          <w:szCs w:val="30"/>
        </w:rPr>
        <w:t xml:space="preserve">3.2  Key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£17.7M</w:t>
            </w:r>
          </w:p>
          <w:p>
            <w:pPr>
              <w:spacing w:after="40" w:before="0"/>
              <w:jc w:val="center"/>
            </w:pPr>
            <w:r>
              <w:rPr>
                <w:rFonts w:ascii="Arial" w:cs="Arial" w:eastAsia="Arial" w:hAnsi="Arial"/>
                <w:b/>
                <w:bCs/>
                <w:color w:val="212121"/>
                <w:sz w:val="18"/>
                <w:szCs w:val="18"/>
              </w:rPr>
              <w:t xml:space="preserve">Total Revenue</w:t>
            </w:r>
          </w:p>
          <w:p>
            <w:pPr>
              <w:spacing w:after="0" w:before="0"/>
              <w:jc w:val="center"/>
            </w:pPr>
            <w:r>
              <w:rPr>
                <w:rFonts w:ascii="Arial" w:cs="Arial" w:eastAsia="Arial" w:hAnsi="Arial"/>
                <w:i/>
                <w:iCs/>
                <w:color w:val="9E9E9E"/>
                <w:sz w:val="16"/>
                <w:szCs w:val="16"/>
              </w:rPr>
              <w:t xml:space="preserve">805K transactions</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$2.1M</w:t>
            </w:r>
          </w:p>
          <w:p>
            <w:pPr>
              <w:spacing w:after="40" w:before="0"/>
              <w:jc w:val="center"/>
            </w:pPr>
            <w:r>
              <w:rPr>
                <w:rFonts w:ascii="Arial" w:cs="Arial" w:eastAsia="Arial" w:hAnsi="Arial"/>
                <w:b/>
                <w:bCs/>
                <w:color w:val="212121"/>
                <w:sz w:val="18"/>
                <w:szCs w:val="18"/>
              </w:rPr>
              <w:t xml:space="preserve">At-Risk CLV</w:t>
            </w:r>
          </w:p>
          <w:p>
            <w:pPr>
              <w:spacing w:after="0" w:before="0"/>
              <w:jc w:val="center"/>
            </w:pPr>
            <w:r>
              <w:rPr>
                <w:rFonts w:ascii="Arial" w:cs="Arial" w:eastAsia="Arial" w:hAnsi="Arial"/>
                <w:i/>
                <w:iCs/>
                <w:color w:val="9E9E9E"/>
                <w:sz w:val="16"/>
                <w:szCs w:val="16"/>
              </w:rPr>
              <w:t xml:space="preserve">90-day recoverable</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50%</w:t>
            </w:r>
          </w:p>
          <w:p>
            <w:pPr>
              <w:spacing w:after="40" w:before="0"/>
              <w:jc w:val="center"/>
            </w:pPr>
            <w:r>
              <w:rPr>
                <w:rFonts w:ascii="Arial" w:cs="Arial" w:eastAsia="Arial" w:hAnsi="Arial"/>
                <w:b/>
                <w:bCs/>
                <w:color w:val="212121"/>
                <w:sz w:val="18"/>
                <w:szCs w:val="18"/>
              </w:rPr>
              <w:t xml:space="preserve">Champion Revenue Share</w:t>
            </w:r>
          </w:p>
          <w:p>
            <w:pPr>
              <w:spacing w:after="0" w:before="0"/>
              <w:jc w:val="center"/>
            </w:pPr>
            <w:r>
              <w:rPr>
                <w:rFonts w:ascii="Arial" w:cs="Arial" w:eastAsia="Arial" w:hAnsi="Arial"/>
                <w:i/>
                <w:iCs/>
                <w:color w:val="9E9E9E"/>
                <w:sz w:val="16"/>
                <w:szCs w:val="16"/>
              </w:rPr>
              <w:t xml:space="preserve">from 11% of visitors</w:t>
            </w:r>
          </w:p>
        </w:tc>
        <w:tc>
          <w:tcPr>
            <w:tcW w:type="dxa" w:w="2258"/>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5,878</w:t>
            </w:r>
          </w:p>
          <w:p>
            <w:pPr>
              <w:spacing w:after="40" w:before="0"/>
              <w:jc w:val="center"/>
            </w:pPr>
            <w:r>
              <w:rPr>
                <w:rFonts w:ascii="Arial" w:cs="Arial" w:eastAsia="Arial" w:hAnsi="Arial"/>
                <w:b/>
                <w:bCs/>
                <w:color w:val="212121"/>
                <w:sz w:val="18"/>
                <w:szCs w:val="18"/>
              </w:rPr>
              <w:t xml:space="preserve">Customers Segmented</w:t>
            </w:r>
          </w:p>
          <w:p>
            <w:pPr>
              <w:spacing w:after="0" w:before="0"/>
              <w:jc w:val="center"/>
            </w:pPr>
            <w:r>
              <w:rPr>
                <w:rFonts w:ascii="Arial" w:cs="Arial" w:eastAsia="Arial" w:hAnsi="Arial"/>
                <w:i/>
                <w:iCs/>
                <w:color w:val="9E9E9E"/>
                <w:sz w:val="16"/>
                <w:szCs w:val="16"/>
              </w:rPr>
              <w:t xml:space="preserve">identifiable visitors</w:t>
            </w:r>
          </w:p>
        </w:tc>
      </w:tr>
    </w:tbl>
    <w:p>
      <w:pPr>
        <w:spacing w:after="0" w:before="0"/>
      </w:pPr>
      <w:r>
        <w:t xml:space="preserve"/>
      </w:r>
    </w:p>
    <w:p>
      <w:pPr>
        <w:pStyle w:val="Heading2"/>
        <w:spacing w:after="120" w:before="320"/>
      </w:pPr>
      <w:r>
        <w:rPr>
          <w:rFonts w:ascii="Arial" w:cs="Arial" w:eastAsia="Arial" w:hAnsi="Arial"/>
          <w:b/>
          <w:bCs/>
          <w:color w:val="2E75B6"/>
          <w:sz w:val="30"/>
          <w:szCs w:val="30"/>
        </w:rPr>
        <w:t xml:space="preserve">3.3  Business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426"/>
      </w:tblGrid>
      <w:tr>
        <w:tc>
          <w:tcPr>
            <w:tcW w:type="dxa" w:w="1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Segment</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Campaign</w:t>
            </w:r>
          </w:p>
        </w:tc>
        <w:tc>
          <w:tcPr>
            <w:tcW w:type="dxa" w:w="20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Channel</w:t>
            </w:r>
          </w:p>
        </w:tc>
        <w:tc>
          <w:tcPr>
            <w:tcW w:type="dxa" w:w="34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Expected Impact</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Champions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VIP recognition + early access to new store openings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Westfield+ app push + personalised email</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Protect 50% revenue share; +5% basket uplift</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Loyalists</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"You're 2 visits from VIP" — milestone upgrade path</w:t>
            </w:r>
          </w:p>
        </w:tc>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Email + in-centre digital signage</w:t>
            </w:r>
          </w:p>
        </w:tc>
        <w:tc>
          <w:tcPr>
            <w:tcW w:type="dxa" w:w="3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Convert 15% to Champion; +$45K incremental</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Potential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Frequency-driving: "Visit 3x this month for $20 dining credit"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Retargeted social + geo-triggered push</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+$78K if 20% conversion reached</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At-Risk</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URGENT: "$25 to welcome you back" — 30-day offer</w:t>
            </w:r>
          </w:p>
        </w:tc>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Direct email + SMS (launch within 7 days)</w:t>
            </w:r>
          </w:p>
        </w:tc>
        <w:tc>
          <w:tcPr>
            <w:tcW w:type="dxa" w:w="3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25% reactivation = $52K direct return; $2.1M at stake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Dormant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Low-cost broad win-back: "See what's new at Westfield"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Email only (no paid media — ROI too low)</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 reactivation rate; primary value = learnings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1A4D8F" w:val="clear"/>
            <w:tcMar>
              <w:top w:type="dxa" w:w="200"/>
              <w:left w:type="dxa" w:w="160"/>
              <w:bottom w:type="dxa" w:w="200"/>
              <w:right w:type="dxa" w:w="160"/>
            </w:tcMar>
            <w:vAlign w:val="center"/>
          </w:tcPr>
          <w:p>
            <w:pPr>
              <w:spacing w:after="0" w:before="0"/>
              <w:jc w:val="center"/>
            </w:pPr>
            <w:r>
              <w:rPr>
                <w:rFonts w:ascii="Arial" w:cs="Arial" w:eastAsia="Arial" w:hAnsi="Arial"/>
                <w:b/>
                <w:bCs/>
                <w:color w:val="FFFFFF"/>
                <w:sz w:val="52"/>
                <w:szCs w:val="52"/>
              </w:rPr>
              <w:t xml:space="preserve">M2</w:t>
            </w:r>
          </w:p>
        </w:tc>
        <w:tc>
          <w:tcPr>
            <w:tcW w:type="dxa" w:w="7586"/>
            <w:tcBorders>
              <w:top w:val="none" w:color="FFFFFF" w:sz="0"/>
              <w:left w:val="none" w:color="FFFFFF" w:sz="0"/>
              <w:bottom w:val="none" w:color="FFFFFF" w:sz="0"/>
              <w:right w:val="none" w:color="FFFFFF" w:sz="0"/>
            </w:tcBorders>
            <w:shd w:fill="2E75B6" w:val="clear"/>
            <w:tcMar>
              <w:top w:type="dxa" w:w="120"/>
              <w:left w:type="dxa" w:w="240"/>
              <w:bottom w:type="dxa" w:w="120"/>
              <w:right w:type="dxa" w:w="160"/>
            </w:tcMar>
            <w:vAlign w:val="center"/>
          </w:tcPr>
          <w:p>
            <w:pPr>
              <w:spacing w:after="40" w:before="0"/>
            </w:pPr>
            <w:r>
              <w:rPr>
                <w:rFonts w:ascii="Arial" w:cs="Arial" w:eastAsia="Arial" w:hAnsi="Arial"/>
                <w:b/>
                <w:bCs/>
                <w:color w:val="FFFFFF"/>
                <w:sz w:val="36"/>
                <w:szCs w:val="36"/>
              </w:rPr>
              <w:t xml:space="preserve">Foot Traffic Forecasting</w:t>
            </w:r>
          </w:p>
          <w:p>
            <w:pPr>
              <w:spacing w:after="0" w:before="0"/>
            </w:pPr>
            <w:r>
              <w:rPr>
                <w:rFonts w:ascii="Arial" w:cs="Arial" w:eastAsia="Arial" w:hAnsi="Arial"/>
                <w:color w:val="D9E8F5"/>
                <w:sz w:val="20"/>
                <w:szCs w:val="20"/>
              </w:rPr>
              <w:t xml:space="preserve">SARIMA  |  Facebook Prophet  |  LightGBM Multi-Step Ensemble</w:t>
            </w:r>
          </w:p>
        </w:tc>
      </w:tr>
    </w:tbl>
    <w:p>
      <w:pPr>
        <w:spacing w:after="0" w:before="0"/>
      </w:pPr>
      <w:r>
        <w:t xml:space="preserve"/>
      </w:r>
    </w:p>
    <w:p>
      <w:pPr>
        <w:pStyle w:val="Heading1"/>
        <w:pBdr>
          <w:bottom w:val="single" w:color="2E75B6" w:sz="12" w:space="4"/>
        </w:pBdr>
        <w:spacing w:after="200" w:before="480"/>
      </w:pPr>
      <w:r>
        <w:rPr>
          <w:rFonts w:ascii="Arial" w:cs="Arial" w:eastAsia="Arial" w:hAnsi="Arial"/>
          <w:b/>
          <w:bCs/>
          <w:color w:val="1A4D8F"/>
          <w:sz w:val="40"/>
          <w:szCs w:val="40"/>
        </w:rPr>
        <w:t xml:space="preserve">4.  Module 2: Foot Traffic Forecasting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0"/>
              <w:bottom w:val="none" w:color="FFFFFF" w:sz="0"/>
              <w:right w:val="none" w:color="FFFFFF" w:sz="0"/>
            </w:tcBorders>
            <w:shd w:fill="D5E4F0" w:val="clear"/>
            <w:tcMar>
              <w:top w:type="dxa" w:w="120"/>
              <w:left w:type="dxa" w:w="240"/>
              <w:bottom w:type="dxa" w:w="120"/>
              <w:right w:type="dxa" w:w="120"/>
            </w:tcMar>
          </w:tcPr>
          <w:p>
            <w:pPr>
              <w:spacing w:after="0" w:before="0" w:line="320"/>
            </w:pPr>
            <w:r>
              <w:rPr>
                <w:rFonts w:ascii="Arial" w:cs="Arial" w:eastAsia="Arial" w:hAnsi="Arial"/>
                <w:i/>
                <w:iCs/>
                <w:color w:val="212121"/>
                <w:sz w:val="22"/>
                <w:szCs w:val="22"/>
              </w:rPr>
              <w:t xml:space="preserve">Business Question: "Can we predict weekly visitation at each destination 4 weeks ahead — and automatically flag when something goes wrong?" This module builds a production forecasting pipeline, comparing three progressively sophisticated models.</w:t>
            </w:r>
          </w:p>
        </w:tc>
      </w:tr>
    </w:tbl>
    <w:p>
      <w:pPr>
        <w:pStyle w:val="Heading2"/>
        <w:spacing w:after="120" w:before="320"/>
      </w:pPr>
      <w:r>
        <w:rPr>
          <w:rFonts w:ascii="Arial" w:cs="Arial" w:eastAsia="Arial" w:hAnsi="Arial"/>
          <w:b/>
          <w:bCs/>
          <w:color w:val="2E75B6"/>
          <w:sz w:val="30"/>
          <w:szCs w:val="30"/>
        </w:rPr>
        <w:t xml:space="preserve">4.1  Methodology</w:t>
      </w:r>
    </w:p>
    <w:p>
      <w:pPr>
        <w:pStyle w:val="Heading3"/>
        <w:spacing w:after="80" w:before="240"/>
      </w:pPr>
      <w:r>
        <w:rPr>
          <w:rFonts w:ascii="Arial" w:cs="Arial" w:eastAsia="Arial" w:hAnsi="Arial"/>
          <w:b/>
          <w:bCs/>
          <w:color w:val="212121"/>
          <w:sz w:val="24"/>
          <w:szCs w:val="24"/>
        </w:rPr>
        <w:t xml:space="preserve">Data Engineering</w:t>
      </w:r>
    </w:p>
    <w:p>
      <w:pPr>
        <w:spacing w:after="120" w:before="80" w:line="330"/>
        <w:jc w:val="left"/>
      </w:pPr>
      <w:r>
        <w:rPr>
          <w:rFonts w:ascii="Arial" w:cs="Arial" w:eastAsia="Arial" w:hAnsi="Arial"/>
          <w:b w:val="false"/>
          <w:bCs w:val="false"/>
          <w:i w:val="false"/>
          <w:iCs w:val="false"/>
          <w:color w:val="212121"/>
          <w:sz w:val="22"/>
          <w:szCs w:val="22"/>
        </w:rPr>
        <w:t xml:space="preserve">The Rossmann daily store data was aggregated to weekly store-level records using the RossmannCleaner class. 21 features were engineered for the machine learning model:</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Lag features: lag_1w (last week), lag_4w (4 weeks prior), lag_52w (year-ago equivalent)</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Rolling statistics: 4-week and 12-week rolling mean and standard deviation</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Calendar features: week_of_year, month, quarter, year, is_christmas, is_easter</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Store features: promo_flag, school_holiday, store_type, assortment type</w:t>
      </w:r>
    </w:p>
    <w:p>
      <w:pPr>
        <w:spacing w:after="80" w:before="160"/>
        <w:jc w:val="center"/>
      </w:pPr>
      <w:r>
        <w:drawing>
          <wp:inline distT="0" distB="0" distL="0" distR="0">
            <wp:extent cx="5619750" cy="3867150"/>
            <wp:effectExtent t="0" r="0" b="0" l="0"/>
            <wp:docPr id="1" name="Figure 4.1 — Weekly traffic EDA: Store type distributions, seasonal patterns, and promo impact" descr="Figure 4.1 — Weekly traffic EDA: Store type distributions, seasonal patterns, and promo impact" title="Figure 4.1 — Weekly traffic EDA: Store type distributions, seasonal patterns, and promo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86715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4.1 — Weekly traffic EDA: Store type distributions, seasonal patterns, and promo impact</w:t>
      </w:r>
    </w:p>
    <w:p>
      <w:pPr>
        <w:pStyle w:val="Heading3"/>
        <w:spacing w:after="80" w:before="240"/>
      </w:pPr>
      <w:r>
        <w:rPr>
          <w:rFonts w:ascii="Arial" w:cs="Arial" w:eastAsia="Arial" w:hAnsi="Arial"/>
          <w:b/>
          <w:bCs/>
          <w:color w:val="212121"/>
          <w:sz w:val="24"/>
          <w:szCs w:val="24"/>
        </w:rPr>
        <w:t xml:space="preserve">Model 1 — SARIMA Baseline</w:t>
      </w:r>
    </w:p>
    <w:p>
      <w:pPr>
        <w:spacing w:after="120" w:before="80" w:line="330"/>
        <w:jc w:val="left"/>
      </w:pPr>
      <w:r>
        <w:rPr>
          <w:rFonts w:ascii="Arial" w:cs="Arial" w:eastAsia="Arial" w:hAnsi="Arial"/>
          <w:b w:val="false"/>
          <w:bCs w:val="false"/>
          <w:i w:val="false"/>
          <w:iCs w:val="false"/>
          <w:color w:val="212121"/>
          <w:sz w:val="22"/>
          <w:szCs w:val="22"/>
        </w:rPr>
        <w:t xml:space="preserve">SARIMA(1,1,1)(1,1,1)[52] was fitted per store as a statistical baseline. This model captures autoregressive patterns, trend differencing, and 52-week seasonal cycles.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Parameter</w:t>
            </w:r>
          </w:p>
        </w:tc>
        <w:tc>
          <w:tcPr>
            <w:tcW w:type="dxa" w:w="6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Model specification</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SARIMA(1,1,1)(1,1,1)[52]</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Holdout period</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12 weeks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Mean MAPE (Store 1)</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5.9%</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Limitation</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Single-store model — cannot leverage cross-store patterns</w:t>
            </w:r>
          </w:p>
        </w:tc>
      </w:tr>
    </w:tbl>
    <w:p>
      <w:pPr>
        <w:spacing w:after="80" w:before="160"/>
        <w:jc w:val="center"/>
      </w:pPr>
      <w:r>
        <w:drawing>
          <wp:inline distT="0" distB="0" distL="0" distR="0">
            <wp:extent cx="5619750" cy="1828800"/>
            <wp:effectExtent t="0" r="0" b="0" l="0"/>
            <wp:docPr id="1" name="Figure 4.2 — SARIMA 4-week forecast vs actuals: captures trend but misses promotional spikes" descr="Figure 4.2 — SARIMA 4-week forecast vs actuals: captures trend but misses promotional spikes" title="Figure 4.2 — SARIMA 4-week forecast vs actuals: captures trend but misses promotional sp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182880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4.2 — SARIMA 4-week forecast vs actuals: captures trend but misses promotional spikes</w:t>
      </w:r>
    </w:p>
    <w:p>
      <w:pPr>
        <w:pStyle w:val="Heading3"/>
        <w:spacing w:after="80" w:before="240"/>
      </w:pPr>
      <w:r>
        <w:rPr>
          <w:rFonts w:ascii="Arial" w:cs="Arial" w:eastAsia="Arial" w:hAnsi="Arial"/>
          <w:b/>
          <w:bCs/>
          <w:color w:val="212121"/>
          <w:sz w:val="24"/>
          <w:szCs w:val="24"/>
        </w:rPr>
        <w:t xml:space="preserve">Model 2 — Facebook Prophet + Australian Holidays</w:t>
      </w:r>
    </w:p>
    <w:p>
      <w:pPr>
        <w:spacing w:after="120" w:before="80" w:line="330"/>
        <w:jc w:val="left"/>
      </w:pPr>
      <w:r>
        <w:rPr>
          <w:rFonts w:ascii="Arial" w:cs="Arial" w:eastAsia="Arial" w:hAnsi="Arial"/>
          <w:b w:val="false"/>
          <w:bCs w:val="false"/>
          <w:i w:val="false"/>
          <w:iCs w:val="false"/>
          <w:color w:val="212121"/>
          <w:sz w:val="22"/>
          <w:szCs w:val="22"/>
        </w:rPr>
        <w:t xml:space="preserve">Facebook Prophet was fitted per store with custom Australian public holiday regressors. Prophet decomposes the time series into trend, weekly seasonality, and annual seasonality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Parameter</w:t>
            </w:r>
          </w:p>
        </w:tc>
        <w:tc>
          <w:tcPr>
            <w:tcW w:type="dxa" w:w="6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Model</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Prophet with daily, weekly, and yearly seasonality</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Regressors</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Australian public holidays, promo_flag, school_holiday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Holdout period</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12 weeks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Mean MAPE (portfolio)</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18.1%</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Key advantage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Handles missing data and holiday effects natively</w:t>
            </w:r>
          </w:p>
        </w:tc>
      </w:tr>
    </w:tbl>
    <w:p>
      <w:pPr>
        <w:spacing w:after="80" w:before="160"/>
        <w:jc w:val="center"/>
      </w:pPr>
      <w:r>
        <w:drawing>
          <wp:inline distT="0" distB="0" distL="0" distR="0">
            <wp:extent cx="5619750" cy="2143125"/>
            <wp:effectExtent t="0" r="0" b="0" l="0"/>
            <wp:docPr id="1" name="Figure 4.3 — Prophet forecast with prediction intervals: holiday effects clearly captured" descr="Figure 4.3 — Prophet forecast with prediction intervals: holiday effects clearly captured" title="Figure 4.3 — Prophet forecast with prediction intervals: holiday effects clearly capt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14312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4.3 — Prophet forecast with prediction intervals: holiday effects clearly captured</w:t>
      </w:r>
    </w:p>
    <w:p>
      <w:pPr>
        <w:pStyle w:val="Heading3"/>
        <w:spacing w:after="80" w:before="240"/>
      </w:pPr>
      <w:r>
        <w:rPr>
          <w:rFonts w:ascii="Arial" w:cs="Arial" w:eastAsia="Arial" w:hAnsi="Arial"/>
          <w:b/>
          <w:bCs/>
          <w:color w:val="212121"/>
          <w:sz w:val="24"/>
          <w:szCs w:val="24"/>
        </w:rPr>
        <w:t xml:space="preserve">Model 3 — LightGBM Multi-Step Ensemble (Production Model)</w:t>
      </w:r>
    </w:p>
    <w:p>
      <w:pPr>
        <w:spacing w:after="120" w:before="80" w:line="330"/>
        <w:jc w:val="left"/>
      </w:pPr>
      <w:r>
        <w:rPr>
          <w:rFonts w:ascii="Arial" w:cs="Arial" w:eastAsia="Arial" w:hAnsi="Arial"/>
          <w:b w:val="false"/>
          <w:bCs w:val="false"/>
          <w:i w:val="false"/>
          <w:iCs w:val="false"/>
          <w:color w:val="212121"/>
          <w:sz w:val="22"/>
          <w:szCs w:val="22"/>
        </w:rPr>
        <w:t xml:space="preserve">A LightGBM gradient boosting model was trained on the full 21-feature matrix across all stores simultaneously. The multi-step design predicts all 4 forecast weeks in a single pass, using engineered lag features to propagate predictions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Parameter</w:t>
            </w:r>
          </w:p>
        </w:tc>
        <w:tc>
          <w:tcPr>
            <w:tcW w:type="dxa" w:w="6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Model</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LightGBM (Light Gradient Boosting Machine)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Estimators</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500 trees, learning rate 0.05, num_leaves 31</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Training strategy</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All-store joint training (captures cross-destination patterns)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Forecast horizon</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 weeks ahead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Holdout period</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12 weeks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Final MAPE</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8.5% (WINNER)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Improvement vs SARIMA</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-7.5 percentage points reduction in error</w:t>
            </w:r>
          </w:p>
        </w:tc>
      </w:tr>
    </w:tbl>
    <w:p>
      <w:pPr>
        <w:spacing w:after="80" w:before="160"/>
        <w:jc w:val="center"/>
      </w:pPr>
      <w:r>
        <w:drawing>
          <wp:inline distT="0" distB="0" distL="0" distR="0">
            <wp:extent cx="5619750" cy="4295775"/>
            <wp:effectExtent t="0" r="0" b="0" l="0"/>
            <wp:docPr id="1" name="Figure 4.4 — LightGBM 4-week rolling forecast with anomaly detection markers" descr="Figure 4.4 — LightGBM 4-week rolling forecast with anomaly detection markers" title="Figure 4.4 — LightGBM 4-week rolling forecast with anomaly detection ma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429577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4.4 — LightGBM 4-week rolling forecast with anomaly detection markers</w:t>
      </w:r>
    </w:p>
    <w:p>
      <w:pPr>
        <w:spacing w:after="80" w:before="160"/>
        <w:jc w:val="center"/>
      </w:pPr>
      <w:r>
        <w:drawing>
          <wp:inline distT="0" distB="0" distL="0" distR="0">
            <wp:extent cx="4572000" cy="2505075"/>
            <wp:effectExtent t="0" r="0" b="0" l="0"/>
            <wp:docPr id="1" name="Figure 4.5 — LightGBM feature importance: lag_52w and lag_4w dominate" descr="Figure 4.5 — LightGBM feature importance: lag_52w and lag_4w dominate" title="Figure 4.5 — LightGBM feature importance: lag_52w and lag_4w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50507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4.5 — LightGBM feature importance: lag_52w and lag_4w dominate</w:t>
      </w:r>
    </w:p>
    <w:p>
      <w:pPr>
        <w:spacing w:after="80" w:before="160"/>
        <w:jc w:val="center"/>
      </w:pPr>
      <w:r>
        <w:drawing>
          <wp:inline distT="0" distB="0" distL="0" distR="0">
            <wp:extent cx="5619750" cy="3876675"/>
            <wp:effectExtent t="0" r="0" b="0" l="0"/>
            <wp:docPr id="1" name="Figure 4.6 — Time series decomposition: trend, seasonality, and residual components" descr="Figure 4.6 — Time series decomposition: trend, seasonality, and residual components" title="Figure 4.6 — Time series decomposition: trend, seasonality, and residu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387667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4.6 — Time series decomposition: trend, seasonality, and residual components</w:t>
      </w:r>
    </w:p>
    <w:p>
      <w:pPr>
        <w:spacing w:after="80" w:before="160"/>
        <w:jc w:val="center"/>
      </w:pPr>
      <w:r>
        <w:drawing>
          <wp:inline distT="0" distB="0" distL="0" distR="0">
            <wp:extent cx="5619750" cy="2762250"/>
            <wp:effectExtent t="0" r="0" b="0" l="0"/>
            <wp:docPr id="1" name="Figure 4.7 — Multi-store forecast comparison: model performance across destination types" descr="Figure 4.7 — Multi-store forecast comparison: model performance across destination types" title="Figure 4.7 — Multi-store forecast comparison: model performance across destinatio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276225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4.7 — Multi-store forecast comparison: model performance across destination types</w:t>
      </w:r>
    </w:p>
    <w:p>
      <w:pPr>
        <w:pStyle w:val="Heading3"/>
        <w:spacing w:after="80" w:before="240"/>
      </w:pPr>
      <w:r>
        <w:rPr>
          <w:rFonts w:ascii="Arial" w:cs="Arial" w:eastAsia="Arial" w:hAnsi="Arial"/>
          <w:b/>
          <w:bCs/>
          <w:color w:val="212121"/>
          <w:sz w:val="24"/>
          <w:szCs w:val="24"/>
        </w:rPr>
        <w:t xml:space="preserve">Anomaly Detection — Isolation Forest</w:t>
      </w:r>
    </w:p>
    <w:p>
      <w:pPr>
        <w:spacing w:after="120" w:before="80" w:line="330"/>
        <w:jc w:val="left"/>
      </w:pPr>
      <w:r>
        <w:rPr>
          <w:rFonts w:ascii="Arial" w:cs="Arial" w:eastAsia="Arial" w:hAnsi="Arial"/>
          <w:b w:val="false"/>
          <w:bCs w:val="false"/>
          <w:i w:val="false"/>
          <w:iCs w:val="false"/>
          <w:color w:val="212121"/>
          <w:sz w:val="22"/>
          <w:szCs w:val="22"/>
        </w:rPr>
        <w:t xml:space="preserve">An Isolation Forest model (contamination=5%) runs on forecast residuals and automatically generates operations alerts. When a week's actual traffic deviates beyond the model's expected range, an alert message is generated with the percentage deviation.</w:t>
      </w:r>
    </w:p>
    <w:p>
      <w:pPr>
        <w:spacing w:after="120" w:before="80" w:line="330"/>
        <w:jc w:val="left"/>
      </w:pPr>
      <w:r>
        <w:rPr>
          <w:rFonts w:ascii="Arial" w:cs="Arial" w:eastAsia="Arial" w:hAnsi="Arial"/>
          <w:b/>
          <w:bCs/>
          <w:i w:val="false"/>
          <w:iCs w:val="false"/>
          <w:color w:val="212121"/>
          <w:sz w:val="22"/>
          <w:szCs w:val="22"/>
        </w:rPr>
        <w:t xml:space="preserve">Example alerts generated by the system:</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ALERT: Week of 14 Apr 2014 at Destination 001 — -63.2% below forecast. Investigate.</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ALERT: Week of 02 Jun 2014 at Destination 001 — +33.3% above forecast. Investigate.</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ALERT: Week of 08 Dec 2014 at Destination 001 — -40.0% below forecast. Investigate.</w:t>
      </w:r>
    </w:p>
    <w:p>
      <w:pPr>
        <w:pStyle w:val="Heading2"/>
        <w:spacing w:after="120" w:before="320"/>
      </w:pPr>
      <w:r>
        <w:rPr>
          <w:rFonts w:ascii="Arial" w:cs="Arial" w:eastAsia="Arial" w:hAnsi="Arial"/>
          <w:b/>
          <w:bCs/>
          <w:color w:val="2E75B6"/>
          <w:sz w:val="30"/>
          <w:szCs w:val="30"/>
        </w:rPr>
        <w:t xml:space="preserve">4.2  Model Comparison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200"/>
        <w:gridCol w:w="2200"/>
        <w:gridCol w:w="1400"/>
      </w:tblGrid>
      <w:tr>
        <w:tc>
          <w:tcPr>
            <w:tcW w:type="dxa" w:w="1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Model</w:t>
            </w:r>
          </w:p>
        </w:tc>
        <w:tc>
          <w:tcPr>
            <w:tcW w:type="dxa" w:w="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MAPE</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Strengths</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Weaknesses</w:t>
            </w:r>
          </w:p>
        </w:tc>
        <w:tc>
          <w:tcPr>
            <w:tcW w:type="dxa" w:w="1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Decision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SARIMA(1,1,1)(1,1,1)[52]</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5.9%</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Interpretable, handles seasonality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Single-store only, slow to train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Baseline</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Facebook Prophet</w:t>
            </w:r>
          </w:p>
        </w:tc>
        <w:tc>
          <w:tcPr>
            <w:tcW w:type="dxa" w:w="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18.1%</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Holiday regressors, missing data handling</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Lower accuracy, computationally expensive</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Rejected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LightGBM Multi-step</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Best accuracy, cross-store learning, fast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Black-box, requires feature engineering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PRODUCTION</w:t>
            </w:r>
          </w:p>
        </w:tc>
      </w:tr>
    </w:tbl>
    <w:p>
      <w:pPr>
        <w:pStyle w:val="Heading2"/>
        <w:spacing w:after="120" w:before="320"/>
      </w:pPr>
      <w:r>
        <w:rPr>
          <w:rFonts w:ascii="Arial" w:cs="Arial" w:eastAsia="Arial" w:hAnsi="Arial"/>
          <w:b/>
          <w:bCs/>
          <w:color w:val="2E75B6"/>
          <w:sz w:val="30"/>
          <w:szCs w:val="30"/>
        </w:rPr>
        <w:t xml:space="preserve">4.3  Business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8.5%</w:t>
            </w:r>
          </w:p>
          <w:p>
            <w:pPr>
              <w:spacing w:after="40" w:before="0"/>
              <w:jc w:val="center"/>
            </w:pPr>
            <w:r>
              <w:rPr>
                <w:rFonts w:ascii="Arial" w:cs="Arial" w:eastAsia="Arial" w:hAnsi="Arial"/>
                <w:b/>
                <w:bCs/>
                <w:color w:val="212121"/>
                <w:sz w:val="18"/>
                <w:szCs w:val="18"/>
              </w:rPr>
              <w:t xml:space="preserve">LightGBM MAPE</w:t>
            </w:r>
          </w:p>
          <w:p>
            <w:pPr>
              <w:spacing w:after="0" w:before="0"/>
              <w:jc w:val="center"/>
            </w:pPr>
            <w:r>
              <w:rPr>
                <w:rFonts w:ascii="Arial" w:cs="Arial" w:eastAsia="Arial" w:hAnsi="Arial"/>
                <w:i/>
                <w:iCs/>
                <w:color w:val="9E9E9E"/>
                <w:sz w:val="16"/>
                <w:szCs w:val="16"/>
              </w:rPr>
              <w:t xml:space="preserve">4-week horizon</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9.6pp</w:t>
            </w:r>
          </w:p>
          <w:p>
            <w:pPr>
              <w:spacing w:after="40" w:before="0"/>
              <w:jc w:val="center"/>
            </w:pPr>
            <w:r>
              <w:rPr>
                <w:rFonts w:ascii="Arial" w:cs="Arial" w:eastAsia="Arial" w:hAnsi="Arial"/>
                <w:b/>
                <w:bCs/>
                <w:color w:val="212121"/>
                <w:sz w:val="18"/>
                <w:szCs w:val="18"/>
              </w:rPr>
              <w:t xml:space="preserve">MAPE Improvement</w:t>
            </w:r>
          </w:p>
          <w:p>
            <w:pPr>
              <w:spacing w:after="0" w:before="0"/>
              <w:jc w:val="center"/>
            </w:pPr>
            <w:r>
              <w:rPr>
                <w:rFonts w:ascii="Arial" w:cs="Arial" w:eastAsia="Arial" w:hAnsi="Arial"/>
                <w:i/>
                <w:iCs/>
                <w:color w:val="9E9E9E"/>
                <w:sz w:val="16"/>
                <w:szCs w:val="16"/>
              </w:rPr>
              <w:t xml:space="preserve">vs Prophet baseline</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$340K</w:t>
            </w:r>
          </w:p>
          <w:p>
            <w:pPr>
              <w:spacing w:after="40" w:before="0"/>
              <w:jc w:val="center"/>
            </w:pPr>
            <w:r>
              <w:rPr>
                <w:rFonts w:ascii="Arial" w:cs="Arial" w:eastAsia="Arial" w:hAnsi="Arial"/>
                <w:b/>
                <w:bCs/>
                <w:color w:val="212121"/>
                <w:sz w:val="18"/>
                <w:szCs w:val="18"/>
              </w:rPr>
              <w:t xml:space="preserve">Annual Roster Savings</w:t>
            </w:r>
          </w:p>
          <w:p>
            <w:pPr>
              <w:spacing w:after="0" w:before="0"/>
              <w:jc w:val="center"/>
            </w:pPr>
            <w:r>
              <w:rPr>
                <w:rFonts w:ascii="Arial" w:cs="Arial" w:eastAsia="Arial" w:hAnsi="Arial"/>
                <w:i/>
                <w:iCs/>
                <w:color w:val="9E9E9E"/>
                <w:sz w:val="16"/>
                <w:szCs w:val="16"/>
              </w:rPr>
              <w:t xml:space="preserve">per 1% MAPE improvement</w:t>
            </w:r>
          </w:p>
        </w:tc>
        <w:tc>
          <w:tcPr>
            <w:tcW w:type="dxa" w:w="2258"/>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$2.4M</w:t>
            </w:r>
          </w:p>
          <w:p>
            <w:pPr>
              <w:spacing w:after="40" w:before="0"/>
              <w:jc w:val="center"/>
            </w:pPr>
            <w:r>
              <w:rPr>
                <w:rFonts w:ascii="Arial" w:cs="Arial" w:eastAsia="Arial" w:hAnsi="Arial"/>
                <w:b/>
                <w:bCs/>
                <w:color w:val="212121"/>
                <w:sz w:val="18"/>
                <w:szCs w:val="18"/>
              </w:rPr>
              <w:t xml:space="preserve">Total Potential Saving</w:t>
            </w:r>
          </w:p>
          <w:p>
            <w:pPr>
              <w:spacing w:after="0" w:before="0"/>
              <w:jc w:val="center"/>
            </w:pPr>
            <w:r>
              <w:rPr>
                <w:rFonts w:ascii="Arial" w:cs="Arial" w:eastAsia="Arial" w:hAnsi="Arial"/>
                <w:i/>
                <w:iCs/>
                <w:color w:val="9E9E9E"/>
                <w:sz w:val="16"/>
                <w:szCs w:val="16"/>
              </w:rPr>
              <w:t xml:space="preserve">Conservative 5-year NPV</w:t>
            </w:r>
          </w:p>
        </w:tc>
      </w:tr>
    </w:tbl>
    <w:p>
      <w:pPr>
        <w:spacing w:after="0" w:before="0"/>
      </w:pPr>
      <w:r>
        <w:t xml:space="preserve"/>
      </w:r>
    </w:p>
    <w:p>
      <w:pPr>
        <w:spacing w:after="120" w:before="80" w:line="330"/>
        <w:jc w:val="left"/>
      </w:pPr>
      <w:r>
        <w:rPr>
          <w:rFonts w:ascii="Arial" w:cs="Arial" w:eastAsia="Arial" w:hAnsi="Arial"/>
          <w:b w:val="false"/>
          <w:bCs w:val="false"/>
          <w:i w:val="false"/>
          <w:iCs w:val="false"/>
          <w:color w:val="212121"/>
          <w:sz w:val="22"/>
          <w:szCs w:val="22"/>
        </w:rPr>
        <w:t xml:space="preserve">Operational impact: Operations teams can now finalise staffing rosters, cleaning schedules, and security allocations 28 days in advance rather than 72 hours, using the AWS Lambda endpoint accessible from any dashboard. The model is deployed as a REST API callable with a simple JSON payload: {"store_id": 42, "forecast_horizon_weeks": 4}.</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1A4D8F" w:val="clear"/>
            <w:tcMar>
              <w:top w:type="dxa" w:w="200"/>
              <w:left w:type="dxa" w:w="160"/>
              <w:bottom w:type="dxa" w:w="200"/>
              <w:right w:type="dxa" w:w="160"/>
            </w:tcMar>
            <w:vAlign w:val="center"/>
          </w:tcPr>
          <w:p>
            <w:pPr>
              <w:spacing w:after="0" w:before="0"/>
              <w:jc w:val="center"/>
            </w:pPr>
            <w:r>
              <w:rPr>
                <w:rFonts w:ascii="Arial" w:cs="Arial" w:eastAsia="Arial" w:hAnsi="Arial"/>
                <w:b/>
                <w:bCs/>
                <w:color w:val="FFFFFF"/>
                <w:sz w:val="52"/>
                <w:szCs w:val="52"/>
              </w:rPr>
              <w:t xml:space="preserve">M3</w:t>
            </w:r>
          </w:p>
        </w:tc>
        <w:tc>
          <w:tcPr>
            <w:tcW w:type="dxa" w:w="7586"/>
            <w:tcBorders>
              <w:top w:val="none" w:color="FFFFFF" w:sz="0"/>
              <w:left w:val="none" w:color="FFFFFF" w:sz="0"/>
              <w:bottom w:val="none" w:color="FFFFFF" w:sz="0"/>
              <w:right w:val="none" w:color="FFFFFF" w:sz="0"/>
            </w:tcBorders>
            <w:shd w:fill="2E75B6" w:val="clear"/>
            <w:tcMar>
              <w:top w:type="dxa" w:w="120"/>
              <w:left w:type="dxa" w:w="240"/>
              <w:bottom w:type="dxa" w:w="120"/>
              <w:right w:type="dxa" w:w="160"/>
            </w:tcMar>
            <w:vAlign w:val="center"/>
          </w:tcPr>
          <w:p>
            <w:pPr>
              <w:spacing w:after="40" w:before="0"/>
            </w:pPr>
            <w:r>
              <w:rPr>
                <w:rFonts w:ascii="Arial" w:cs="Arial" w:eastAsia="Arial" w:hAnsi="Arial"/>
                <w:b/>
                <w:bCs/>
                <w:color w:val="FFFFFF"/>
                <w:sz w:val="36"/>
                <w:szCs w:val="36"/>
              </w:rPr>
              <w:t xml:space="preserve">NLP Sentiment Pipeline</w:t>
            </w:r>
          </w:p>
          <w:p>
            <w:pPr>
              <w:spacing w:after="0" w:before="0"/>
            </w:pPr>
            <w:r>
              <w:rPr>
                <w:rFonts w:ascii="Arial" w:cs="Arial" w:eastAsia="Arial" w:hAnsi="Arial"/>
                <w:color w:val="D9E8F5"/>
                <w:sz w:val="20"/>
                <w:szCs w:val="20"/>
              </w:rPr>
              <w:t xml:space="preserve">VADER  |  DistilBERT Fine-Tuned  |  BERTopic  |  CX Priority Matrix</w:t>
            </w:r>
          </w:p>
        </w:tc>
      </w:tr>
    </w:tbl>
    <w:p>
      <w:pPr>
        <w:spacing w:after="0" w:before="0"/>
      </w:pPr>
      <w:r>
        <w:t xml:space="preserve"/>
      </w:r>
    </w:p>
    <w:p>
      <w:pPr>
        <w:pStyle w:val="Heading1"/>
        <w:pBdr>
          <w:bottom w:val="single" w:color="2E75B6" w:sz="12" w:space="4"/>
        </w:pBdr>
        <w:spacing w:after="200" w:before="480"/>
      </w:pPr>
      <w:r>
        <w:rPr>
          <w:rFonts w:ascii="Arial" w:cs="Arial" w:eastAsia="Arial" w:hAnsi="Arial"/>
          <w:b/>
          <w:bCs/>
          <w:color w:val="1A4D8F"/>
          <w:sz w:val="40"/>
          <w:szCs w:val="40"/>
        </w:rPr>
        <w:t xml:space="preserve">5.  Module 3: NLP Sentiment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0"/>
              <w:bottom w:val="none" w:color="FFFFFF" w:sz="0"/>
              <w:right w:val="none" w:color="FFFFFF" w:sz="0"/>
            </w:tcBorders>
            <w:shd w:fill="D5E4F0" w:val="clear"/>
            <w:tcMar>
              <w:top w:type="dxa" w:w="120"/>
              <w:left w:type="dxa" w:w="240"/>
              <w:bottom w:type="dxa" w:w="120"/>
              <w:right w:type="dxa" w:w="120"/>
            </w:tcMar>
          </w:tcPr>
          <w:p>
            <w:pPr>
              <w:spacing w:after="0" w:before="0" w:line="320"/>
            </w:pPr>
            <w:r>
              <w:rPr>
                <w:rFonts w:ascii="Arial" w:cs="Arial" w:eastAsia="Arial" w:hAnsi="Arial"/>
                <w:i/>
                <w:iCs/>
                <w:color w:val="212121"/>
                <w:sz w:val="22"/>
                <w:szCs w:val="22"/>
              </w:rPr>
              <w:t xml:space="preserve">Business Question: "What themes are driving negative CX — and which, if fixed, would move the NPS needle most?" This module automates the analysis of 88,373 real shopping reviews, classifying sentiment and discovering 12 CX themes without any manual labelling.</w:t>
            </w:r>
          </w:p>
        </w:tc>
      </w:tr>
    </w:tbl>
    <w:p>
      <w:pPr>
        <w:pStyle w:val="Heading2"/>
        <w:spacing w:after="120" w:before="320"/>
      </w:pPr>
      <w:r>
        <w:rPr>
          <w:rFonts w:ascii="Arial" w:cs="Arial" w:eastAsia="Arial" w:hAnsi="Arial"/>
          <w:b/>
          <w:bCs/>
          <w:color w:val="2E75B6"/>
          <w:sz w:val="30"/>
          <w:szCs w:val="30"/>
        </w:rPr>
        <w:t xml:space="preserve">5.1  The Scale Problem</w:t>
      </w:r>
    </w:p>
    <w:p>
      <w:pPr>
        <w:spacing w:after="120" w:before="80" w:line="330"/>
        <w:jc w:val="left"/>
      </w:pPr>
      <w:r>
        <w:rPr>
          <w:rFonts w:ascii="Arial" w:cs="Arial" w:eastAsia="Arial" w:hAnsi="Arial"/>
          <w:b w:val="false"/>
          <w:bCs w:val="false"/>
          <w:i w:val="false"/>
          <w:iCs w:val="false"/>
          <w:color w:val="212121"/>
          <w:sz w:val="22"/>
          <w:szCs w:val="22"/>
        </w:rPr>
        <w:t xml:space="preserve">Scentre Group receives over 300,000 customer feedback responses annually across digital, in-centre, and post-visit channels. Manual analysis is operationally impossible — a team of 10 analysts working full-time could review approximately 50,000 responses per year at best. The NLP pipeline automates this entirely: every response is classified for sentiment and tagged to one of 12 CX themes within seconds of receipt.</w:t>
      </w:r>
    </w:p>
    <w:p>
      <w:pPr>
        <w:pStyle w:val="Heading2"/>
        <w:spacing w:after="120" w:before="320"/>
      </w:pPr>
      <w:r>
        <w:rPr>
          <w:rFonts w:ascii="Arial" w:cs="Arial" w:eastAsia="Arial" w:hAnsi="Arial"/>
          <w:b/>
          <w:bCs/>
          <w:color w:val="2E75B6"/>
          <w:sz w:val="30"/>
          <w:szCs w:val="30"/>
        </w:rPr>
        <w:t xml:space="preserve">5.2  Methodology</w:t>
      </w:r>
    </w:p>
    <w:p>
      <w:pPr>
        <w:pStyle w:val="Heading3"/>
        <w:spacing w:after="80" w:before="240"/>
      </w:pPr>
      <w:r>
        <w:rPr>
          <w:rFonts w:ascii="Arial" w:cs="Arial" w:eastAsia="Arial" w:hAnsi="Arial"/>
          <w:b/>
          <w:bCs/>
          <w:color w:val="212121"/>
          <w:sz w:val="24"/>
          <w:szCs w:val="24"/>
        </w:rPr>
        <w:t xml:space="preserve">Stage 1 — Text Preprocessing</w:t>
      </w:r>
    </w:p>
    <w:p>
      <w:pPr>
        <w:spacing w:after="120" w:before="80" w:line="330"/>
        <w:jc w:val="left"/>
      </w:pPr>
      <w:r>
        <w:rPr>
          <w:rFonts w:ascii="Arial" w:cs="Arial" w:eastAsia="Arial" w:hAnsi="Arial"/>
          <w:b w:val="false"/>
          <w:bCs w:val="false"/>
          <w:i w:val="false"/>
          <w:iCs w:val="false"/>
          <w:color w:val="212121"/>
          <w:sz w:val="22"/>
          <w:szCs w:val="22"/>
        </w:rPr>
        <w:t xml:space="preserve">The TextPreprocessor class (src/nlp_pipeline.py) applies a four-step cleaning pipeline:</w:t>
      </w:r>
    </w:p>
    <w:p>
      <w:pPr>
        <w:pStyle w:val="ListParagraph"/>
        <w:numPr>
          <w:ilvl w:val="0"/>
          <w:numId w:val="3"/>
        </w:numPr>
        <w:spacing w:after="60" w:before="40" w:line="300"/>
      </w:pPr>
      <w:r>
        <w:rPr>
          <w:rFonts w:ascii="Arial" w:cs="Arial" w:eastAsia="Arial" w:hAnsi="Arial"/>
          <w:color w:val="212121"/>
          <w:sz w:val="22"/>
          <w:szCs w:val="22"/>
        </w:rPr>
        <w:t xml:space="preserve">Remove noise: HTML tags, URLs, special characters, excess whitespace</w:t>
      </w:r>
    </w:p>
    <w:p>
      <w:pPr>
        <w:pStyle w:val="ListParagraph"/>
        <w:numPr>
          <w:ilvl w:val="0"/>
          <w:numId w:val="3"/>
        </w:numPr>
        <w:spacing w:after="60" w:before="40" w:line="300"/>
      </w:pPr>
      <w:r>
        <w:rPr>
          <w:rFonts w:ascii="Arial" w:cs="Arial" w:eastAsia="Arial" w:hAnsi="Arial"/>
          <w:color w:val="212121"/>
          <w:sz w:val="22"/>
          <w:szCs w:val="22"/>
        </w:rPr>
        <w:t xml:space="preserve">Filter short reviews: drop reviews with fewer than 10 words (1.97% of corpus)</w:t>
      </w:r>
    </w:p>
    <w:p>
      <w:pPr>
        <w:pStyle w:val="ListParagraph"/>
        <w:numPr>
          <w:ilvl w:val="0"/>
          <w:numId w:val="3"/>
        </w:numPr>
        <w:spacing w:after="60" w:before="40" w:line="300"/>
      </w:pPr>
      <w:r>
        <w:rPr>
          <w:rFonts w:ascii="Arial" w:cs="Arial" w:eastAsia="Arial" w:hAnsi="Arial"/>
          <w:color w:val="212121"/>
          <w:sz w:val="22"/>
          <w:szCs w:val="22"/>
        </w:rPr>
        <w:t xml:space="preserve">Optional stopword removal and lemmatisation using NLTK and spaCy en_core_web_sm</w:t>
      </w:r>
    </w:p>
    <w:p>
      <w:pPr>
        <w:pStyle w:val="ListParagraph"/>
        <w:numPr>
          <w:ilvl w:val="0"/>
          <w:numId w:val="3"/>
        </w:numPr>
        <w:spacing w:after="60" w:before="40" w:line="300"/>
      </w:pPr>
      <w:r>
        <w:rPr>
          <w:rFonts w:ascii="Arial" w:cs="Arial" w:eastAsia="Arial" w:hAnsi="Arial"/>
          <w:color w:val="212121"/>
          <w:sz w:val="22"/>
          <w:szCs w:val="22"/>
        </w:rPr>
        <w:t xml:space="preserve">Output: clean text corpus ready for sentiment classification</w:t>
      </w:r>
    </w:p>
    <w:p>
      <w:pPr>
        <w:spacing w:after="80" w:before="160"/>
        <w:jc w:val="center"/>
      </w:pPr>
      <w:r>
        <w:drawing>
          <wp:inline distT="0" distB="0" distL="0" distR="0">
            <wp:extent cx="5619750" cy="1724025"/>
            <wp:effectExtent t="0" r="0" b="0" l="0"/>
            <wp:docPr id="1" name="Figure 5.1 — Review corpus: distribution by year, star rating, and review length after preprocessing" descr="Figure 5.1 — Review corpus: distribution by year, star rating, and review length after preprocessing" title="Figure 5.1 — Review corpus: distribution by year, star rating, and review length after 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172402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5.1 — Review corpus: distribution by year, star rating, and review length after preprocessing</w:t>
      </w:r>
    </w:p>
    <w:p>
      <w:pPr>
        <w:pStyle w:val="Heading3"/>
        <w:spacing w:after="80" w:before="240"/>
      </w:pPr>
      <w:r>
        <w:rPr>
          <w:rFonts w:ascii="Arial" w:cs="Arial" w:eastAsia="Arial" w:hAnsi="Arial"/>
          <w:b/>
          <w:bCs/>
          <w:color w:val="212121"/>
          <w:sz w:val="24"/>
          <w:szCs w:val="24"/>
        </w:rPr>
        <w:t xml:space="preserve">Stage 2 — VADER Sentiment Baseline</w:t>
      </w:r>
    </w:p>
    <w:p>
      <w:pPr>
        <w:spacing w:after="120" w:before="80" w:line="330"/>
        <w:jc w:val="left"/>
      </w:pPr>
      <w:r>
        <w:rPr>
          <w:rFonts w:ascii="Arial" w:cs="Arial" w:eastAsia="Arial" w:hAnsi="Arial"/>
          <w:b w:val="false"/>
          <w:bCs w:val="false"/>
          <w:i w:val="false"/>
          <w:iCs w:val="false"/>
          <w:color w:val="212121"/>
          <w:sz w:val="22"/>
          <w:szCs w:val="22"/>
        </w:rPr>
        <w:t xml:space="preserve">VADER (Valence Aware Dictionary and sEntiment Reasoner) provides a rule-based baseline sentiment score. It is fast, requires no training data, and achieves ~80% agreement with star ratings.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VADER Metric</w:t>
            </w:r>
          </w:p>
        </w:tc>
        <w:tc>
          <w:tcPr>
            <w:tcW w:type="dxa" w:w="6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Agreement with star ratings</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~80%</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Speed</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Analyses 88,373 reviews in seconds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Output</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Compound score [-1, +1]; labels: Positive (&gt;0.05), Negative (&lt;-0.05), Neutral</w:t>
            </w:r>
          </w:p>
        </w:tc>
      </w:tr>
    </w:tbl>
    <w:p>
      <w:pPr>
        <w:spacing w:after="80" w:before="160"/>
        <w:jc w:val="center"/>
      </w:pPr>
      <w:r>
        <w:drawing>
          <wp:inline distT="0" distB="0" distL="0" distR="0">
            <wp:extent cx="5619750" cy="2333625"/>
            <wp:effectExtent t="0" r="0" b="0" l="0"/>
            <wp:docPr id="1" name="Figure 5.2 — VADER analysis: compound score distribution and alignment with star ratings" descr="Figure 5.2 — VADER analysis: compound score distribution and alignment with star ratings" title="Figure 5.2 — VADER analysis: compound score distribution and alignment with star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233362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5.2 — VADER analysis: compound score distribution and alignment with star ratings</w:t>
      </w:r>
    </w:p>
    <w:p>
      <w:pPr>
        <w:pStyle w:val="Heading3"/>
        <w:spacing w:after="80" w:before="240"/>
      </w:pPr>
      <w:r>
        <w:rPr>
          <w:rFonts w:ascii="Arial" w:cs="Arial" w:eastAsia="Arial" w:hAnsi="Arial"/>
          <w:b/>
          <w:bCs/>
          <w:color w:val="212121"/>
          <w:sz w:val="24"/>
          <w:szCs w:val="24"/>
        </w:rPr>
        <w:t xml:space="preserve">Stage 3 — DistilBERT Sentiment Classification</w:t>
      </w:r>
    </w:p>
    <w:p>
      <w:pPr>
        <w:spacing w:after="120" w:before="80" w:line="330"/>
        <w:jc w:val="left"/>
      </w:pPr>
      <w:r>
        <w:rPr>
          <w:rFonts w:ascii="Arial" w:cs="Arial" w:eastAsia="Arial" w:hAnsi="Arial"/>
          <w:b w:val="false"/>
          <w:bCs w:val="false"/>
          <w:i w:val="false"/>
          <w:iCs w:val="false"/>
          <w:color w:val="212121"/>
          <w:sz w:val="22"/>
          <w:szCs w:val="22"/>
        </w:rPr>
        <w:t xml:space="preserve">A pre-trained DistilBERT model (distilbert-base-uncased-finetuned-sst-2-english from HuggingFace) was evaluated on a 5,000-review labelled sample derived from star ratings (1-2 stars = Negative, 4-5 stars = Positive, 3 stars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DistilBERT Metric</w:t>
            </w:r>
          </w:p>
        </w:tc>
        <w:tc>
          <w:tcPr>
            <w:tcW w:type="dxa" w:w="6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F1 Score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0.862</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Precision</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0.765</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Recall</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0.986</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Evaluation sample</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5,000 reviews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Model</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distilbert-base-uncased-finetuned-sst-2-english</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Batch processing</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64 reviews per batch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Production classification</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Applied to full 88,373 review corpus</w:t>
            </w:r>
          </w:p>
        </w:tc>
      </w:tr>
    </w:tbl>
    <w:p>
      <w:pPr>
        <w:spacing w:after="120" w:before="80" w:line="330"/>
        <w:jc w:val="left"/>
      </w:pPr>
      <w:r>
        <w:rPr>
          <w:rFonts w:ascii="Arial" w:cs="Arial" w:eastAsia="Arial" w:hAnsi="Arial"/>
          <w:b w:val="false"/>
          <w:bCs w:val="false"/>
          <w:i w:val="false"/>
          <w:iCs w:val="false"/>
          <w:color w:val="212121"/>
          <w:sz w:val="22"/>
          <w:szCs w:val="22"/>
        </w:rPr>
        <w:t xml:space="preserve">DistilBERT's high recall (0.986) is particularly valuable in the CX context — it is more important to catch negative reviews than to avoid false positives. The model correctly classifies 98.6% of all genuinely negative reviews.</w:t>
      </w:r>
    </w:p>
    <w:p>
      <w:pPr>
        <w:pStyle w:val="Heading3"/>
        <w:spacing w:after="80" w:before="240"/>
      </w:pPr>
      <w:r>
        <w:rPr>
          <w:rFonts w:ascii="Arial" w:cs="Arial" w:eastAsia="Arial" w:hAnsi="Arial"/>
          <w:b/>
          <w:bCs/>
          <w:color w:val="212121"/>
          <w:sz w:val="24"/>
          <w:szCs w:val="24"/>
        </w:rPr>
        <w:t xml:space="preserve">Stage 4 — BERTopic Topic Modelling</w:t>
      </w:r>
    </w:p>
    <w:p>
      <w:pPr>
        <w:spacing w:after="120" w:before="80" w:line="330"/>
        <w:jc w:val="left"/>
      </w:pPr>
      <w:r>
        <w:rPr>
          <w:rFonts w:ascii="Arial" w:cs="Arial" w:eastAsia="Arial" w:hAnsi="Arial"/>
          <w:b w:val="false"/>
          <w:bCs w:val="false"/>
          <w:i w:val="false"/>
          <w:iCs w:val="false"/>
          <w:color w:val="212121"/>
          <w:sz w:val="22"/>
          <w:szCs w:val="22"/>
        </w:rPr>
        <w:t xml:space="preserve">BERTopic uses BERT sentence embeddings combined with UMAP dimensionality reduction and HDBSCAN clustering to discover topics entirely unsupervised. No manual labelling was required — the 12 CX themes emerged organically from the review corpus.</w:t>
      </w:r>
    </w:p>
    <w:tbl>
      <w:tblPr>
        <w:tblW w:type="dxa" w:w="78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1500"/>
        <w:gridCol w:w="2126"/>
      </w:tblGrid>
      <w:tr>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Topic</w:t>
            </w:r>
          </w:p>
        </w:tc>
        <w:tc>
          <w:tcPr>
            <w:tcW w:type="dxa" w:w="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Volume</w:t>
            </w:r>
          </w:p>
        </w:tc>
        <w:tc>
          <w:tcPr>
            <w:tcW w:type="dxa" w:w="1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 of Reviews</w:t>
            </w:r>
          </w:p>
        </w:tc>
        <w:tc>
          <w:tcPr>
            <w:tcW w:type="dxa" w:w="15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Primary Sentiment</w:t>
            </w:r>
          </w:p>
        </w:tc>
        <w:tc>
          <w:tcPr>
            <w:tcW w:type="dxa" w:w="21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Quadrant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Staff &amp; Service</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35,368</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35.8%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Positive</w:t>
            </w:r>
          </w:p>
        </w:tc>
        <w:tc>
          <w:tcPr>
            <w:tcW w:type="dxa" w:w="2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Monitor</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Parking &amp; Access</w:t>
            </w:r>
          </w:p>
        </w:tc>
        <w:tc>
          <w:tcPr>
            <w:tcW w:type="dxa" w:w="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33,560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34.0%</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NEGATIVE</w:t>
            </w:r>
          </w:p>
        </w:tc>
        <w:tc>
          <w:tcPr>
            <w:tcW w:type="dxa" w:w="21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FIX IMMEDIATELY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Food &amp; Dining</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13,774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14.0%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Positive</w:t>
            </w:r>
          </w:p>
        </w:tc>
        <w:tc>
          <w:tcPr>
            <w:tcW w:type="dxa" w:w="2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Celebrate</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General Experience</w:t>
            </w:r>
          </w:p>
        </w:tc>
        <w:tc>
          <w:tcPr>
            <w:tcW w:type="dxa" w:w="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7,970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Mixed</w:t>
            </w:r>
          </w:p>
        </w:tc>
        <w:tc>
          <w:tcPr>
            <w:tcW w:type="dxa" w:w="21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Monitor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Retail Mix</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4,111</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Mixed</w:t>
            </w:r>
          </w:p>
        </w:tc>
        <w:tc>
          <w:tcPr>
            <w:tcW w:type="dxa" w:w="2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Monitor</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Wait Times &amp; Crowding</w:t>
            </w:r>
          </w:p>
        </w:tc>
        <w:tc>
          <w:tcPr>
            <w:tcW w:type="dxa" w:w="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2,410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2.4%</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NEGATIVE</w:t>
            </w:r>
          </w:p>
        </w:tc>
        <w:tc>
          <w:tcPr>
            <w:tcW w:type="dxa" w:w="21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FIX IMMEDIATELY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Cleanliness</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837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0.8%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Negative</w:t>
            </w:r>
          </w:p>
        </w:tc>
        <w:tc>
          <w:tcPr>
            <w:tcW w:type="dxa" w:w="2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Quick Win</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Other / Emerging</w:t>
            </w:r>
          </w:p>
        </w:tc>
        <w:tc>
          <w:tcPr>
            <w:tcW w:type="dxa" w:w="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1,970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2.0%</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Mixed</w:t>
            </w:r>
          </w:p>
        </w:tc>
        <w:tc>
          <w:tcPr>
            <w:tcW w:type="dxa" w:w="21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Watch</w:t>
            </w:r>
          </w:p>
        </w:tc>
      </w:tr>
    </w:tbl>
    <w:p>
      <w:pPr>
        <w:spacing w:after="80" w:before="160"/>
        <w:jc w:val="center"/>
      </w:pPr>
      <w:r>
        <w:drawing>
          <wp:inline distT="0" distB="0" distL="0" distR="0">
            <wp:extent cx="5619750" cy="3019425"/>
            <wp:effectExtent t="0" r="0" b="0" l="0"/>
            <wp:docPr id="1" name="Figure 5.3 — Sentiment by topic: positive/negative split for each CX theme" descr="Figure 5.3 — Sentiment by topic: positive/negative split for each CX theme" title="Figure 5.3 — Sentiment by topic: positive/negative split for each CX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301942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5.3 — Sentiment by topic: positive/negative split for each CX theme</w:t>
      </w:r>
    </w:p>
    <w:p>
      <w:pPr>
        <w:spacing w:after="80" w:before="160"/>
        <w:jc w:val="center"/>
      </w:pPr>
      <w:r>
        <w:drawing>
          <wp:inline distT="0" distB="0" distL="0" distR="0">
            <wp:extent cx="5619750" cy="2305050"/>
            <wp:effectExtent t="0" r="0" b="0" l="0"/>
            <wp:docPr id="1" name="Figure 5.4 — Sentiment trend over time: quarterly tracking of positive and negative rates by theme" descr="Figure 5.4 — Sentiment trend over time: quarterly tracking of positive and negative rates by theme" title="Figure 5.4 — Sentiment trend over time: quarterly tracking of positive and negative rates by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230505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5.4 — Sentiment trend over time: quarterly tracking of positive and negative rates by theme</w:t>
      </w:r>
    </w:p>
    <w:p>
      <w:pPr>
        <w:pStyle w:val="Heading2"/>
        <w:spacing w:after="120" w:before="320"/>
      </w:pPr>
      <w:r>
        <w:rPr>
          <w:rFonts w:ascii="Arial" w:cs="Arial" w:eastAsia="Arial" w:hAnsi="Arial"/>
          <w:b/>
          <w:bCs/>
          <w:color w:val="2E75B6"/>
          <w:sz w:val="30"/>
          <w:szCs w:val="30"/>
        </w:rPr>
        <w:t xml:space="preserve">5.3  CX Action Priority Matrix</w:t>
      </w:r>
    </w:p>
    <w:p>
      <w:pPr>
        <w:spacing w:after="120" w:before="80" w:line="330"/>
        <w:jc w:val="left"/>
      </w:pPr>
      <w:r>
        <w:rPr>
          <w:rFonts w:ascii="Arial" w:cs="Arial" w:eastAsia="Arial" w:hAnsi="Arial"/>
          <w:b w:val="false"/>
          <w:bCs w:val="false"/>
          <w:i w:val="false"/>
          <w:iCs w:val="false"/>
          <w:color w:val="212121"/>
          <w:sz w:val="22"/>
          <w:szCs w:val="22"/>
        </w:rPr>
        <w:t xml:space="preserve">The CX Action Priority Matrix (Figure 5.5) plots every topic on two axes: review volume (X) and negative sentiment rate (Y). The four quadrants define the action priority:</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Fix Immediately (top right): High volume + High negativity → Parking &amp; Access, Wait Times</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Quick Win (top left): High negativity but lower volume → Wayfinding, Returns</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Monitor (bottom right): High volume but lower negativity → Staff &amp; Service, Food &amp; Dining</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Low Priority (bottom left): Low volume and low negativity → Online &amp; App, General Ambience</w:t>
      </w:r>
    </w:p>
    <w:p>
      <w:pPr>
        <w:spacing w:after="80" w:before="160"/>
        <w:jc w:val="center"/>
      </w:pPr>
      <w:r>
        <w:drawing>
          <wp:inline distT="0" distB="0" distL="0" distR="0">
            <wp:extent cx="4953000" cy="3295650"/>
            <wp:effectExtent t="0" r="0" b="0" l="0"/>
            <wp:docPr id="1" name="Figure 5.5 — CX Action Priority Matrix: 12 themes plotted by volume and negative sentiment rate" descr="Figure 5.5 — CX Action Priority Matrix: 12 themes plotted by volume and negative sentiment rate" title="Figure 5.5 — CX Action Priority Matrix: 12 themes plotted by volume and negative sentimen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29565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5.5 — CX Action Priority Matrix: 12 themes plotted by volume and negative sentiment rate</w:t>
      </w:r>
    </w:p>
    <w:p>
      <w:pPr>
        <w:pStyle w:val="Heading2"/>
        <w:spacing w:after="120" w:before="320"/>
      </w:pPr>
      <w:r>
        <w:rPr>
          <w:rFonts w:ascii="Arial" w:cs="Arial" w:eastAsia="Arial" w:hAnsi="Arial"/>
          <w:b/>
          <w:bCs/>
          <w:color w:val="2E75B6"/>
          <w:sz w:val="30"/>
          <w:szCs w:val="30"/>
        </w:rPr>
        <w:t xml:space="preserve">5.4  Key Findings &amp; Recommendations</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200"/>
        <w:gridCol w:w="1026"/>
      </w:tblGrid>
      <w:tr>
        <w:tc>
          <w:tcPr>
            <w:tcW w:type="dxa" w:w="20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Finding</w:t>
            </w:r>
          </w:p>
        </w:tc>
        <w:tc>
          <w:tcPr>
            <w:tcW w:type="dxa" w:w="20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Data</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Recommended Action</w:t>
            </w:r>
          </w:p>
        </w:tc>
        <w:tc>
          <w:tcPr>
            <w:tcW w:type="dxa" w:w="1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Owner</w:t>
            </w:r>
          </w:p>
        </w:tc>
        <w:tc>
          <w:tcPr>
            <w:tcW w:type="dxa" w:w="10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NPS Impact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Parking &amp; Access is #1 pain point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34% of all reviews; predominantly negative; worsening YoY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Install real-time space indicators ($80K/destination). Review weekend routing.</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Operations Director</w:t>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+3-4 pts</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Wait Times deteriorating</w:t>
            </w:r>
          </w:p>
        </w:tc>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2.4% of reviews; 61% negative; worsening 2.1% per quarter</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Share theme data with anchor tenants. App notifications to redistribute visit timing.</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CX &amp; Tenants</w:t>
            </w:r>
          </w:p>
        </w:tc>
        <w:tc>
          <w:tcPr>
            <w:tcW w:type="dxa" w:w="10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+2-4 pts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Food &amp; Dining = strongest positive driver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14% of reviews; 74% positive; improving +6.1pp YoY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Feature food content in Westfield+ app monthly. Launch dining passport programme.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Marketing</w:t>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Defensive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88,373</w:t>
            </w:r>
          </w:p>
          <w:p>
            <w:pPr>
              <w:spacing w:after="40" w:before="0"/>
              <w:jc w:val="center"/>
            </w:pPr>
            <w:r>
              <w:rPr>
                <w:rFonts w:ascii="Arial" w:cs="Arial" w:eastAsia="Arial" w:hAnsi="Arial"/>
                <w:b/>
                <w:bCs/>
                <w:color w:val="212121"/>
                <w:sz w:val="18"/>
                <w:szCs w:val="18"/>
              </w:rPr>
              <w:t xml:space="preserve">Reviews Processed</w:t>
            </w:r>
          </w:p>
          <w:p>
            <w:pPr>
              <w:spacing w:after="0" w:before="0"/>
              <w:jc w:val="center"/>
            </w:pPr>
            <w:r>
              <w:rPr>
                <w:rFonts w:ascii="Arial" w:cs="Arial" w:eastAsia="Arial" w:hAnsi="Arial"/>
                <w:i/>
                <w:iCs/>
                <w:color w:val="9E9E9E"/>
                <w:sz w:val="16"/>
                <w:szCs w:val="16"/>
              </w:rPr>
              <w:t xml:space="preserve">Real Yelp shopping data</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0.862</w:t>
            </w:r>
          </w:p>
          <w:p>
            <w:pPr>
              <w:spacing w:after="40" w:before="0"/>
              <w:jc w:val="center"/>
            </w:pPr>
            <w:r>
              <w:rPr>
                <w:rFonts w:ascii="Arial" w:cs="Arial" w:eastAsia="Arial" w:hAnsi="Arial"/>
                <w:b/>
                <w:bCs/>
                <w:color w:val="212121"/>
                <w:sz w:val="18"/>
                <w:szCs w:val="18"/>
              </w:rPr>
              <w:t xml:space="preserve">DistilBERT F1</w:t>
            </w:r>
          </w:p>
          <w:p>
            <w:pPr>
              <w:spacing w:after="0" w:before="0"/>
              <w:jc w:val="center"/>
            </w:pPr>
            <w:r>
              <w:rPr>
                <w:rFonts w:ascii="Arial" w:cs="Arial" w:eastAsia="Arial" w:hAnsi="Arial"/>
                <w:i/>
                <w:iCs/>
                <w:color w:val="9E9E9E"/>
                <w:sz w:val="16"/>
                <w:szCs w:val="16"/>
              </w:rPr>
              <w:t xml:space="preserve">Precision 0.765 / Recall 0.986</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+6-8pts</w:t>
            </w:r>
          </w:p>
          <w:p>
            <w:pPr>
              <w:spacing w:after="40" w:before="0"/>
              <w:jc w:val="center"/>
            </w:pPr>
            <w:r>
              <w:rPr>
                <w:rFonts w:ascii="Arial" w:cs="Arial" w:eastAsia="Arial" w:hAnsi="Arial"/>
                <w:b/>
                <w:bCs/>
                <w:color w:val="212121"/>
                <w:sz w:val="18"/>
                <w:szCs w:val="18"/>
              </w:rPr>
              <w:t xml:space="preserve">Projected NPS Uplift</w:t>
            </w:r>
          </w:p>
          <w:p>
            <w:pPr>
              <w:spacing w:after="0" w:before="0"/>
              <w:jc w:val="center"/>
            </w:pPr>
            <w:r>
              <w:rPr>
                <w:rFonts w:ascii="Arial" w:cs="Arial" w:eastAsia="Arial" w:hAnsi="Arial"/>
                <w:i/>
                <w:iCs/>
                <w:color w:val="9E9E9E"/>
                <w:sz w:val="16"/>
                <w:szCs w:val="16"/>
              </w:rPr>
              <w:t xml:space="preserve">From fixing top-2 issues</w:t>
            </w:r>
          </w:p>
        </w:tc>
        <w:tc>
          <w:tcPr>
            <w:tcW w:type="dxa" w:w="2258"/>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12</w:t>
            </w:r>
          </w:p>
          <w:p>
            <w:pPr>
              <w:spacing w:after="40" w:before="0"/>
              <w:jc w:val="center"/>
            </w:pPr>
            <w:r>
              <w:rPr>
                <w:rFonts w:ascii="Arial" w:cs="Arial" w:eastAsia="Arial" w:hAnsi="Arial"/>
                <w:b/>
                <w:bCs/>
                <w:color w:val="212121"/>
                <w:sz w:val="18"/>
                <w:szCs w:val="18"/>
              </w:rPr>
              <w:t xml:space="preserve">CX Themes Found</w:t>
            </w:r>
          </w:p>
          <w:p>
            <w:pPr>
              <w:spacing w:after="0" w:before="0"/>
              <w:jc w:val="center"/>
            </w:pPr>
            <w:r>
              <w:rPr>
                <w:rFonts w:ascii="Arial" w:cs="Arial" w:eastAsia="Arial" w:hAnsi="Arial"/>
                <w:i/>
                <w:iCs/>
                <w:color w:val="9E9E9E"/>
                <w:sz w:val="16"/>
                <w:szCs w:val="16"/>
              </w:rPr>
              <w:t xml:space="preserve">Unsupervised BERTopic</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1A4D8F" w:val="clear"/>
            <w:tcMar>
              <w:top w:type="dxa" w:w="200"/>
              <w:left w:type="dxa" w:w="160"/>
              <w:bottom w:type="dxa" w:w="200"/>
              <w:right w:type="dxa" w:w="160"/>
            </w:tcMar>
            <w:vAlign w:val="center"/>
          </w:tcPr>
          <w:p>
            <w:pPr>
              <w:spacing w:after="0" w:before="0"/>
              <w:jc w:val="center"/>
            </w:pPr>
            <w:r>
              <w:rPr>
                <w:rFonts w:ascii="Arial" w:cs="Arial" w:eastAsia="Arial" w:hAnsi="Arial"/>
                <w:b/>
                <w:bCs/>
                <w:color w:val="FFFFFF"/>
                <w:sz w:val="52"/>
                <w:szCs w:val="52"/>
              </w:rPr>
              <w:t xml:space="preserve">M4</w:t>
            </w:r>
          </w:p>
        </w:tc>
        <w:tc>
          <w:tcPr>
            <w:tcW w:type="dxa" w:w="7586"/>
            <w:tcBorders>
              <w:top w:val="none" w:color="FFFFFF" w:sz="0"/>
              <w:left w:val="none" w:color="FFFFFF" w:sz="0"/>
              <w:bottom w:val="none" w:color="FFFFFF" w:sz="0"/>
              <w:right w:val="none" w:color="FFFFFF" w:sz="0"/>
            </w:tcBorders>
            <w:shd w:fill="2E75B6" w:val="clear"/>
            <w:tcMar>
              <w:top w:type="dxa" w:w="120"/>
              <w:left w:type="dxa" w:w="240"/>
              <w:bottom w:type="dxa" w:w="120"/>
              <w:right w:type="dxa" w:w="160"/>
            </w:tcMar>
            <w:vAlign w:val="center"/>
          </w:tcPr>
          <w:p>
            <w:pPr>
              <w:spacing w:after="40" w:before="0"/>
            </w:pPr>
            <w:r>
              <w:rPr>
                <w:rFonts w:ascii="Arial" w:cs="Arial" w:eastAsia="Arial" w:hAnsi="Arial"/>
                <w:b/>
                <w:bCs/>
                <w:color w:val="FFFFFF"/>
                <w:sz w:val="36"/>
                <w:szCs w:val="36"/>
              </w:rPr>
              <w:t xml:space="preserve">A/B Testing &amp; Causal Inference</w:t>
            </w:r>
          </w:p>
          <w:p>
            <w:pPr>
              <w:spacing w:after="0" w:before="0"/>
            </w:pPr>
            <w:r>
              <w:rPr>
                <w:rFonts w:ascii="Arial" w:cs="Arial" w:eastAsia="Arial" w:hAnsi="Arial"/>
                <w:color w:val="D9E8F5"/>
                <w:sz w:val="20"/>
                <w:szCs w:val="20"/>
              </w:rPr>
              <w:t xml:space="preserve">Classical Hypothesis Tests  |  Bayesian A/B  |  Difference-in-Differences</w:t>
            </w:r>
          </w:p>
        </w:tc>
      </w:tr>
    </w:tbl>
    <w:p>
      <w:pPr>
        <w:spacing w:after="0" w:before="0"/>
      </w:pPr>
      <w:r>
        <w:t xml:space="preserve"/>
      </w:r>
    </w:p>
    <w:p>
      <w:pPr>
        <w:pStyle w:val="Heading1"/>
        <w:pBdr>
          <w:bottom w:val="single" w:color="2E75B6" w:sz="12" w:space="4"/>
        </w:pBdr>
        <w:spacing w:after="200" w:before="480"/>
      </w:pPr>
      <w:r>
        <w:rPr>
          <w:rFonts w:ascii="Arial" w:cs="Arial" w:eastAsia="Arial" w:hAnsi="Arial"/>
          <w:b/>
          <w:bCs/>
          <w:color w:val="1A4D8F"/>
          <w:sz w:val="40"/>
          <w:szCs w:val="40"/>
        </w:rPr>
        <w:t xml:space="preserve">6.  Module 4: A/B Testing &amp; Causal Inference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0"/>
              <w:bottom w:val="none" w:color="FFFFFF" w:sz="0"/>
              <w:right w:val="none" w:color="FFFFFF" w:sz="0"/>
            </w:tcBorders>
            <w:shd w:fill="D5E4F0" w:val="clear"/>
            <w:tcMar>
              <w:top w:type="dxa" w:w="120"/>
              <w:left w:type="dxa" w:w="240"/>
              <w:bottom w:type="dxa" w:w="120"/>
              <w:right w:type="dxa" w:w="120"/>
            </w:tcMar>
          </w:tcPr>
          <w:p>
            <w:pPr>
              <w:spacing w:after="0" w:before="0" w:line="320"/>
            </w:pPr>
            <w:r>
              <w:rPr>
                <w:rFonts w:ascii="Arial" w:cs="Arial" w:eastAsia="Arial" w:hAnsi="Arial"/>
                <w:i/>
                <w:iCs/>
                <w:color w:val="212121"/>
                <w:sz w:val="22"/>
                <w:szCs w:val="22"/>
              </w:rPr>
              <w:t xml:space="preserve">Business Question: "Did the promotional campaign actually drive incremental visits — or would traffic have grown anyway?" Three independent analytical methods answer this question, each controlling for a different source of confounding.</w:t>
            </w:r>
          </w:p>
        </w:tc>
      </w:tr>
    </w:tbl>
    <w:p>
      <w:pPr>
        <w:pStyle w:val="Heading2"/>
        <w:spacing w:after="120" w:before="320"/>
      </w:pPr>
      <w:r>
        <w:rPr>
          <w:rFonts w:ascii="Arial" w:cs="Arial" w:eastAsia="Arial" w:hAnsi="Arial"/>
          <w:b/>
          <w:bCs/>
          <w:color w:val="2E75B6"/>
          <w:sz w:val="30"/>
          <w:szCs w:val="30"/>
        </w:rPr>
        <w:t xml:space="preserve">6.1  The Causal Inference Problem</w:t>
      </w:r>
    </w:p>
    <w:p>
      <w:pPr>
        <w:spacing w:after="120" w:before="80" w:line="330"/>
        <w:jc w:val="left"/>
      </w:pPr>
      <w:r>
        <w:rPr>
          <w:rFonts w:ascii="Arial" w:cs="Arial" w:eastAsia="Arial" w:hAnsi="Arial"/>
          <w:b w:val="false"/>
          <w:bCs w:val="false"/>
          <w:i w:val="false"/>
          <w:iCs w:val="false"/>
          <w:color w:val="212121"/>
          <w:sz w:val="22"/>
          <w:szCs w:val="22"/>
        </w:rPr>
        <w:t xml:space="preserve">After a promotional campaign, it is tempting to compare campaign destinations against non-campaign destinations and attribute the difference to the campaign. This naive approach is unreliable for two reasons:</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Selection bias: Campaign destinations may have been chosen because they were already growing faster.</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Seasonal confounding: Foot traffic naturally rises in certain periods across all destinations, inflating the apparent campaign effect.</w:t>
      </w:r>
    </w:p>
    <w:p>
      <w:pPr>
        <w:spacing w:after="120" w:before="80" w:line="330"/>
        <w:jc w:val="left"/>
      </w:pPr>
      <w:r>
        <w:rPr>
          <w:rFonts w:ascii="Arial" w:cs="Arial" w:eastAsia="Arial" w:hAnsi="Arial"/>
          <w:b w:val="false"/>
          <w:bCs w:val="false"/>
          <w:i w:val="false"/>
          <w:iCs w:val="false"/>
          <w:color w:val="212121"/>
          <w:sz w:val="22"/>
          <w:szCs w:val="22"/>
        </w:rPr>
        <w:t xml:space="preserve">The correct approach is Difference-in-Differences (DiD) — the same causal inference methodology used by economists to evaluate policy changes. It controls for both sources of bias simultaneously.</w:t>
      </w:r>
    </w:p>
    <w:p>
      <w:pPr>
        <w:pStyle w:val="Heading2"/>
        <w:spacing w:after="120" w:before="320"/>
      </w:pPr>
      <w:r>
        <w:rPr>
          <w:rFonts w:ascii="Arial" w:cs="Arial" w:eastAsia="Arial" w:hAnsi="Arial"/>
          <w:b/>
          <w:bCs/>
          <w:color w:val="2E75B6"/>
          <w:sz w:val="30"/>
          <w:szCs w:val="30"/>
        </w:rPr>
        <w:t xml:space="preserve">6.2  Experiment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Design Element</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c>
          <w:tcPr>
            <w:tcW w:type="dxa" w:w="44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Rationale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Treatment group</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54 destinations (Promo2 H2-2013 starters)</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Stores that activated the sustained loyalty programme in H2 2013</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Control group</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54 matched destinations (never ran Promo2)</w:t>
            </w:r>
          </w:p>
        </w:tc>
        <w:tc>
          <w:tcPr>
            <w:tcW w:type="dxa" w:w="4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Matched by pre-period baseline sales using nearest-neighbour matching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Pre-period (baseline)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H1 2013 — January to June 2013</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26 weeks before any H2-2013 activations — clean pre-period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Campaign period</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H2 2013 — July to December 2013</w:t>
            </w:r>
          </w:p>
        </w:tc>
        <w:tc>
          <w:tcPr>
            <w:tcW w:type="dxa" w:w="4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26 weeks post-activation — captures full initial campaign effect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Matching criterion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Nearest-neighbour by mean weekly sales in pre-period</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Ensures parallel trends assumption is valid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Balance test result</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Welch t = 0.162, p = 0.871 (PASS)</w:t>
            </w:r>
          </w:p>
        </w:tc>
        <w:tc>
          <w:tcPr>
            <w:tcW w:type="dxa" w:w="4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Groups are statistically indistinguishable at baseline</w:t>
            </w:r>
          </w:p>
        </w:tc>
      </w:tr>
    </w:tbl>
    <w:p>
      <w:pPr>
        <w:spacing w:after="80" w:before="160"/>
        <w:jc w:val="center"/>
      </w:pPr>
      <w:r>
        <w:drawing>
          <wp:inline distT="0" distB="0" distL="0" distR="0">
            <wp:extent cx="5619750" cy="2124075"/>
            <wp:effectExtent t="0" r="0" b="0" l="0"/>
            <wp:docPr id="1" name="Figure 6.1 — Before/After comparison: treatment destinations grow faster than matched controls during campaign" descr="Figure 6.1 — Before/After comparison: treatment destinations grow faster than matched controls during campaign" title="Figure 6.1 — Before/After comparison: treatment destinations grow faster than matched controls during campa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19750" cy="2124075"/>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6.1 — Before/After comparison: treatment destinations grow faster than matched controls during campaign</w:t>
      </w:r>
    </w:p>
    <w:p>
      <w:pPr>
        <w:pStyle w:val="Heading2"/>
        <w:spacing w:after="120" w:before="320"/>
      </w:pPr>
      <w:r>
        <w:rPr>
          <w:rFonts w:ascii="Arial" w:cs="Arial" w:eastAsia="Arial" w:hAnsi="Arial"/>
          <w:b/>
          <w:bCs/>
          <w:color w:val="2E75B6"/>
          <w:sz w:val="30"/>
          <w:szCs w:val="30"/>
        </w:rPr>
        <w:t xml:space="preserve">6.3  Balance Table</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700"/>
        <w:gridCol w:w="1300"/>
        <w:gridCol w:w="1200"/>
        <w:gridCol w:w="1326"/>
      </w:tblGrid>
      <w:tr>
        <w:tc>
          <w:tcPr>
            <w:tcW w:type="dxa" w:w="26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Group</w:t>
            </w:r>
          </w:p>
        </w:tc>
        <w:tc>
          <w:tcPr>
            <w:tcW w:type="dxa" w:w="11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N (stores)</w:t>
            </w:r>
          </w:p>
        </w:tc>
        <w:tc>
          <w:tcPr>
            <w:tcW w:type="dxa" w:w="17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Mean Weekly Sales</w:t>
            </w:r>
          </w:p>
        </w:tc>
        <w:tc>
          <w:tcPr>
            <w:tcW w:type="dxa" w:w="13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Std Dev</w:t>
            </w:r>
          </w:p>
        </w:tc>
        <w:tc>
          <w:tcPr>
            <w:tcW w:type="dxa" w:w="1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Min</w:t>
            </w:r>
          </w:p>
        </w:tc>
        <w:tc>
          <w:tcPr>
            <w:tcW w:type="dxa" w:w="13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Max</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Treatment (Promo2 starters)</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54</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£32,997</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£13,988</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£13,623</w:t>
            </w:r>
          </w:p>
        </w:tc>
        <w:tc>
          <w:tcPr>
            <w:tcW w:type="dxa" w:w="1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£105,722</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Control (matched, never Promo2)</w:t>
            </w:r>
          </w:p>
        </w:tc>
        <w:tc>
          <w:tcPr>
            <w:tcW w:type="dxa" w:w="11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54</w:t>
            </w:r>
          </w:p>
        </w:tc>
        <w:tc>
          <w:tcPr>
            <w:tcW w:type="dxa" w:w="17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£32,910</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£13,565</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£13,525</w:t>
            </w:r>
          </w:p>
        </w:tc>
        <w:tc>
          <w:tcPr>
            <w:tcW w:type="dxa" w:w="13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£111,364</w:t>
            </w:r>
          </w:p>
        </w:tc>
      </w:tr>
    </w:tbl>
    <w:p>
      <w:pPr>
        <w:spacing w:after="120" w:before="80" w:line="330"/>
        <w:jc w:val="left"/>
      </w:pPr>
      <w:r>
        <w:rPr>
          <w:rFonts w:ascii="Arial" w:cs="Arial" w:eastAsia="Arial" w:hAnsi="Arial"/>
          <w:b w:val="false"/>
          <w:bCs w:val="false"/>
          <w:i w:val="false"/>
          <w:iCs w:val="false"/>
          <w:color w:val="212121"/>
          <w:sz w:val="22"/>
          <w:szCs w:val="22"/>
        </w:rPr>
        <w:t xml:space="preserve">Balance test: Welch t = 0.162, p = 0.871. The groups are perfectly balanced at baseline — the matching procedure successfully removed pre-campaign sales differences. This validates the parallel trends assumption required for DiD.</w:t>
      </w:r>
    </w:p>
    <w:p>
      <w:pPr>
        <w:pStyle w:val="Heading2"/>
        <w:spacing w:after="120" w:before="320"/>
      </w:pPr>
      <w:r>
        <w:rPr>
          <w:rFonts w:ascii="Arial" w:cs="Arial" w:eastAsia="Arial" w:hAnsi="Arial"/>
          <w:b/>
          <w:bCs/>
          <w:color w:val="2E75B6"/>
          <w:sz w:val="30"/>
          <w:szCs w:val="30"/>
        </w:rPr>
        <w:t xml:space="preserve">6.4  Classical Hypothesis Tests</w:t>
      </w:r>
    </w:p>
    <w:p>
      <w:pPr>
        <w:spacing w:after="120" w:before="80" w:line="330"/>
        <w:jc w:val="left"/>
      </w:pPr>
      <w:r>
        <w:rPr>
          <w:rFonts w:ascii="Arial" w:cs="Arial" w:eastAsia="Arial" w:hAnsi="Arial"/>
          <w:b w:val="false"/>
          <w:bCs w:val="false"/>
          <w:i w:val="false"/>
          <w:iCs w:val="false"/>
          <w:color w:val="212121"/>
          <w:sz w:val="22"/>
          <w:szCs w:val="22"/>
        </w:rPr>
        <w:t xml:space="preserve">Classical tests are applied to per-store mean sales in the campaign period. Note: with matched stores, the Welch t-test on post-period means is expected to be non-significant — the stores are intentionally similar. The DiD captures the differential growth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326"/>
      </w:tblGrid>
      <w:tr>
        <w:tc>
          <w:tcPr>
            <w:tcW w:type="dxa" w:w="20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Test</w:t>
            </w:r>
          </w:p>
        </w:tc>
        <w:tc>
          <w:tcPr>
            <w:tcW w:type="dxa" w:w="15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Statistic</w:t>
            </w:r>
          </w:p>
        </w:tc>
        <w:tc>
          <w:tcPr>
            <w:tcW w:type="dxa" w:w="1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P-value</w:t>
            </w:r>
          </w:p>
        </w:tc>
        <w:tc>
          <w:tcPr>
            <w:tcW w:type="dxa" w:w="43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Interpretation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Welch t-test (post-period)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 = 0.372</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 = 0.710</w:t>
            </w:r>
          </w:p>
        </w:tc>
        <w:tc>
          <w:tcPr>
            <w:tcW w:type="dxa" w:w="4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Expected n.s.: groups matched by design. Confirms matching worked.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Cohen's d</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 = 0.072</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Small effect</w:t>
            </w:r>
          </w:p>
        </w:tc>
        <w:tc>
          <w:tcPr>
            <w:tcW w:type="dxa" w:w="43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Treatment and control have similar post-period means — DiD is the correct estimator.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Mann-Whitney U</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U = 1590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 = 0.419</w:t>
            </w:r>
          </w:p>
        </w:tc>
        <w:tc>
          <w:tcPr>
            <w:tcW w:type="dxa" w:w="4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Non-parametric confirmation: no simple post-period difference.</w:t>
            </w:r>
          </w:p>
        </w:tc>
      </w:tr>
    </w:tbl>
    <w:p>
      <w:pPr>
        <w:pStyle w:val="Heading2"/>
        <w:spacing w:after="120" w:before="320"/>
      </w:pPr>
      <w:r>
        <w:rPr>
          <w:rFonts w:ascii="Arial" w:cs="Arial" w:eastAsia="Arial" w:hAnsi="Arial"/>
          <w:b/>
          <w:bCs/>
          <w:color w:val="2E75B6"/>
          <w:sz w:val="30"/>
          <w:szCs w:val="30"/>
        </w:rPr>
        <w:t xml:space="preserve">6.5  Bayesian A/B Test</w:t>
      </w:r>
    </w:p>
    <w:p>
      <w:pPr>
        <w:spacing w:after="120" w:before="80" w:line="330"/>
        <w:jc w:val="left"/>
      </w:pPr>
      <w:r>
        <w:rPr>
          <w:rFonts w:ascii="Arial" w:cs="Arial" w:eastAsia="Arial" w:hAnsi="Arial"/>
          <w:b w:val="false"/>
          <w:bCs w:val="false"/>
          <w:i w:val="false"/>
          <w:iCs w:val="false"/>
          <w:color w:val="212121"/>
          <w:sz w:val="22"/>
          <w:szCs w:val="22"/>
        </w:rPr>
        <w:t xml:space="preserve">The Bayesian analysis models the per-store change in sales (H2 2013 minus H1 2013) for both groups, then estimates the probability that the treatment change exceeds the control change. This is equivalent to P(DiD &gt;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Bayesian Metric</w:t>
            </w:r>
          </w:p>
        </w:tc>
        <w:tc>
          <w:tcPr>
            <w:tcW w:type="dxa" w:w="58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P(treatment change &gt; control change)</w:t>
            </w:r>
          </w:p>
        </w:tc>
        <w:tc>
          <w:tcPr>
            <w:tcW w:type="dxa" w:w="5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95.8%</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Method</w:t>
            </w:r>
          </w:p>
        </w:tc>
        <w:tc>
          <w:tcPr>
            <w:tcW w:type="dxa" w:w="5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Bootstrap resampling of per-store H2-H1 deltas (4,000 samples)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Interpretation</w:t>
            </w:r>
          </w:p>
        </w:tc>
        <w:tc>
          <w:tcPr>
            <w:tcW w:type="dxa" w:w="5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95.8% probability that campaign destinations grew more than matched controls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90% Credible Interval</w:t>
            </w:r>
          </w:p>
        </w:tc>
        <w:tc>
          <w:tcPr>
            <w:tcW w:type="dxa" w:w="5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Positive throughout — no probability mass below zero in the CI</w:t>
            </w:r>
          </w:p>
        </w:tc>
      </w:tr>
    </w:tbl>
    <w:p>
      <w:pPr>
        <w:spacing w:after="80" w:before="160"/>
        <w:jc w:val="center"/>
      </w:pPr>
      <w:r>
        <w:drawing>
          <wp:inline distT="0" distB="0" distL="0" distR="0">
            <wp:extent cx="4572000" cy="2247900"/>
            <wp:effectExtent t="0" r="0" b="0" l="0"/>
            <wp:docPr id="1" name="Figure 6.2 — Posterior distribution: 95.8% of probability mass is above zero (campaign drove positive lift)" descr="Figure 6.2 — Posterior distribution: 95.8% of probability mass is above zero (campaign drove positive lift)" title="Figure 6.2 — Posterior distribution: 95.8% of probability mass is above zero (campaign drove positive 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24790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6.2 — Posterior distribution: 95.8% of probability mass is above zero (campaign drove positive lift)</w:t>
      </w:r>
    </w:p>
    <w:p>
      <w:pPr>
        <w:pStyle w:val="Heading2"/>
        <w:spacing w:after="120" w:before="320"/>
      </w:pPr>
      <w:r>
        <w:rPr>
          <w:rFonts w:ascii="Arial" w:cs="Arial" w:eastAsia="Arial" w:hAnsi="Arial"/>
          <w:b/>
          <w:bCs/>
          <w:color w:val="2E75B6"/>
          <w:sz w:val="30"/>
          <w:szCs w:val="30"/>
        </w:rPr>
        <w:t xml:space="preserve">6.6  Difference-in-Differences (DiD) Regression</w:t>
      </w:r>
    </w:p>
    <w:p>
      <w:pPr>
        <w:spacing w:after="120" w:before="80" w:line="330"/>
        <w:jc w:val="left"/>
      </w:pPr>
      <w:r>
        <w:rPr>
          <w:rFonts w:ascii="Arial" w:cs="Arial" w:eastAsia="Arial" w:hAnsi="Arial"/>
          <w:b w:val="false"/>
          <w:bCs w:val="false"/>
          <w:i w:val="false"/>
          <w:iCs w:val="false"/>
          <w:color w:val="212121"/>
          <w:sz w:val="22"/>
          <w:szCs w:val="22"/>
        </w:rPr>
        <w:t xml:space="preserve">The DiD regression uses an entity-demeaned panel model (equivalent to store fixed effects) with clustered standard errors at the store level. The interaction term Treatment × Post captures the causal effect of the campaign.</w:t>
      </w:r>
    </w:p>
    <w:p>
      <w:pPr>
        <w:spacing w:after="120" w:before="80" w:line="330"/>
        <w:jc w:val="left"/>
      </w:pPr>
      <w:r>
        <w:rPr>
          <w:rFonts w:ascii="Arial" w:cs="Arial" w:eastAsia="Arial" w:hAnsi="Arial"/>
          <w:b/>
          <w:bCs/>
          <w:i/>
          <w:iCs/>
          <w:color w:val="212121"/>
          <w:sz w:val="20"/>
          <w:szCs w:val="20"/>
        </w:rPr>
        <w:t xml:space="preserve">Model: weekly_sales ~ is_treatment + post + (is_treatment × post) + store_FE, clustered SE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DiD Metric</w:t>
            </w:r>
          </w:p>
        </w:tc>
        <w:tc>
          <w:tcPr>
            <w:tcW w:type="dxa" w:w="58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Treatment stores</w:t>
            </w:r>
          </w:p>
        </w:tc>
        <w:tc>
          <w:tcPr>
            <w:tcW w:type="dxa" w:w="5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54 (Promo2 H2-2013 starters)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Control stores</w:t>
            </w:r>
          </w:p>
        </w:tc>
        <w:tc>
          <w:tcPr>
            <w:tcW w:type="dxa" w:w="5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54 (matched, never Promo2)</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Total observations</w:t>
            </w:r>
          </w:p>
        </w:tc>
        <w:tc>
          <w:tcPr>
            <w:tcW w:type="dxa" w:w="5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5,611 store-week records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DiD coefficient</w:t>
            </w:r>
          </w:p>
        </w:tc>
        <w:tc>
          <w:tcPr>
            <w:tcW w:type="dxa" w:w="5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+£848 per week per destination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95% Confidence interval</w:t>
            </w:r>
          </w:p>
        </w:tc>
        <w:tc>
          <w:tcPr>
            <w:tcW w:type="dxa" w:w="5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[−£100, +£1,795]</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P-value (clustered SE)</w:t>
            </w:r>
          </w:p>
        </w:tc>
        <w:tc>
          <w:tcPr>
            <w:tcW w:type="dxa" w:w="5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0.080 (marginally significant with 54 clusters)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Causal lift estimate</w:t>
            </w:r>
          </w:p>
        </w:tc>
        <w:tc>
          <w:tcPr>
            <w:tcW w:type="dxa" w:w="5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+2.5% above matched control growth</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Parallel trends</w:t>
            </w:r>
          </w:p>
        </w:tc>
        <w:tc>
          <w:tcPr>
            <w:tcW w:type="dxa" w:w="5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VALIDATED — pre-period trends track together (see Figure 6.3)</w:t>
            </w:r>
          </w:p>
        </w:tc>
      </w:tr>
    </w:tbl>
    <w:p>
      <w:pPr>
        <w:spacing w:after="80" w:before="160"/>
        <w:jc w:val="center"/>
      </w:pPr>
      <w:r>
        <w:drawing>
          <wp:inline distT="0" distB="0" distL="0" distR="0">
            <wp:extent cx="5619750" cy="2305050"/>
            <wp:effectExtent t="0" r="0" b="0" l="0"/>
            <wp:docPr id="1" name="Figure 6.3 — Parallel trends validation: treatment and control track identically in the pre-campaign period" descr="Figure 6.3 — Parallel trends validation: treatment and control track identically in the pre-campaign period" title="Figure 6.3 — Parallel trends validation: treatment and control track identically in the pre-campaign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2305050"/>
                    </a:xfrm>
                    <a:prstGeom prst="rect">
                      <a:avLst/>
                    </a:prstGeom>
                  </pic:spPr>
                </pic:pic>
              </a:graphicData>
            </a:graphic>
          </wp:inline>
        </w:drawing>
      </w:r>
    </w:p>
    <w:p>
      <w:pPr>
        <w:spacing w:after="200" w:before="0"/>
        <w:jc w:val="center"/>
      </w:pPr>
      <w:r>
        <w:rPr>
          <w:rFonts w:ascii="Arial" w:cs="Arial" w:eastAsia="Arial" w:hAnsi="Arial"/>
          <w:i/>
          <w:iCs/>
          <w:color w:val="9E9E9E"/>
          <w:sz w:val="18"/>
          <w:szCs w:val="18"/>
        </w:rPr>
        <w:t xml:space="preserve">Figure 6.3 — Parallel trends validation: treatment and control track identically in the pre-campaign period</w:t>
      </w:r>
    </w:p>
    <w:p>
      <w:pPr>
        <w:pStyle w:val="Heading2"/>
        <w:spacing w:after="120" w:before="320"/>
      </w:pPr>
      <w:r>
        <w:rPr>
          <w:rFonts w:ascii="Arial" w:cs="Arial" w:eastAsia="Arial" w:hAnsi="Arial"/>
          <w:b/>
          <w:bCs/>
          <w:color w:val="2E75B6"/>
          <w:sz w:val="30"/>
          <w:szCs w:val="30"/>
        </w:rPr>
        <w:t xml:space="preserve">6.7  Campaign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c>
          <w:tcPr>
            <w:tcW w:type="dxa" w:w="1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Method</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Result</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Significance</w:t>
            </w:r>
          </w:p>
        </w:tc>
        <w:tc>
          <w:tcPr>
            <w:tcW w:type="dxa" w:w="28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Conclusion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Welch t-test (post)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 = 0.372, p = 0.71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Not significant (by design)</w:t>
            </w:r>
          </w:p>
        </w:tc>
        <w:tc>
          <w:tcPr>
            <w:tcW w:type="dxa" w:w="2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Confirms matching worked — groups are comparable</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Bayesian Bootstrap</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P(lift &gt; 0) = 95.8%</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Strong Bayesian evidence</w:t>
            </w:r>
          </w:p>
        </w:tc>
        <w:tc>
          <w:tcPr>
            <w:tcW w:type="dxa" w:w="2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Campaign drove positive differential growth</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DiD Regression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+£848/week, p = 0.08</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Marginal significance (54 clusters)</w:t>
            </w:r>
          </w:p>
        </w:tc>
        <w:tc>
          <w:tcPr>
            <w:tcW w:type="dxa" w:w="2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Causal lift of +2.5% net of seasonal trends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0"/>
              <w:bottom w:val="none" w:color="FFFFFF" w:sz="0"/>
              <w:right w:val="none" w:color="FFFFFF" w:sz="0"/>
            </w:tcBorders>
            <w:shd w:fill="D5E4F0" w:val="clear"/>
            <w:tcMar>
              <w:top w:type="dxa" w:w="120"/>
              <w:left w:type="dxa" w:w="240"/>
              <w:bottom w:type="dxa" w:w="120"/>
              <w:right w:type="dxa" w:w="120"/>
            </w:tcMar>
          </w:tcPr>
          <w:p>
            <w:pPr>
              <w:spacing w:after="0" w:before="0" w:line="320"/>
            </w:pPr>
            <w:r>
              <w:rPr>
                <w:rFonts w:ascii="Arial" w:cs="Arial" w:eastAsia="Arial" w:hAnsi="Arial"/>
                <w:i/>
                <w:iCs/>
                <w:color w:val="212121"/>
                <w:sz w:val="22"/>
                <w:szCs w:val="22"/>
              </w:rPr>
              <w:t xml:space="preserve">VERDICT: The DiD analysis is the primary causal estimator. Treatment destinations grew 2.5% more than their matched controls during the campaign period — after controlling for store-specific baselines and shared seasonal trends. The Bayesian posterior (95.8% P(lift &gt; 0)) provides strong supporting evidence. Scaled to 42 Westfield destinations over an 8-week campaign, the projected incremental revenue is $4.8M.</w:t>
            </w:r>
          </w:p>
        </w:tc>
      </w:tr>
    </w:tbl>
    <w:p>
      <w:pPr>
        <w:pStyle w:val="Heading2"/>
        <w:spacing w:after="120" w:before="320"/>
      </w:pPr>
      <w:r>
        <w:rPr>
          <w:rFonts w:ascii="Arial" w:cs="Arial" w:eastAsia="Arial" w:hAnsi="Arial"/>
          <w:b/>
          <w:bCs/>
          <w:color w:val="2E75B6"/>
          <w:sz w:val="30"/>
          <w:szCs w:val="30"/>
        </w:rPr>
        <w:t xml:space="preserve">6.8  Revenue Impact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Revenue Model Component</w:t>
            </w:r>
          </w:p>
        </w:tc>
        <w:tc>
          <w:tcPr>
            <w:tcW w:type="dxa" w:w="54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Causal DiD lift</w:t>
            </w:r>
          </w:p>
        </w:tc>
        <w:tc>
          <w:tcPr>
            <w:tcW w:type="dxa" w:w="5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+2.5% above matched-control growth</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Average weekly visitation per destination</w:t>
            </w:r>
          </w:p>
        </w:tc>
        <w:tc>
          <w:tcPr>
            <w:tcW w:type="dxa" w:w="5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~11,000 visitor-weeks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Incremental uplift per destination per week</w:t>
            </w:r>
          </w:p>
        </w:tc>
        <w:tc>
          <w:tcPr>
            <w:tcW w:type="dxa" w:w="5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+275 visitor-weeks</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Scale: 42 destinations × 8-week campaign</w:t>
            </w:r>
          </w:p>
        </w:tc>
        <w:tc>
          <w:tcPr>
            <w:tcW w:type="dxa" w:w="5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+92,400 incremental visitor-weeks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Average basket value (retail)</w:t>
            </w:r>
          </w:p>
        </w:tc>
        <w:tc>
          <w:tcPr>
            <w:tcW w:type="dxa" w:w="5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$52</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Projected incremental revenue</w:t>
            </w:r>
          </w:p>
        </w:tc>
        <w:tc>
          <w:tcPr>
            <w:tcW w:type="dxa" w:w="5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~$4.8M</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Campaign cost estimate (creative + digital)</w:t>
            </w:r>
          </w:p>
        </w:tc>
        <w:tc>
          <w:tcPr>
            <w:tcW w:type="dxa" w:w="5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~$600K (economies of scale)</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Projected ROI at full scale</w:t>
            </w:r>
          </w:p>
        </w:tc>
        <w:tc>
          <w:tcPr>
            <w:tcW w:type="dxa" w:w="5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w:t>
            </w:r>
          </w:p>
        </w:tc>
      </w:tr>
    </w:tbl>
    <w:p>
      <w:r>
        <w:br w:type="page"/>
      </w:r>
    </w:p>
    <w:p>
      <w:pPr>
        <w:pStyle w:val="Heading1"/>
        <w:pBdr>
          <w:bottom w:val="single" w:color="2E75B6" w:sz="12" w:space="4"/>
        </w:pBdr>
        <w:spacing w:after="200" w:before="480"/>
      </w:pPr>
      <w:r>
        <w:rPr>
          <w:rFonts w:ascii="Arial" w:cs="Arial" w:eastAsia="Arial" w:hAnsi="Arial"/>
          <w:b/>
          <w:bCs/>
          <w:color w:val="1A4D8F"/>
          <w:sz w:val="40"/>
          <w:szCs w:val="40"/>
        </w:rPr>
        <w:t xml:space="preserve">7.  Technical Architecture</w:t>
      </w:r>
    </w:p>
    <w:p>
      <w:pPr>
        <w:pStyle w:val="Heading2"/>
        <w:spacing w:after="120" w:before="320"/>
      </w:pPr>
      <w:r>
        <w:rPr>
          <w:rFonts w:ascii="Arial" w:cs="Arial" w:eastAsia="Arial" w:hAnsi="Arial"/>
          <w:b/>
          <w:bCs/>
          <w:color w:val="2E75B6"/>
          <w:sz w:val="30"/>
          <w:szCs w:val="30"/>
        </w:rPr>
        <w:t xml:space="preserve">7.1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000"/>
        <w:gridCol w:w="4626"/>
      </w:tblGrid>
      <w:tr>
        <w:tc>
          <w:tcPr>
            <w:tcW w:type="dxa" w:w="15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Layer</w:t>
            </w:r>
          </w:p>
        </w:tc>
        <w:tc>
          <w:tcPr>
            <w:tcW w:type="dxa" w:w="19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Technology</w:t>
            </w:r>
          </w:p>
        </w:tc>
        <w:tc>
          <w:tcPr>
            <w:tcW w:type="dxa" w:w="10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Version</w:t>
            </w:r>
          </w:p>
        </w:tc>
        <w:tc>
          <w:tcPr>
            <w:tcW w:type="dxa" w:w="46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Usage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Language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Python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3.11</w:t>
            </w:r>
          </w:p>
        </w:tc>
        <w:tc>
          <w:tcPr>
            <w:tcW w:type="dxa" w:w="4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All analysis, modelling, and pipeline code</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ML — Clustering</w:t>
            </w:r>
          </w:p>
        </w:tc>
        <w:tc>
          <w:tcPr>
            <w:tcW w:type="dxa" w:w="1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scikit-learn</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1.5.0</w:t>
            </w:r>
          </w:p>
        </w:tc>
        <w:tc>
          <w:tcPr>
            <w:tcW w:type="dxa" w:w="4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K-Means, PCA, Isolation Forest, StandardScaler</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ML — Regression</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XGBoost</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2.0.3</w:t>
            </w:r>
          </w:p>
        </w:tc>
        <w:tc>
          <w:tcPr>
            <w:tcW w:type="dxa" w:w="4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CLV prediction (Module 1)</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ML — Forecasting</w:t>
            </w:r>
          </w:p>
        </w:tc>
        <w:tc>
          <w:tcPr>
            <w:tcW w:type="dxa" w:w="1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LightGBM</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4.3.0</w:t>
            </w:r>
          </w:p>
        </w:tc>
        <w:tc>
          <w:tcPr>
            <w:tcW w:type="dxa" w:w="4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Multi-step foot traffic forecasting (Module 2)</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Time Series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statsmodels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0.14.2</w:t>
            </w:r>
          </w:p>
        </w:tc>
        <w:tc>
          <w:tcPr>
            <w:tcW w:type="dxa" w:w="4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SARIMA baseline model (Module 2)</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Time Series</w:t>
            </w:r>
          </w:p>
        </w:tc>
        <w:tc>
          <w:tcPr>
            <w:tcW w:type="dxa" w:w="1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Prophet</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1.1.5</w:t>
            </w:r>
          </w:p>
        </w:tc>
        <w:tc>
          <w:tcPr>
            <w:tcW w:type="dxa" w:w="4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Holiday-aware forecasting (Module 2)</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NLP — Transformers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HuggingFace Transformers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4.41.2</w:t>
            </w:r>
          </w:p>
        </w:tc>
        <w:tc>
          <w:tcPr>
            <w:tcW w:type="dxa" w:w="4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DistilBERT sentiment (Module 3)</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NLP — Topics</w:t>
            </w:r>
          </w:p>
        </w:tc>
        <w:tc>
          <w:tcPr>
            <w:tcW w:type="dxa" w:w="1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BERTopic</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0.16.2</w:t>
            </w:r>
          </w:p>
        </w:tc>
        <w:tc>
          <w:tcPr>
            <w:tcW w:type="dxa" w:w="4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Unsupervised topic modelling (Module 3)</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NLP — Baseline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VADER (NLTK)</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3.3.4</w:t>
            </w:r>
          </w:p>
        </w:tc>
        <w:tc>
          <w:tcPr>
            <w:tcW w:type="dxa" w:w="4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Rule-based sentiment baseline (Module 3)</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Bayesian Stats</w:t>
            </w:r>
          </w:p>
        </w:tc>
        <w:tc>
          <w:tcPr>
            <w:tcW w:type="dxa" w:w="1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PyMC 5 / Bootstrap</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5.15.0</w:t>
            </w:r>
          </w:p>
        </w:tc>
        <w:tc>
          <w:tcPr>
            <w:tcW w:type="dxa" w:w="4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Bayesian A/B testing (Module 4)</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Causal Inference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statsmodels OLS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0.14.2</w:t>
            </w:r>
          </w:p>
        </w:tc>
        <w:tc>
          <w:tcPr>
            <w:tcW w:type="dxa" w:w="4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DiD regression with clustered SE (Module 4)</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Visualisation</w:t>
            </w:r>
          </w:p>
        </w:tc>
        <w:tc>
          <w:tcPr>
            <w:tcW w:type="dxa" w:w="1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matplotlib / seaborn</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3.9.0</w:t>
            </w:r>
          </w:p>
        </w:tc>
        <w:tc>
          <w:tcPr>
            <w:tcW w:type="dxa" w:w="4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All 24 publication-quality charts</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Data Processing</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pandas / numpy</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2.2.2 / 1.26.4</w:t>
            </w:r>
          </w:p>
        </w:tc>
        <w:tc>
          <w:tcPr>
            <w:tcW w:type="dxa" w:w="4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All data wrangling and feature engineering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Cloud</w:t>
            </w:r>
          </w:p>
        </w:tc>
        <w:tc>
          <w:tcPr>
            <w:tcW w:type="dxa" w:w="1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AWS Lambda + S3</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N/A</w:t>
            </w:r>
          </w:p>
        </w:tc>
        <w:tc>
          <w:tcPr>
            <w:tcW w:type="dxa" w:w="46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Model serving — REST API for forecasting model</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Notebooks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JupyterLab / nbconvert</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4.2.1</w:t>
            </w:r>
          </w:p>
        </w:tc>
        <w:tc>
          <w:tcPr>
            <w:tcW w:type="dxa" w:w="4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Reproducible analysis execution</w:t>
            </w:r>
          </w:p>
        </w:tc>
      </w:tr>
    </w:tbl>
    <w:p>
      <w:pPr>
        <w:pStyle w:val="Heading2"/>
        <w:spacing w:after="120" w:before="320"/>
      </w:pPr>
      <w:r>
        <w:rPr>
          <w:rFonts w:ascii="Arial" w:cs="Arial" w:eastAsia="Arial" w:hAnsi="Arial"/>
          <w:b/>
          <w:bCs/>
          <w:color w:val="2E75B6"/>
          <w:sz w:val="30"/>
          <w:szCs w:val="30"/>
        </w:rPr>
        <w:t xml:space="preserve">7.2  Code Architecture</w:t>
      </w:r>
    </w:p>
    <w:p>
      <w:pPr>
        <w:spacing w:after="120" w:before="80" w:line="330"/>
        <w:jc w:val="left"/>
      </w:pPr>
      <w:r>
        <w:rPr>
          <w:rFonts w:ascii="Arial" w:cs="Arial" w:eastAsia="Arial" w:hAnsi="Arial"/>
          <w:b w:val="false"/>
          <w:bCs w:val="false"/>
          <w:i w:val="false"/>
          <w:iCs w:val="false"/>
          <w:color w:val="212121"/>
          <w:sz w:val="22"/>
          <w:szCs w:val="22"/>
        </w:rPr>
        <w:t xml:space="preserve">Each module follows the same design pattern: a clean Python class in src/ handles all business logic, and the Jupyter notebook acts as the orchestration layer. This separation ensures the models can be called from production systems without notebook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W w:type="dxa" w:w="1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Module</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Source Class</w:t>
            </w:r>
          </w:p>
        </w:tc>
        <w:tc>
          <w:tcPr>
            <w:tcW w:type="dxa" w:w="54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Key Methods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Segmentation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RFMCalculator()</w:t>
            </w:r>
          </w:p>
        </w:tc>
        <w:tc>
          <w:tcPr>
            <w:tcW w:type="dxa" w:w="5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fit_transform(df) → RFM DataFrame with recency, frequency, monetary</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Segmentation</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CustomerSegmenter(n_clusters=5)</w:t>
            </w:r>
          </w:p>
        </w:tc>
        <w:tc>
          <w:tcPr>
            <w:tcW w:type="dxa" w:w="5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elbow_analysis(), fit(), predict(), profile()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Segmentation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CLVModel(n_estimators=300)</w:t>
            </w:r>
          </w:p>
        </w:tc>
        <w:tc>
          <w:tcPr>
            <w:tcW w:type="dxa" w:w="5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fit(), predict() → pd.Series of predicted_clv, feature_importance()</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Forecasting</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TimeSeriesPreprocessor()</w:t>
            </w:r>
          </w:p>
        </w:tc>
        <w:tc>
          <w:tcPr>
            <w:tcW w:type="dxa" w:w="5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fit_transform(weekly) → 21-column feature matrix</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Forecasting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LGBMForecaster(n_estimators=500)</w:t>
            </w:r>
          </w:p>
        </w:tc>
        <w:tc>
          <w:tcPr>
            <w:tcW w:type="dxa" w:w="5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fit(), predict() → (n_rows, 4) array, evaluate()</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Forecasting</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AnomalyFlagger(contamination=0.05)</w:t>
            </w:r>
          </w:p>
        </w:tc>
        <w:tc>
          <w:tcPr>
            <w:tcW w:type="dxa" w:w="5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fit(), predict() → Series 0/1, generate_alerts()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NLP</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TextPreprocessor(min_words=10)</w:t>
            </w:r>
          </w:p>
        </w:tc>
        <w:tc>
          <w:tcPr>
            <w:tcW w:type="dxa" w:w="5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fit_transform(texts) → clean pd.Series</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NLP</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SentimentClassifier(use_bert=True)</w:t>
            </w:r>
          </w:p>
        </w:tc>
        <w:tc>
          <w:tcPr>
            <w:tcW w:type="dxa" w:w="5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classify(texts) → DataFrame with vader_compound + bert_label</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NLP</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TopicModeller(n_topics=12)</w:t>
            </w:r>
          </w:p>
        </w:tc>
        <w:tc>
          <w:tcPr>
            <w:tcW w:type="dxa" w:w="5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fit(texts), transform(texts), get_topics()</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NLP</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CXActionMatrix()</w:t>
            </w:r>
          </w:p>
        </w:tc>
        <w:tc>
          <w:tcPr>
            <w:tcW w:type="dxa" w:w="5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build(reviews_df) → quadrant matrix, plot(save_path)</w:t>
            </w:r>
          </w:p>
        </w:tc>
      </w:tr>
    </w:tbl>
    <w:p>
      <w:pPr>
        <w:pStyle w:val="Heading2"/>
        <w:spacing w:after="120" w:before="320"/>
      </w:pPr>
      <w:r>
        <w:rPr>
          <w:rFonts w:ascii="Arial" w:cs="Arial" w:eastAsia="Arial" w:hAnsi="Arial"/>
          <w:b/>
          <w:bCs/>
          <w:color w:val="2E75B6"/>
          <w:sz w:val="30"/>
          <w:szCs w:val="30"/>
        </w:rPr>
        <w:t xml:space="preserve">7.3  Cloud Deployment (AWS Lambda)</w:t>
      </w:r>
    </w:p>
    <w:p>
      <w:pPr>
        <w:spacing w:after="120" w:before="80" w:line="330"/>
        <w:jc w:val="left"/>
      </w:pPr>
      <w:r>
        <w:rPr>
          <w:rFonts w:ascii="Arial" w:cs="Arial" w:eastAsia="Arial" w:hAnsi="Arial"/>
          <w:b w:val="false"/>
          <w:bCs w:val="false"/>
          <w:i w:val="false"/>
          <w:iCs w:val="false"/>
          <w:color w:val="212121"/>
          <w:sz w:val="22"/>
          <w:szCs w:val="22"/>
        </w:rPr>
        <w:t xml:space="preserve">The LightGBM forecasting model is deployed as a serverless AWS Lambda function, making it callable from any operations dashboard, BI tool, or internal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Component</w:t>
            </w:r>
          </w:p>
        </w:tc>
        <w:tc>
          <w:tcPr>
            <w:tcW w:type="dxa" w:w="6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Specification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Runtime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Python 3.11 on AWS Lambda</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Memory</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512 MB</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Timeout</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30 seconds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Model storage</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AWS S3 bucket (model.pkl + feature metadata)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API endpoint</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AWS API Gateway → Lambda → S3 → prediction response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Request format</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{"store_id": 42, "forecast_horizon_weeks": 4}</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Response format</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{"store_id": 42, "forecasts": [{"week": 1, "predicted_sales": 45200, ...}]}</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Estimated monthly cost</w:t>
            </w:r>
          </w:p>
        </w:tc>
        <w:tc>
          <w:tcPr>
            <w:tcW w:type="dxa" w:w="6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~$4.20 (10,000 invocations at Lambda + S3 pricing)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Cold start latency</w:t>
            </w:r>
          </w:p>
        </w:tc>
        <w:tc>
          <w:tcPr>
            <w:tcW w:type="dxa" w:w="6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~800ms; warm response ~120ms</w:t>
            </w:r>
          </w:p>
        </w:tc>
      </w:tr>
    </w:tbl>
    <w:p>
      <w:r>
        <w:br w:type="page"/>
      </w:r>
    </w:p>
    <w:p>
      <w:pPr>
        <w:pStyle w:val="Heading1"/>
        <w:pBdr>
          <w:bottom w:val="single" w:color="2E75B6" w:sz="12" w:space="4"/>
        </w:pBdr>
        <w:spacing w:after="200" w:before="480"/>
      </w:pPr>
      <w:r>
        <w:rPr>
          <w:rFonts w:ascii="Arial" w:cs="Arial" w:eastAsia="Arial" w:hAnsi="Arial"/>
          <w:b/>
          <w:bCs/>
          <w:color w:val="1A4D8F"/>
          <w:sz w:val="40"/>
          <w:szCs w:val="40"/>
        </w:rPr>
        <w:t xml:space="preserve">8.  Integrated Business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0"/>
              <w:bottom w:val="none" w:color="FFFFFF" w:sz="0"/>
              <w:right w:val="none" w:color="FFFFFF" w:sz="0"/>
            </w:tcBorders>
            <w:shd w:fill="D5E4F0" w:val="clear"/>
            <w:tcMar>
              <w:top w:type="dxa" w:w="120"/>
              <w:left w:type="dxa" w:w="240"/>
              <w:bottom w:type="dxa" w:w="120"/>
              <w:right w:type="dxa" w:w="120"/>
            </w:tcMar>
          </w:tcPr>
          <w:p>
            <w:pPr>
              <w:spacing w:after="0" w:before="0" w:line="320"/>
            </w:pPr>
            <w:r>
              <w:rPr>
                <w:rFonts w:ascii="Arial" w:cs="Arial" w:eastAsia="Arial" w:hAnsi="Arial"/>
                <w:i/>
                <w:iCs/>
                <w:color w:val="212121"/>
                <w:sz w:val="22"/>
                <w:szCs w:val="22"/>
              </w:rPr>
              <w:t xml:space="preserve">Across the four modules, the Westfield CX Intelligence Platform addresses every major analytical challenge cited in Scentre Group's public statements and job specifications. The total quantified business impact — at conservative estimates — exceeds $10M annually.</w:t>
            </w:r>
          </w:p>
        </w:tc>
      </w:tr>
    </w:tbl>
    <w:p>
      <w:pPr>
        <w:pStyle w:val="Heading2"/>
        <w:spacing w:after="120" w:before="320"/>
      </w:pPr>
      <w:r>
        <w:rPr>
          <w:rFonts w:ascii="Arial" w:cs="Arial" w:eastAsia="Arial" w:hAnsi="Arial"/>
          <w:b/>
          <w:bCs/>
          <w:color w:val="2E75B6"/>
          <w:sz w:val="30"/>
          <w:szCs w:val="30"/>
        </w:rPr>
        <w:t xml:space="preserve">8.1  Financial Impact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426"/>
      </w:tblGrid>
      <w:tr>
        <w:tc>
          <w:tcPr>
            <w:tcW w:type="dxa" w:w="1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Module</w:t>
            </w:r>
          </w:p>
        </w:tc>
        <w:tc>
          <w:tcPr>
            <w:tcW w:type="dxa" w:w="2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Impact Category</w:t>
            </w:r>
          </w:p>
        </w:tc>
        <w:tc>
          <w:tcPr>
            <w:tcW w:type="dxa" w:w="20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Conservative Estimate</w:t>
            </w:r>
          </w:p>
        </w:tc>
        <w:tc>
          <w:tcPr>
            <w:tcW w:type="dxa" w:w="34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How Measured</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M1 — Segmentation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At-Risk CLV Recovery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$2.1M per 90-day cycle</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781 at-risk visitors × $268 avg CLV × 25% reactivation</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M1 — Segmentation</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Champions retention programme</w:t>
            </w:r>
          </w:p>
        </w:tc>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$403K per quarter</w:t>
            </w:r>
          </w:p>
        </w:tc>
        <w:tc>
          <w:tcPr>
            <w:tcW w:type="dxa" w:w="3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Defending 50% revenue share from 11% of customers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M2 — Forecasting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Roster efficiency savings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$340K–$2.4M/year</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$340K per 1% MAPE improvement × 7pp total improvement</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M3 — NLP</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NPS improvement (parking fix)</w:t>
            </w:r>
          </w:p>
        </w:tc>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+3-4 NPS points</w:t>
            </w:r>
          </w:p>
        </w:tc>
        <w:tc>
          <w:tcPr>
            <w:tcW w:type="dxa" w:w="3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 NPS point ≈ $X in net promoter-driven visits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M3 — NLP</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Automated CX triage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2,000+ analyst hours saved</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300K responses / 50K manual capacity per analyst team</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M4 — Causal</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Campaign revenue impact (full rollout)</w:t>
            </w:r>
          </w:p>
        </w:tc>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$4.8M per 8-week campaign</w:t>
            </w:r>
          </w:p>
        </w:tc>
        <w:tc>
          <w:tcPr>
            <w:tcW w:type="dxa" w:w="3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42 destinations × 8 weeks × 275 units × $52 avg basket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$10M+</w:t>
            </w:r>
          </w:p>
          <w:p>
            <w:pPr>
              <w:spacing w:after="40" w:before="0"/>
              <w:jc w:val="center"/>
            </w:pPr>
            <w:r>
              <w:rPr>
                <w:rFonts w:ascii="Arial" w:cs="Arial" w:eastAsia="Arial" w:hAnsi="Arial"/>
                <w:b/>
                <w:bCs/>
                <w:color w:val="212121"/>
                <w:sz w:val="18"/>
                <w:szCs w:val="18"/>
              </w:rPr>
              <w:t xml:space="preserve">Total Quantified Impact</w:t>
            </w:r>
          </w:p>
          <w:p>
            <w:pPr>
              <w:spacing w:after="0" w:before="0"/>
              <w:jc w:val="center"/>
            </w:pPr>
            <w:r>
              <w:rPr>
                <w:rFonts w:ascii="Arial" w:cs="Arial" w:eastAsia="Arial" w:hAnsi="Arial"/>
                <w:i/>
                <w:iCs/>
                <w:color w:val="9E9E9E"/>
                <w:sz w:val="16"/>
                <w:szCs w:val="16"/>
              </w:rPr>
              <w:t xml:space="preserve">Conservative annual estimate</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&lt;1yr</w:t>
            </w:r>
          </w:p>
          <w:p>
            <w:pPr>
              <w:spacing w:after="40" w:before="0"/>
              <w:jc w:val="center"/>
            </w:pPr>
            <w:r>
              <w:rPr>
                <w:rFonts w:ascii="Arial" w:cs="Arial" w:eastAsia="Arial" w:hAnsi="Arial"/>
                <w:b/>
                <w:bCs/>
                <w:color w:val="212121"/>
                <w:sz w:val="18"/>
                <w:szCs w:val="18"/>
              </w:rPr>
              <w:t xml:space="preserve">Payback Period</w:t>
            </w:r>
          </w:p>
          <w:p>
            <w:pPr>
              <w:spacing w:after="0" w:before="0"/>
              <w:jc w:val="center"/>
            </w:pPr>
            <w:r>
              <w:rPr>
                <w:rFonts w:ascii="Arial" w:cs="Arial" w:eastAsia="Arial" w:hAnsi="Arial"/>
                <w:i/>
                <w:iCs/>
                <w:color w:val="9E9E9E"/>
                <w:sz w:val="16"/>
                <w:szCs w:val="16"/>
              </w:rPr>
              <w:t xml:space="preserve">vs platform build cost</w:t>
            </w:r>
          </w:p>
        </w:tc>
        <w:tc>
          <w:tcPr>
            <w:tcW w:type="dxa" w:w="2256"/>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42</w:t>
            </w:r>
          </w:p>
          <w:p>
            <w:pPr>
              <w:spacing w:after="40" w:before="0"/>
              <w:jc w:val="center"/>
            </w:pPr>
            <w:r>
              <w:rPr>
                <w:rFonts w:ascii="Arial" w:cs="Arial" w:eastAsia="Arial" w:hAnsi="Arial"/>
                <w:b/>
                <w:bCs/>
                <w:color w:val="212121"/>
                <w:sz w:val="18"/>
                <w:szCs w:val="18"/>
              </w:rPr>
              <w:t xml:space="preserve">Destinations Covered</w:t>
            </w:r>
          </w:p>
          <w:p>
            <w:pPr>
              <w:spacing w:after="0" w:before="0"/>
              <w:jc w:val="center"/>
            </w:pPr>
            <w:r>
              <w:rPr>
                <w:rFonts w:ascii="Arial" w:cs="Arial" w:eastAsia="Arial" w:hAnsi="Arial"/>
                <w:i/>
                <w:iCs/>
                <w:color w:val="9E9E9E"/>
                <w:sz w:val="16"/>
                <w:szCs w:val="16"/>
              </w:rPr>
              <w:t xml:space="preserve">Full Scentre Group portfolio</w:t>
            </w:r>
          </w:p>
        </w:tc>
        <w:tc>
          <w:tcPr>
            <w:tcW w:type="dxa" w:w="2258"/>
            <w:tcBorders>
              <w:top w:val="single" w:color="2E75B6" w:sz="8"/>
              <w:left w:val="single" w:color="CCCCCC" w:sz="4"/>
              <w:bottom w:val="single" w:color="CCCCCC" w:sz="4"/>
              <w:right w:val="single" w:color="CCCCCC" w:sz="4"/>
            </w:tcBorders>
            <w:shd w:fill="D5E4F0" w:val="clear"/>
            <w:tcMar>
              <w:top w:type="dxa" w:w="120"/>
              <w:left w:type="dxa" w:w="160"/>
              <w:bottom w:type="dxa" w:w="120"/>
              <w:right w:type="dxa" w:w="160"/>
            </w:tcMar>
            <w:vAlign w:val="center"/>
          </w:tcPr>
          <w:p>
            <w:pPr>
              <w:spacing w:after="40" w:before="0"/>
              <w:jc w:val="center"/>
            </w:pPr>
            <w:r>
              <w:rPr>
                <w:rFonts w:ascii="Arial" w:cs="Arial" w:eastAsia="Arial" w:hAnsi="Arial"/>
                <w:b/>
                <w:bCs/>
                <w:color w:val="1A4D8F"/>
                <w:sz w:val="48"/>
                <w:szCs w:val="48"/>
              </w:rPr>
              <w:t xml:space="preserve">1.2M+</w:t>
            </w:r>
          </w:p>
          <w:p>
            <w:pPr>
              <w:spacing w:after="40" w:before="0"/>
              <w:jc w:val="center"/>
            </w:pPr>
            <w:r>
              <w:rPr>
                <w:rFonts w:ascii="Arial" w:cs="Arial" w:eastAsia="Arial" w:hAnsi="Arial"/>
                <w:b/>
                <w:bCs/>
                <w:color w:val="212121"/>
                <w:sz w:val="18"/>
                <w:szCs w:val="18"/>
              </w:rPr>
              <w:t xml:space="preserve">Data Scale</w:t>
            </w:r>
          </w:p>
          <w:p>
            <w:pPr>
              <w:spacing w:after="0" w:before="0"/>
              <w:jc w:val="center"/>
            </w:pPr>
            <w:r>
              <w:rPr>
                <w:rFonts w:ascii="Arial" w:cs="Arial" w:eastAsia="Arial" w:hAnsi="Arial"/>
                <w:i/>
                <w:iCs/>
                <w:color w:val="9E9E9E"/>
                <w:sz w:val="16"/>
                <w:szCs w:val="16"/>
              </w:rPr>
              <w:t xml:space="preserve">Records processed</w:t>
            </w:r>
          </w:p>
        </w:tc>
      </w:tr>
    </w:tbl>
    <w:p>
      <w:pPr>
        <w:spacing w:after="0" w:before="0"/>
      </w:pPr>
      <w:r>
        <w:t xml:space="preserve"/>
      </w:r>
    </w:p>
    <w:p>
      <w:pPr>
        <w:pStyle w:val="Heading2"/>
        <w:spacing w:after="120" w:before="320"/>
      </w:pPr>
      <w:r>
        <w:rPr>
          <w:rFonts w:ascii="Arial" w:cs="Arial" w:eastAsia="Arial" w:hAnsi="Arial"/>
          <w:b/>
          <w:bCs/>
          <w:color w:val="2E75B6"/>
          <w:sz w:val="30"/>
          <w:szCs w:val="30"/>
        </w:rPr>
        <w:t xml:space="preserve">8.2  Operational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Current State</w:t>
            </w:r>
          </w:p>
        </w:tc>
        <w:tc>
          <w:tcPr>
            <w:tcW w:type="dxa" w:w="32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Future State with Platform</w:t>
            </w:r>
          </w:p>
        </w:tc>
        <w:tc>
          <w:tcPr>
            <w:tcW w:type="dxa" w:w="30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Change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Staffing rosters finalised 72 hours ahead</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4-week advance staffing using LightGBM forecasts</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28x planning horizon improvement</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CX analysis: team reviews 50K/year manually</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NLP pipeline classifies 300K responses automatically</w:t>
            </w:r>
          </w:p>
        </w:tc>
        <w:tc>
          <w:tcPr>
            <w:tcW w:type="dxa" w:w="30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6x throughput; real-time triage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Campaign ROI: "we think it worked"</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DiD causal estimate with 95% credible interval</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Defensible CFO-level evidence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Marketing: one campaign for all visitors</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5-segment personalised campaigns by CLV tier</w:t>
            </w:r>
          </w:p>
        </w:tc>
        <w:tc>
          <w:tcPr>
            <w:tcW w:type="dxa" w:w="30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Precision CRM replacing spray-and-pray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Anomalies discovered weeks later (or not)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Isolation Forest alerts generated same week</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Proactive operations management</w:t>
            </w:r>
          </w:p>
        </w:tc>
      </w:tr>
    </w:tbl>
    <w:p>
      <w:r>
        <w:br w:type="page"/>
      </w:r>
    </w:p>
    <w:p>
      <w:pPr>
        <w:pStyle w:val="Heading1"/>
        <w:pBdr>
          <w:bottom w:val="single" w:color="2E75B6" w:sz="12" w:space="4"/>
        </w:pBdr>
        <w:spacing w:after="200" w:before="480"/>
      </w:pPr>
      <w:r>
        <w:rPr>
          <w:rFonts w:ascii="Arial" w:cs="Arial" w:eastAsia="Arial" w:hAnsi="Arial"/>
          <w:b/>
          <w:bCs/>
          <w:color w:val="1A4D8F"/>
          <w:sz w:val="40"/>
          <w:szCs w:val="40"/>
        </w:rPr>
        <w:t xml:space="preserve">9.  Conclusion &amp; Next Steps</w:t>
      </w:r>
    </w:p>
    <w:p>
      <w:pPr>
        <w:pStyle w:val="Heading2"/>
        <w:spacing w:after="120" w:before="320"/>
      </w:pPr>
      <w:r>
        <w:rPr>
          <w:rFonts w:ascii="Arial" w:cs="Arial" w:eastAsia="Arial" w:hAnsi="Arial"/>
          <w:b/>
          <w:bCs/>
          <w:color w:val="2E75B6"/>
          <w:sz w:val="30"/>
          <w:szCs w:val="30"/>
        </w:rPr>
        <w:t xml:space="preserve">9.1  What Was Built</w:t>
      </w:r>
    </w:p>
    <w:p>
      <w:pPr>
        <w:spacing w:after="120" w:before="80" w:line="330"/>
        <w:jc w:val="left"/>
      </w:pPr>
      <w:r>
        <w:rPr>
          <w:rFonts w:ascii="Arial" w:cs="Arial" w:eastAsia="Arial" w:hAnsi="Arial"/>
          <w:b w:val="false"/>
          <w:bCs w:val="false"/>
          <w:i w:val="false"/>
          <w:iCs w:val="false"/>
          <w:color w:val="212121"/>
          <w:sz w:val="22"/>
          <w:szCs w:val="22"/>
        </w:rPr>
        <w:t xml:space="preserve">The Westfield CX Intelligence Platform demonstrates end-to-end data science capability across all four dimensions relevant to Scentre Group: customer segmentation, operational forecasting, experience intelligence, and campaign measurement. Every module uses real publicly available data, runs reproducibly from Jupyter notebooks, and is deployable to production (Module 2 is already served via AWS Lambda).</w:t>
      </w:r>
    </w:p>
    <w:p>
      <w:pPr>
        <w:pStyle w:val="Heading2"/>
        <w:spacing w:after="120" w:before="320"/>
      </w:pPr>
      <w:r>
        <w:rPr>
          <w:rFonts w:ascii="Arial" w:cs="Arial" w:eastAsia="Arial" w:hAnsi="Arial"/>
          <w:b/>
          <w:bCs/>
          <w:color w:val="2E75B6"/>
          <w:sz w:val="30"/>
          <w:szCs w:val="30"/>
        </w:rPr>
        <w:t xml:space="preserve">9.2  Technical Highlights</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1,067,371 retail transactions cleaned, processed, and segmented using RFM + K-Means + XGBoost</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LightGBM multi-step forecaster achieving 8.5% MAPE at 4-week horizon across 1,115 stores</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DistilBERT NLP pipeline with F1=0.862 classifying 88,373 real shopping reviews</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Causal DiD regression on matched-pair experiment design showing +2.5% promotional lift</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AWS Lambda endpoint serving real-time 4-week forecasts via REST API</w:t>
      </w:r>
    </w:p>
    <w:p>
      <w:pPr>
        <w:pStyle w:val="ListParagraph"/>
        <w:numPr>
          <w:ilvl w:val="0"/>
          <w:numId w:val="2"/>
        </w:numPr>
        <w:spacing w:after="60" w:before="40" w:line="300"/>
      </w:pPr>
      <w:r>
        <w:rPr>
          <w:rFonts w:ascii="Arial" w:cs="Arial" w:eastAsia="Arial" w:hAnsi="Arial"/>
          <w:b w:val="false"/>
          <w:bCs w:val="false"/>
          <w:color w:val="212121"/>
          <w:sz w:val="22"/>
          <w:szCs w:val="22"/>
        </w:rPr>
        <w:t xml:space="preserve">24 publication-quality charts and 4 stakeholder-ready business reports</w:t>
      </w:r>
    </w:p>
    <w:p>
      <w:pPr>
        <w:pStyle w:val="Heading2"/>
        <w:spacing w:after="120" w:before="320"/>
      </w:pPr>
      <w:r>
        <w:rPr>
          <w:rFonts w:ascii="Arial" w:cs="Arial" w:eastAsia="Arial" w:hAnsi="Arial"/>
          <w:b/>
          <w:bCs/>
          <w:color w:val="2E75B6"/>
          <w:sz w:val="30"/>
          <w:szCs w:val="30"/>
        </w:rPr>
        <w:t xml:space="preserve">9.3  Roadmap for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600"/>
        <w:gridCol w:w="3826"/>
      </w:tblGrid>
      <w:tr>
        <w:tc>
          <w:tcPr>
            <w:tcW w:type="dxa" w:w="26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Next Step</w:t>
            </w:r>
          </w:p>
        </w:tc>
        <w:tc>
          <w:tcPr>
            <w:tcW w:type="dxa" w:w="10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Timeline</w:t>
            </w:r>
          </w:p>
        </w:tc>
        <w:tc>
          <w:tcPr>
            <w:tcW w:type="dxa" w:w="16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Owner</w:t>
            </w:r>
          </w:p>
        </w:tc>
        <w:tc>
          <w:tcPr>
            <w:tcW w:type="dxa" w:w="38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Dependencies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Validate RFM segments against actual Westfield loyalty data</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Weeks 1-2</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Data Science</w:t>
            </w:r>
          </w:p>
        </w:tc>
        <w:tc>
          <w:tcPr>
            <w:tcW w:type="dxa" w:w="3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Westfield+ CRM data access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Deploy LightGBM endpoint to production AWS environment</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Weeks 2-4</w:t>
            </w:r>
          </w:p>
        </w:tc>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Data Engineering</w:t>
            </w:r>
          </w:p>
        </w:tc>
        <w:tc>
          <w:tcPr>
            <w:tcW w:type="dxa" w:w="3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AWS account + IAM roles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Connect NLP pipeline to live Westfield feedback stream</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Weeks 4-8</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Data Science + CX</w:t>
            </w:r>
          </w:p>
        </w:tc>
        <w:tc>
          <w:tcPr>
            <w:tcW w:type="dxa" w:w="3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API access to feedback platform</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Launch At-Risk reactivation campaign (Module 1 output)</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Weeks 2-6</w:t>
            </w:r>
          </w:p>
        </w:tc>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Marketing</w:t>
            </w:r>
          </w:p>
        </w:tc>
        <w:tc>
          <w:tcPr>
            <w:tcW w:type="dxa" w:w="3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Budget approval + email platform</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Implement parking CX improvements (Module 3 output)</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Months 1-3</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Operations</w:t>
            </w:r>
          </w:p>
        </w:tc>
        <w:tc>
          <w:tcPr>
            <w:tcW w:type="dxa" w:w="3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Capital budget approval</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Scale promotional campaign to all 42 destinations</w:t>
            </w:r>
          </w:p>
        </w:tc>
        <w:tc>
          <w:tcPr>
            <w:tcW w:type="dxa" w:w="1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Q2 2026</w:t>
            </w:r>
          </w:p>
        </w:tc>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Marketing + Finance</w:t>
            </w:r>
          </w:p>
        </w:tc>
        <w:tc>
          <w:tcPr>
            <w:tcW w:type="dxa" w:w="38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Q2 budget + campaign creative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Build Tableau / Power BI dashboards (specs in dashboard/)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Weeks 4-8</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Data Viz team</w:t>
            </w:r>
          </w:p>
        </w:tc>
        <w:tc>
          <w:tcPr>
            <w:tcW w:type="dxa" w:w="3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Tableau Server access</w:t>
            </w:r>
          </w:p>
        </w:tc>
      </w:tr>
    </w:tbl>
    <w:p>
      <w:pPr>
        <w:pStyle w:val="Heading2"/>
        <w:spacing w:after="120" w:before="320"/>
      </w:pPr>
      <w:r>
        <w:rPr>
          <w:rFonts w:ascii="Arial" w:cs="Arial" w:eastAsia="Arial" w:hAnsi="Arial"/>
          <w:b/>
          <w:bCs/>
          <w:color w:val="2E75B6"/>
          <w:sz w:val="30"/>
          <w:szCs w:val="30"/>
        </w:rPr>
        <w:t xml:space="preserve">9.4  Notes on Datasets &amp;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0"/>
              <w:bottom w:val="none" w:color="FFFFFF" w:sz="0"/>
              <w:right w:val="none" w:color="FFFFFF" w:sz="0"/>
            </w:tcBorders>
            <w:shd w:fill="D5E4F0" w:val="clear"/>
            <w:tcMar>
              <w:top w:type="dxa" w:w="120"/>
              <w:left w:type="dxa" w:w="240"/>
              <w:bottom w:type="dxa" w:w="120"/>
              <w:right w:type="dxa" w:w="120"/>
            </w:tcMar>
          </w:tcPr>
          <w:p>
            <w:pPr>
              <w:spacing w:after="0" w:before="0" w:line="320"/>
            </w:pPr>
            <w:r>
              <w:rPr>
                <w:rFonts w:ascii="Arial" w:cs="Arial" w:eastAsia="Arial" w:hAnsi="Arial"/>
                <w:i/>
                <w:iCs/>
                <w:color w:val="212121"/>
                <w:sz w:val="22"/>
                <w:szCs w:val="22"/>
              </w:rPr>
              <w:t xml:space="preserve">This platform uses publicly available proxy datasets to demonstrate Westfield-relevant analytical approaches. The UCI Online Retail II dataset proxies Westfield visitor transaction history. Rossmann Store Sales proxies destination-level foot traffic. The Yelp Open Dataset (shopping category) proxies Westfield customer feedback. All financial projections use illustrative basket values and should be validated against actual Westfield operational data before any budget commitments are made. The methodology, code architecture, and business framing are production-ready and directly applicable to live Scentre Group data.</w:t>
            </w:r>
          </w:p>
        </w:tc>
      </w:tr>
    </w:tbl>
    <w:p>
      <w:r>
        <w:br w:type="page"/>
      </w:r>
    </w:p>
    <w:p>
      <w:pPr>
        <w:pStyle w:val="Heading1"/>
        <w:pBdr>
          <w:bottom w:val="single" w:color="2E75B6" w:sz="12" w:space="4"/>
        </w:pBdr>
        <w:spacing w:after="200" w:before="480"/>
      </w:pPr>
      <w:r>
        <w:rPr>
          <w:rFonts w:ascii="Arial" w:cs="Arial" w:eastAsia="Arial" w:hAnsi="Arial"/>
          <w:b/>
          <w:bCs/>
          <w:color w:val="1A4D8F"/>
          <w:sz w:val="40"/>
          <w:szCs w:val="40"/>
        </w:rPr>
        <w:t xml:space="preserve">Appendix A — Westfield Brand 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Colour Name</w:t>
            </w:r>
          </w:p>
        </w:tc>
        <w:tc>
          <w:tcPr>
            <w:tcW w:type="dxa" w:w="1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Hex</w:t>
            </w:r>
          </w:p>
        </w:tc>
        <w:tc>
          <w:tcPr>
            <w:tcW w:type="dxa" w:w="52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Usage in Platform</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Westfield Blue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#2E75B6</w:t>
            </w:r>
          </w:p>
        </w:tc>
        <w:tc>
          <w:tcPr>
            <w:tcW w:type="dxa" w:w="5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Primary data series, section headers, KPI values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Westfield Dark Blue</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#1A4D8F</w:t>
            </w:r>
          </w:p>
        </w:tc>
        <w:tc>
          <w:tcPr>
            <w:tcW w:type="dxa" w:w="5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Dark backgrounds, emphasis, cover page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Westfield Green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#70AD47</w:t>
            </w:r>
          </w:p>
        </w:tc>
        <w:tc>
          <w:tcPr>
            <w:tcW w:type="dxa" w:w="5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Positive sentiment, growth indicators, success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Westfield Amber</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#FFC000</w:t>
            </w:r>
          </w:p>
        </w:tc>
        <w:tc>
          <w:tcPr>
            <w:tcW w:type="dxa" w:w="5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Warnings, moderate risk, pending actions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Westfield Red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#FF7043</w:t>
            </w:r>
          </w:p>
        </w:tc>
        <w:tc>
          <w:tcPr>
            <w:tcW w:type="dxa" w:w="5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Negative sentiment, alerts, anomaly flags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Dark Grey</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#212121</w:t>
            </w:r>
          </w:p>
        </w:tc>
        <w:tc>
          <w:tcPr>
            <w:tcW w:type="dxa" w:w="5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Body text, axes, table content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Mid Grey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#9E9E9E</w:t>
            </w:r>
          </w:p>
        </w:tc>
        <w:tc>
          <w:tcPr>
            <w:tcW w:type="dxa" w:w="5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Secondary labels, captions, annotations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Light Grey</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#F5F5F5</w:t>
            </w:r>
          </w:p>
        </w:tc>
        <w:tc>
          <w:tcPr>
            <w:tcW w:type="dxa" w:w="52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Background fill, alternating table rows</w:t>
            </w:r>
          </w:p>
        </w:tc>
      </w:tr>
    </w:tbl>
    <w:p>
      <w:pPr>
        <w:pStyle w:val="Heading1"/>
        <w:pBdr>
          <w:bottom w:val="single" w:color="2E75B6" w:sz="12" w:space="4"/>
        </w:pBdr>
        <w:spacing w:after="200" w:before="480"/>
      </w:pPr>
      <w:r>
        <w:rPr>
          <w:rFonts w:ascii="Arial" w:cs="Arial" w:eastAsia="Arial" w:hAnsi="Arial"/>
          <w:b/>
          <w:bCs/>
          <w:color w:val="1A4D8F"/>
          <w:sz w:val="40"/>
          <w:szCs w:val="40"/>
        </w:rPr>
        <w:t xml:space="preserve">Appendix B — Statistical Methods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2400"/>
        <w:gridCol w:w="4426"/>
      </w:tblGrid>
      <w:tr>
        <w:tc>
          <w:tcPr>
            <w:tcW w:type="dxa" w:w="16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Method</w:t>
            </w:r>
          </w:p>
        </w:tc>
        <w:tc>
          <w:tcPr>
            <w:tcW w:type="dxa" w:w="6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Module</w:t>
            </w:r>
          </w:p>
        </w:tc>
        <w:tc>
          <w:tcPr>
            <w:tcW w:type="dxa" w:w="24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Purpose</w:t>
            </w:r>
          </w:p>
        </w:tc>
        <w:tc>
          <w:tcPr>
            <w:tcW w:type="dxa" w:w="44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Key Assumption</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K-Means Clustering</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Segment customers into 5 groups</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Spherical clusters; scaled RFM features</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XGBoost Regression</w:t>
            </w:r>
          </w:p>
        </w:tc>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M1</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Predict 90-day CLV per customer</w:t>
            </w:r>
          </w:p>
        </w:tc>
        <w:tc>
          <w:tcPr>
            <w:tcW w:type="dxa" w:w="4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Monotonic RFM-CLV relationship; no data leakage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SARIMA</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Baseline time series forecast</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Stationarity after differencing; 52-week seasonal cycle</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LightGBM</w:t>
            </w:r>
          </w:p>
        </w:tc>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M2</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Multi-step ensemble forecast</w:t>
            </w:r>
          </w:p>
        </w:tc>
        <w:tc>
          <w:tcPr>
            <w:tcW w:type="dxa" w:w="4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Lag features are informative; no target leakage in holdout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Isolation Forest</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Anomaly detection on residuals</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5% contamination rate; i.i.d. residuals</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DistilBERT</w:t>
            </w:r>
          </w:p>
        </w:tc>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M3</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Sentiment classification</w:t>
            </w:r>
          </w:p>
        </w:tc>
        <w:tc>
          <w:tcPr>
            <w:tcW w:type="dxa" w:w="4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Pre-trained SST-2 knowledge transfers to shopping reviews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BERTopic</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M3</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Unsupervised topic discovery</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BERT embeddings capture semantic meaning; HDBSCAN clustering</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Welch t-test</w:t>
            </w:r>
          </w:p>
        </w:tc>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M4</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Classical significance test</w:t>
            </w:r>
          </w:p>
        </w:tc>
        <w:tc>
          <w:tcPr>
            <w:tcW w:type="dxa" w:w="4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Independence; approximate normality of means (CLT)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Bayesian Bootstrap</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M4</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Posterior P(lift &gt; 0)</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Exchangeability of store-level observations</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DiD Regression</w:t>
            </w:r>
          </w:p>
        </w:tc>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M4</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Causal effect of campaign</w:t>
            </w:r>
          </w:p>
        </w:tc>
        <w:tc>
          <w:tcPr>
            <w:tcW w:type="dxa" w:w="44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Parallel trends in pre-period (validated)</w:t>
            </w:r>
          </w:p>
        </w:tc>
      </w:tr>
    </w:tbl>
    <w:p>
      <w:pPr>
        <w:pStyle w:val="Heading1"/>
        <w:pBdr>
          <w:bottom w:val="single" w:color="2E75B6" w:sz="12" w:space="4"/>
        </w:pBdr>
        <w:spacing w:after="200" w:before="480"/>
      </w:pPr>
      <w:r>
        <w:rPr>
          <w:rFonts w:ascii="Arial" w:cs="Arial" w:eastAsia="Arial" w:hAnsi="Arial"/>
          <w:b/>
          <w:bCs/>
          <w:color w:val="1A4D8F"/>
          <w:sz w:val="40"/>
          <w:szCs w:val="40"/>
        </w:rPr>
        <w:t xml:space="preserve">Appendix C — Files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c>
          <w:tcPr>
            <w:tcW w:type="dxa" w:w="36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File Path</w:t>
            </w:r>
          </w:p>
        </w:tc>
        <w:tc>
          <w:tcPr>
            <w:tcW w:type="dxa" w:w="900"/>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Type</w:t>
            </w:r>
          </w:p>
        </w:tc>
        <w:tc>
          <w:tcPr>
            <w:tcW w:type="dxa" w:w="4526"/>
            <w:tcBorders>
              <w:top w:val="single" w:color="CCCCCC" w:sz="4"/>
              <w:left w:val="single" w:color="CCCCCC" w:sz="4"/>
              <w:bottom w:val="single" w:color="CCCCCC" w:sz="4"/>
              <w:right w:val="single" w:color="CCCCCC" w:sz="4"/>
            </w:tcBorders>
            <w:shd w:fill="D5E4F0" w:val="clear"/>
            <w:tcMar>
              <w:top w:type="dxa" w:w="80"/>
              <w:left w:type="dxa" w:w="120"/>
              <w:bottom w:type="dxa" w:w="80"/>
              <w:right w:type="dxa" w:w="120"/>
            </w:tcMar>
            <w:vAlign w:val="center"/>
          </w:tcPr>
          <w:p>
            <w:pPr>
              <w:spacing w:after="0" w:before="0"/>
              <w:jc w:val="left"/>
            </w:pPr>
            <w:r>
              <w:rPr>
                <w:rFonts w:ascii="Arial" w:cs="Arial" w:eastAsia="Arial" w:hAnsi="Arial"/>
                <w:b/>
                <w:bCs/>
                <w:color w:val="1A4D8F"/>
                <w:sz w:val="20"/>
                <w:szCs w:val="20"/>
              </w:rPr>
              <w:t xml:space="preserve">Description</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notebooks/00_EDA.ipynb</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Jupyter</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Exploratory Data Analysis across all 3 datasets</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notebooks/01_segmentation.ipynb</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Jupyter</w:t>
            </w:r>
          </w:p>
        </w:tc>
        <w:tc>
          <w:tcPr>
            <w:tcW w:type="dxa" w:w="45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RFM + K-Means + XGBoost CLV pipeline</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notebooks/02_forecasting.ipynb</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Jupyter</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SARIMA + Prophet + LightGBM + Anomaly Detection</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notebooks/03_nlp_pipeline.ipynb</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Jupyter</w:t>
            </w:r>
          </w:p>
        </w:tc>
        <w:tc>
          <w:tcPr>
            <w:tcW w:type="dxa" w:w="45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Text preprocessing + VADER + DistilBERT + BERTopic + CX Matrix</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notebooks/04_ab_testing.ipynb</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Jupyter</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Matched DiD + Bayesian A/B + Causal analysis</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src/segmentation.py</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Python</w:t>
            </w:r>
          </w:p>
        </w:tc>
        <w:tc>
          <w:tcPr>
            <w:tcW w:type="dxa" w:w="45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RFMCalculator, CustomerSegmenter, CLVModel classes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src/forecasting.py</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Python</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TimeSeriesPreprocessor, LGBMForecaster, AnomalyFlagger classes</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src/nlp_pipeline.py</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Python</w:t>
            </w:r>
          </w:p>
        </w:tc>
        <w:tc>
          <w:tcPr>
            <w:tcW w:type="dxa" w:w="45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TextPreprocessor, SentimentClassifier, TopicModeller, CXActionMatrix classes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src/viz.py</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Python</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Westfield brand visualisation library</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cloud/lambda_handler.py</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Python</w:t>
            </w:r>
          </w:p>
        </w:tc>
        <w:tc>
          <w:tcPr>
            <w:tcW w:type="dxa" w:w="45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AWS Lambda function for real-time forecast API</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outputs/charts/*.png</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24 PNGs</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All charts at 150 DPI for dashboard use</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outputs/reports/executive_summary.md</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Report</w:t>
            </w:r>
          </w:p>
        </w:tc>
        <w:tc>
          <w:tcPr>
            <w:tcW w:type="dxa" w:w="45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Two-page non-technical summary for hiring manager</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outputs/reports/segment_marketing_brief.md</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Report</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Per-segment campaign recommendations for Marketing Director</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outputs/reports/cx_director_briefing.md</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Report</w:t>
            </w:r>
          </w:p>
        </w:tc>
        <w:tc>
          <w:tcPr>
            <w:tcW w:type="dxa" w:w="45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Top-3 NLP findings with CX Matrix for CX Director</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outputs/reports/campaign_effectiveness_report.md</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Report</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Causal analysis decision brief for Marketing Director + CFO</w:t>
            </w:r>
          </w:p>
        </w:tc>
      </w:tr>
      <w:tr>
        <w:tc>
          <w:tcPr>
            <w:tcW w:type="dxa" w:w="3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dashboard/dashboard_specs.md</w:t>
            </w:r>
          </w:p>
        </w:tc>
        <w:tc>
          <w:tcPr>
            <w:tcW w:type="dxa" w:w="9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Spec</w:t>
            </w:r>
          </w:p>
        </w:tc>
        <w:tc>
          <w:tcPr>
            <w:tcW w:type="dxa" w:w="452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0" w:before="0"/>
            </w:pPr>
            <w:r>
              <w:rPr>
                <w:rFonts w:ascii="Arial" w:cs="Arial" w:eastAsia="Arial" w:hAnsi="Arial"/>
                <w:color w:val="212121"/>
                <w:sz w:val="20"/>
                <w:szCs w:val="20"/>
              </w:rPr>
              <w:t xml:space="preserve">Tableau + Power BI build guide for all 4 dashboards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120"/>
    </w:pPr>
    <w:r>
      <w:rPr>
        <w:rFonts w:ascii="Arial" w:cs="Arial" w:eastAsia="Arial" w:hAnsi="Arial"/>
        <w:color w:val="9E9E9E"/>
        <w:sz w:val="16"/>
        <w:szCs w:val="16"/>
      </w:rPr>
      <w:t xml:space="preserve">Confidential — Internal Use Only  |  Scentre Group Data &amp; Analytics</w:t>
    </w:r>
    <w:r>
      <w:rPr>
        <w:rFonts w:ascii="Arial" w:cs="Arial" w:eastAsia="Arial" w:hAnsi="Arial"/>
        <w:color w:val="9E9E9E"/>
        <w:sz w:val="16"/>
        <w:szCs w:val="16"/>
      </w:rPr>
      <w:t xml:space="preserve">		Page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before="0"/>
    </w:pPr>
    <w:r>
      <w:rPr>
        <w:rFonts w:ascii="Arial" w:cs="Arial" w:eastAsia="Arial" w:hAnsi="Arial"/>
        <w:b/>
        <w:bCs/>
        <w:color w:val="2E75B6"/>
        <w:sz w:val="18"/>
        <w:szCs w:val="18"/>
      </w:rPr>
      <w:t xml:space="preserve">WESTFIELD CX INTELLIGENCE PLATFORM</w:t>
    </w:r>
    <w:r>
      <w:rPr>
        <w:rFonts w:ascii="Arial" w:cs="Arial" w:eastAsia="Arial" w:hAnsi="Arial"/>
        <w:color w:val="9E9E9E"/>
        <w:sz w:val="18"/>
        <w:szCs w:val="18"/>
      </w:rPr>
      <w:t xml:space="preserve">		Research &amp; Technical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4D8F"/>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4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b36e126f1e861a9bb8b7f1a0c73e05e0b1473f.png"/><Relationship Id="rId10" Type="http://schemas.openxmlformats.org/officeDocument/2006/relationships/image" Target="media/b9960f9f4f4fc464bcc0d369d9566ef705a3a757.png"/><Relationship Id="rId11" Type="http://schemas.openxmlformats.org/officeDocument/2006/relationships/image" Target="media/edb920600540000c203452be3d8fd7507efca752.png"/><Relationship Id="rId12" Type="http://schemas.openxmlformats.org/officeDocument/2006/relationships/image" Target="media/0ff6819d3aba787ff1c7cfe16c720d71c0c45b25.png"/><Relationship Id="rId13" Type="http://schemas.openxmlformats.org/officeDocument/2006/relationships/image" Target="media/48025dea0ef2e22b3ab838716023638444248482.png"/><Relationship Id="rId14" Type="http://schemas.openxmlformats.org/officeDocument/2006/relationships/image" Target="media/7d0c42a7d754a9fa24fe2f32438aea0bb9211809.png"/><Relationship Id="rId15" Type="http://schemas.openxmlformats.org/officeDocument/2006/relationships/image" Target="media/728ed6bbdf30209e82130b5cb6c362c044fc4a8f.png"/><Relationship Id="rId16" Type="http://schemas.openxmlformats.org/officeDocument/2006/relationships/image" Target="media/50edc3cef1d64a27d245a6bcf28b41d4eb2cb28a.png"/><Relationship Id="rId17" Type="http://schemas.openxmlformats.org/officeDocument/2006/relationships/image" Target="media/6b83399ee9ccbf8b01c16ce6a9b8112d7b0ffd15.png"/><Relationship Id="rId18" Type="http://schemas.openxmlformats.org/officeDocument/2006/relationships/image" Target="media/2fdce61babf8455e4b493b7c654013d02d0b92ce.png"/><Relationship Id="rId19" Type="http://schemas.openxmlformats.org/officeDocument/2006/relationships/image" Target="media/17b9f1bdc521dfeb03bea16abc09e50cf12ee774.png"/><Relationship Id="rId20" Type="http://schemas.openxmlformats.org/officeDocument/2006/relationships/image" Target="media/9e30d9db38ba9ee15dbbca36d9a68d43d25e2fc0.png"/><Relationship Id="rId21" Type="http://schemas.openxmlformats.org/officeDocument/2006/relationships/image" Target="media/2f1d298f7e70a9c0041dcf1f9000d64c7ab5975b.png"/><Relationship Id="rId22" Type="http://schemas.openxmlformats.org/officeDocument/2006/relationships/image" Target="media/b56afb27d19a182dfad134c1f6d286a6e2b39e5b.png"/><Relationship Id="rId23" Type="http://schemas.openxmlformats.org/officeDocument/2006/relationships/image" Target="media/f55dc6707f764db906acdbc307c3dbdf09a41f96.png"/><Relationship Id="rId24" Type="http://schemas.openxmlformats.org/officeDocument/2006/relationships/image" Target="media/a4ef47e1af8cf50f3c23700c91d6c60dae80dc5f.png"/><Relationship Id="rId25" Type="http://schemas.openxmlformats.org/officeDocument/2006/relationships/image" Target="media/0e5aed729bba7323fe1bb66ffc7a798c8acd5e20.png"/><Relationship Id="rId26" Type="http://schemas.openxmlformats.org/officeDocument/2006/relationships/image" Target="media/f167763525c72bc85caaf7f0fb610ae6304dc869.png"/><Relationship Id="rId27" Type="http://schemas.openxmlformats.org/officeDocument/2006/relationships/image" Target="media/efe9528a496d77b49ce807721931f7be36114819.png"/><Relationship Id="rId28" Type="http://schemas.openxmlformats.org/officeDocument/2006/relationships/image" Target="media/c9ed9485425a95b3902ef6c3984bf996d47b216c.png"/><Relationship Id="rId29" Type="http://schemas.openxmlformats.org/officeDocument/2006/relationships/image" Target="media/4dfd7daaee82a2874766824f9c588c1af61eac24.png"/><Relationship Id="rId30" Type="http://schemas.openxmlformats.org/officeDocument/2006/relationships/image" Target="media/c912a0aa8a433ec7fd519a37fd50b413c0ecef7a.png"/><Relationship Id="rId31" Type="http://schemas.openxmlformats.org/officeDocument/2006/relationships/image" Target="media/8fc9eaef315271bd6697e31c6cb9a59fe4499107.png"/><Relationship Id="rId32" Type="http://schemas.openxmlformats.org/officeDocument/2006/relationships/image" Target="media/02a5654b1e36ca7c9ce1ff372d85d58b41136880.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2026-03-16T08:17:16.412Z</dcterms:created>
  <dcterms:modified xsi:type="dcterms:W3CDTF">2026-03-16T08:17:16.413Z</dcterms:modified>
</cp:coreProperties>
</file>

<file path=docProps/custom.xml><?xml version="1.0" encoding="utf-8"?>
<Properties xmlns="http://schemas.openxmlformats.org/officeDocument/2006/custom-properties" xmlns:vt="http://schemas.openxmlformats.org/officeDocument/2006/docPropsVTypes"/>
</file>