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CPU Usage Prediction — Q3 Report</w:t>
      </w:r>
    </w:p>
    <w:p>
      <w:pPr>
        <w:pStyle w:val="Heading1"/>
      </w:pPr>
      <w:r>
        <w:t>Workflow</w:t>
      </w:r>
    </w:p>
    <w:p>
      <w:r>
        <w:t>...</w:t>
      </w:r>
    </w:p>
    <w:p>
      <w:pPr>
        <w:pStyle w:val="Heading1"/>
      </w:pPr>
      <w:r>
        <w:t>Metrics</w:t>
      </w:r>
    </w:p>
    <w:p>
      <w:r>
        <w:t>MAE: 0.00893013663543244</w:t>
        <w:br/>
      </w:r>
      <w:r>
        <w:t>MSE: 0.0006878779584930252</w:t>
        <w:br/>
      </w:r>
      <w:r>
        <w:t>RMSE: 0.02622742759961459</w:t>
        <w:br/>
      </w:r>
      <w:r>
        <w:t>R2: 0.8315563461424365</w:t>
        <w:br/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plots/pred_vs_actual.png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plots/residuals.png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plots/error_distribution.png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