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b/>
          <w:i w:val="0"/>
          <w:color w:val="17365D"/>
          <w:sz w:val="48"/>
        </w:rPr>
        <w:t>Food Traceability Market Map</w:t>
      </w:r>
    </w:p>
    <w:p>
      <w:pPr>
        <w:spacing w:before="0" w:after="320" w:line="276" w:lineRule="auto"/>
        <w:jc w:val="center"/>
      </w:pPr>
      <w:r>
        <w:rPr>
          <w:b w:val="0"/>
          <w:i w:val="0"/>
          <w:color w:val="444444"/>
          <w:sz w:val="22"/>
        </w:rPr>
        <w:t>Where your AI Traceability Exception Desk fits in the current industry workflow</w:t>
      </w:r>
    </w:p>
    <w:tbl>
      <w:tblPr>
        <w:tblW w:type="auto" w:w="0"/>
        <w:tblLayout w:type="fixed"/>
        <w:tblLook w:firstColumn="1" w:firstRow="1" w:lastColumn="0" w:lastRow="0" w:noHBand="0" w:noVBand="1" w:val="04A0"/>
        <w:tblBorders>
          <w:top w:val="single" w:sz="8" w:space="0" w:color="D6DCE5"/>
          <w:left w:val="single" w:sz="8" w:space="0" w:color="D6DCE5"/>
          <w:bottom w:val="single" w:sz="8" w:space="0" w:color="D6DCE5"/>
          <w:right w:val="single" w:sz="8" w:space="0" w:color="D6DCE5"/>
          <w:insideH w:val="single" w:sz="8" w:space="0" w:color="D6DCE5"/>
          <w:insideV w:val="single" w:sz="8" w:space="0" w:color="D6DCE5"/>
        </w:tblBorders>
      </w:tblPr>
      <w:tblGrid>
        <w:gridCol w:w="9792"/>
      </w:tblGrid>
      <w:tr>
        <w:tc>
          <w:tcPr>
            <w:tcW w:type="dxa" w:w="9144"/>
            <w:shd w:fill="EEF5FB"/>
            <w:tcMar>
              <w:top w:w="140" w:type="dxa"/>
              <w:start w:w="180" w:type="dxa"/>
              <w:bottom w:w="140" w:type="dxa"/>
              <w:end w:w="180" w:type="dxa"/>
            </w:tcMar>
            <w:vAlign w:val="center"/>
          </w:tcPr>
          <w:p>
            <w:pPr>
              <w:spacing w:before="0" w:after="60" w:line="276" w:lineRule="auto"/>
            </w:pPr>
            <w:r>
              <w:rPr>
                <w:b/>
                <w:i w:val="0"/>
                <w:color w:val="17365D"/>
                <w:sz w:val="22"/>
              </w:rPr>
              <w:t>Core conclusion</w:t>
            </w:r>
          </w:p>
          <w:p>
            <w:pPr>
              <w:spacing w:before="0" w:after="0" w:line="276" w:lineRule="auto"/>
            </w:pPr>
            <w:r>
              <w:rPr>
                <w:b w:val="0"/>
                <w:i w:val="0"/>
                <w:sz w:val="21"/>
              </w:rPr>
              <w:t>Your software should not be positioned as another traceability database. It should be positioned as the AI operations layer that repairs broken supplier, shipment, and receiving records before they enter ERP, WMS, EDI, traceability networks, or FDA audit exports.</w:t>
            </w:r>
          </w:p>
        </w:tc>
      </w:tr>
    </w:tbl>
    <w:p/>
    <w:p>
      <w:pPr>
        <w:spacing w:before="240" w:after="100" w:line="276" w:lineRule="auto"/>
      </w:pPr>
      <w:r>
        <w:rPr>
          <w:b/>
          <w:i w:val="0"/>
          <w:color w:val="17365D"/>
          <w:sz w:val="32"/>
        </w:rPr>
        <w:t>1. What Happens Today If Your Software Does Not Exist</w:t>
      </w:r>
    </w:p>
    <w:p>
      <w:pPr>
        <w:spacing w:before="0" w:after="140" w:line="276" w:lineRule="auto"/>
      </w:pPr>
      <w:r>
        <w:rPr>
          <w:b w:val="0"/>
          <w:i w:val="0"/>
          <w:sz w:val="21"/>
        </w:rPr>
        <w:t>The current industry scene is fragmented. Distributors receive product from many suppliers, brokers, growers, importers, and processors. Each party sends records in different formats. Some data arrives through EDI/ASN. Some arrives as PDFs, emails, spreadsheets, label photos, invoices, packing slips, BOLs, or receiving notes.</w:t>
      </w:r>
    </w:p>
    <w:p>
      <w:pPr>
        <w:pStyle w:val="ListBullet"/>
        <w:spacing w:before="0" w:after="60" w:line="276" w:lineRule="auto"/>
      </w:pPr>
      <w:r>
        <w:rPr>
          <w:b w:val="0"/>
          <w:i w:val="0"/>
          <w:sz w:val="21"/>
        </w:rPr>
        <w:t>ERP and WMS systems store operational records, but they usually depend on clean inputs.</w:t>
      </w:r>
    </w:p>
    <w:p>
      <w:pPr>
        <w:pStyle w:val="ListBullet"/>
        <w:spacing w:before="0" w:after="60" w:line="276" w:lineRule="auto"/>
      </w:pPr>
      <w:r>
        <w:rPr>
          <w:b w:val="0"/>
          <w:i w:val="0"/>
          <w:sz w:val="21"/>
        </w:rPr>
        <w:t>EDI networks move structured data, but they do not fix every messy real-world exception.</w:t>
      </w:r>
    </w:p>
    <w:p>
      <w:pPr>
        <w:pStyle w:val="ListBullet"/>
        <w:spacing w:before="0" w:after="60" w:line="276" w:lineRule="auto"/>
      </w:pPr>
      <w:r>
        <w:rPr>
          <w:b w:val="0"/>
          <w:i w:val="0"/>
          <w:sz w:val="21"/>
        </w:rPr>
        <w:t>Traceability networks collect and exchange KDE/CTE records, but customers still need usable data before exchange.</w:t>
      </w:r>
    </w:p>
    <w:p>
      <w:pPr>
        <w:pStyle w:val="ListBullet"/>
        <w:spacing w:before="0" w:after="60" w:line="276" w:lineRule="auto"/>
      </w:pPr>
      <w:r>
        <w:rPr>
          <w:b w:val="0"/>
          <w:i w:val="0"/>
          <w:sz w:val="21"/>
        </w:rPr>
        <w:t>Supplier compliance systems manage audits, documents, specs, and approvals, but shipment-level traceability exceptions still require human work.</w:t>
      </w:r>
    </w:p>
    <w:p>
      <w:pPr>
        <w:pStyle w:val="ListBullet"/>
        <w:spacing w:before="0" w:after="60" w:line="276" w:lineRule="auto"/>
      </w:pPr>
      <w:r>
        <w:rPr>
          <w:b w:val="0"/>
          <w:i w:val="0"/>
          <w:sz w:val="21"/>
        </w:rPr>
        <w:t>Receiving, QA, EDI, and purchasing teams become the hidden exception desk.</w:t>
      </w:r>
    </w:p>
    <w:tbl>
      <w:tblPr>
        <w:tblW w:type="auto" w:w="0"/>
        <w:tblLayout w:type="fixed"/>
        <w:tblLook w:firstColumn="1" w:firstRow="1" w:lastColumn="0" w:lastRow="0" w:noHBand="0" w:noVBand="1" w:val="04A0"/>
        <w:tblBorders>
          <w:top w:val="single" w:sz="8" w:space="0" w:color="D6DCE5"/>
          <w:left w:val="single" w:sz="8" w:space="0" w:color="D6DCE5"/>
          <w:bottom w:val="single" w:sz="8" w:space="0" w:color="D6DCE5"/>
          <w:right w:val="single" w:sz="8" w:space="0" w:color="D6DCE5"/>
          <w:insideH w:val="single" w:sz="8" w:space="0" w:color="D6DCE5"/>
          <w:insideV w:val="single" w:sz="8" w:space="0" w:color="D6DCE5"/>
        </w:tblBorders>
      </w:tblPr>
      <w:tblGrid>
        <w:gridCol w:w="9792"/>
      </w:tblGrid>
      <w:tr>
        <w:tc>
          <w:tcPr>
            <w:tcW w:type="dxa" w:w="9144"/>
            <w:shd w:fill="FFF2CC"/>
            <w:tcMar>
              <w:top w:w="140" w:type="dxa"/>
              <w:start w:w="180" w:type="dxa"/>
              <w:bottom w:w="140" w:type="dxa"/>
              <w:end w:w="180" w:type="dxa"/>
            </w:tcMar>
            <w:vAlign w:val="center"/>
          </w:tcPr>
          <w:p>
            <w:pPr>
              <w:spacing w:before="0" w:after="60" w:line="276" w:lineRule="auto"/>
            </w:pPr>
            <w:r>
              <w:rPr>
                <w:b/>
                <w:i w:val="0"/>
                <w:color w:val="17365D"/>
                <w:sz w:val="22"/>
              </w:rPr>
              <w:t>Current industry pain</w:t>
            </w:r>
          </w:p>
          <w:p>
            <w:pPr>
              <w:spacing w:before="0" w:after="0" w:line="276" w:lineRule="auto"/>
            </w:pPr>
            <w:r>
              <w:rPr>
                <w:b w:val="0"/>
                <w:i w:val="0"/>
                <w:sz w:val="21"/>
              </w:rPr>
              <w:t>Without a dedicated exception layer, people manually compare invoice vs ASN vs label vs receiving record, chase suppliers, repair SKU and lot mismatches, and then try to produce a clean audit-ready record.</w:t>
            </w:r>
          </w:p>
        </w:tc>
      </w:tr>
    </w:tbl>
    <w:p/>
    <w:p>
      <w:r>
        <w:br w:type="page"/>
      </w:r>
    </w:p>
    <w:p>
      <w:pPr>
        <w:spacing w:before="240" w:after="100" w:line="276" w:lineRule="auto"/>
      </w:pPr>
      <w:r>
        <w:rPr>
          <w:b/>
          <w:i w:val="0"/>
          <w:color w:val="17365D"/>
          <w:sz w:val="32"/>
        </w:rPr>
        <w:t>2. End-To-End Workflow</w:t>
      </w:r>
    </w:p>
    <w:tbl>
      <w:tblPr>
        <w:tblW w:type="auto" w:w="0"/>
        <w:tblLayout w:type="fixed"/>
        <w:tblLook w:firstColumn="1" w:firstRow="1" w:lastColumn="0" w:lastRow="0" w:noHBand="0" w:noVBand="1" w:val="04A0"/>
        <w:tblBorders>
          <w:top w:val="single" w:sz="6" w:space="0" w:color="D6DCE5"/>
          <w:left w:val="single" w:sz="6" w:space="0" w:color="D6DCE5"/>
          <w:bottom w:val="single" w:sz="6" w:space="0" w:color="D6DCE5"/>
          <w:right w:val="single" w:sz="6" w:space="0" w:color="D6DCE5"/>
          <w:insideH w:val="single" w:sz="6" w:space="0" w:color="D6DCE5"/>
          <w:insideV w:val="single" w:sz="6" w:space="0" w:color="D6DCE5"/>
        </w:tblBorders>
      </w:tblPr>
      <w:tblGrid>
        <w:gridCol w:w="2448"/>
        <w:gridCol w:w="2448"/>
        <w:gridCol w:w="2448"/>
        <w:gridCol w:w="2448"/>
      </w:tblGrid>
      <w:tr>
        <w:tc>
          <w:tcPr>
            <w:tcW w:type="dxa" w:w="1584"/>
            <w:shd w:fill="17365D"/>
            <w:tcMar>
              <w:top w:w="110" w:type="dxa"/>
              <w:start w:w="120" w:type="dxa"/>
              <w:bottom w:w="110" w:type="dxa"/>
              <w:end w:w="120" w:type="dxa"/>
            </w:tcMar>
            <w:vAlign w:val="center"/>
          </w:tcPr>
          <w:p>
            <w:pPr>
              <w:spacing w:before="0" w:after="0" w:line="276" w:lineRule="auto"/>
            </w:pPr>
            <w:r>
              <w:rPr>
                <w:b/>
                <w:i w:val="0"/>
                <w:color w:val="FFFFFF"/>
                <w:sz w:val="19"/>
              </w:rPr>
              <w:t>Stage</w:t>
            </w:r>
          </w:p>
        </w:tc>
        <w:tc>
          <w:tcPr>
            <w:tcW w:type="dxa" w:w="2448"/>
            <w:shd w:fill="17365D"/>
            <w:tcMar>
              <w:top w:w="110" w:type="dxa"/>
              <w:start w:w="120" w:type="dxa"/>
              <w:bottom w:w="110" w:type="dxa"/>
              <w:end w:w="120" w:type="dxa"/>
            </w:tcMar>
            <w:vAlign w:val="center"/>
          </w:tcPr>
          <w:p>
            <w:pPr>
              <w:spacing w:before="0" w:after="0" w:line="276" w:lineRule="auto"/>
            </w:pPr>
            <w:r>
              <w:rPr>
                <w:b/>
                <w:i w:val="0"/>
                <w:color w:val="FFFFFF"/>
                <w:sz w:val="19"/>
              </w:rPr>
              <w:t>What Happens</w:t>
            </w:r>
          </w:p>
        </w:tc>
        <w:tc>
          <w:tcPr>
            <w:tcW w:type="dxa" w:w="2520"/>
            <w:shd w:fill="17365D"/>
            <w:tcMar>
              <w:top w:w="110" w:type="dxa"/>
              <w:start w:w="120" w:type="dxa"/>
              <w:bottom w:w="110" w:type="dxa"/>
              <w:end w:w="120" w:type="dxa"/>
            </w:tcMar>
            <w:vAlign w:val="center"/>
          </w:tcPr>
          <w:p>
            <w:pPr>
              <w:spacing w:before="0" w:after="0" w:line="276" w:lineRule="auto"/>
            </w:pPr>
            <w:r>
              <w:rPr>
                <w:b/>
                <w:i w:val="0"/>
                <w:color w:val="FFFFFF"/>
                <w:sz w:val="19"/>
              </w:rPr>
              <w:t>Typical Systems / Vendors</w:t>
            </w:r>
          </w:p>
        </w:tc>
        <w:tc>
          <w:tcPr>
            <w:tcW w:type="dxa" w:w="2592"/>
            <w:shd w:fill="17365D"/>
            <w:tcMar>
              <w:top w:w="110" w:type="dxa"/>
              <w:start w:w="120" w:type="dxa"/>
              <w:bottom w:w="110" w:type="dxa"/>
              <w:end w:w="120" w:type="dxa"/>
            </w:tcMar>
            <w:vAlign w:val="center"/>
          </w:tcPr>
          <w:p>
            <w:pPr>
              <w:spacing w:before="0" w:after="0" w:line="276" w:lineRule="auto"/>
            </w:pPr>
            <w:r>
              <w:rPr>
                <w:b/>
                <w:i w:val="0"/>
                <w:color w:val="FFFFFF"/>
                <w:sz w:val="19"/>
              </w:rPr>
              <w:t>Data Problem</w:t>
            </w:r>
          </w:p>
        </w:tc>
      </w:tr>
      <w:tr>
        <w:tc>
          <w:tcPr>
            <w:tcW w:type="dxa" w:w="2448"/>
            <w:tcMar>
              <w:top w:w="100" w:type="dxa"/>
              <w:start w:w="120" w:type="dxa"/>
              <w:bottom w:w="100" w:type="dxa"/>
              <w:end w:w="120" w:type="dxa"/>
            </w:tcMar>
            <w:vAlign w:val="center"/>
          </w:tcPr>
          <w:p>
            <w:pPr>
              <w:spacing w:before="0" w:after="0" w:line="264" w:lineRule="auto"/>
            </w:pPr>
            <w:r>
              <w:rPr>
                <w:b w:val="0"/>
                <w:i w:val="0"/>
                <w:sz w:val="18"/>
              </w:rPr>
              <w:t>1. Source</w:t>
            </w:r>
          </w:p>
        </w:tc>
        <w:tc>
          <w:tcPr>
            <w:tcW w:type="dxa" w:w="2448"/>
            <w:tcMar>
              <w:top w:w="100" w:type="dxa"/>
              <w:start w:w="120" w:type="dxa"/>
              <w:bottom w:w="100" w:type="dxa"/>
              <w:end w:w="120" w:type="dxa"/>
            </w:tcMar>
            <w:vAlign w:val="center"/>
          </w:tcPr>
          <w:p>
            <w:pPr>
              <w:spacing w:before="0" w:after="0" w:line="264" w:lineRule="auto"/>
            </w:pPr>
            <w:r>
              <w:rPr>
                <w:b w:val="0"/>
                <w:i w:val="0"/>
                <w:sz w:val="18"/>
              </w:rPr>
              <w:t>Grow, catch, raise, harvest, or produce food.</w:t>
            </w:r>
          </w:p>
        </w:tc>
        <w:tc>
          <w:tcPr>
            <w:tcW w:type="dxa" w:w="2448"/>
            <w:tcMar>
              <w:top w:w="100" w:type="dxa"/>
              <w:start w:w="120" w:type="dxa"/>
              <w:bottom w:w="100" w:type="dxa"/>
              <w:end w:w="120" w:type="dxa"/>
            </w:tcMar>
            <w:vAlign w:val="center"/>
          </w:tcPr>
          <w:p>
            <w:pPr>
              <w:spacing w:before="0" w:after="0" w:line="264" w:lineRule="auto"/>
            </w:pPr>
            <w:r>
              <w:rPr>
                <w:b w:val="0"/>
                <w:i w:val="0"/>
                <w:sz w:val="18"/>
              </w:rPr>
              <w:t>Sourcemap, Cropin, Farmforce, BanQu, Bext360, Oritain</w:t>
            </w:r>
          </w:p>
        </w:tc>
        <w:tc>
          <w:tcPr>
            <w:tcW w:type="dxa" w:w="2448"/>
            <w:tcMar>
              <w:top w:w="100" w:type="dxa"/>
              <w:start w:w="120" w:type="dxa"/>
              <w:bottom w:w="100" w:type="dxa"/>
              <w:end w:w="120" w:type="dxa"/>
            </w:tcMar>
            <w:vAlign w:val="center"/>
          </w:tcPr>
          <w:p>
            <w:pPr>
              <w:spacing w:before="0" w:after="0" w:line="264" w:lineRule="auto"/>
            </w:pPr>
            <w:r>
              <w:rPr>
                <w:b w:val="0"/>
                <w:i w:val="0"/>
                <w:sz w:val="18"/>
              </w:rPr>
              <w:t>Source data may exist, but not always in the distributor's usable format.</w:t>
            </w:r>
          </w:p>
        </w:tc>
      </w:tr>
      <w:tr>
        <w:tc>
          <w:tcPr>
            <w:tcW w:type="dxa" w:w="2448"/>
            <w:tcMar>
              <w:top w:w="100" w:type="dxa"/>
              <w:start w:w="120" w:type="dxa"/>
              <w:bottom w:w="100" w:type="dxa"/>
              <w:end w:w="120" w:type="dxa"/>
            </w:tcMar>
            <w:vAlign w:val="center"/>
            <w:shd w:fill="F3F5F7"/>
          </w:tcPr>
          <w:p>
            <w:pPr>
              <w:spacing w:before="0" w:after="0" w:line="264" w:lineRule="auto"/>
            </w:pPr>
            <w:r>
              <w:rPr>
                <w:b w:val="0"/>
                <w:i w:val="0"/>
                <w:sz w:val="18"/>
              </w:rPr>
              <w:t>2. Pack / Process</w:t>
            </w:r>
          </w:p>
        </w:tc>
        <w:tc>
          <w:tcPr>
            <w:tcW w:type="dxa" w:w="2448"/>
            <w:tcMar>
              <w:top w:w="100" w:type="dxa"/>
              <w:start w:w="120" w:type="dxa"/>
              <w:bottom w:w="100" w:type="dxa"/>
              <w:end w:w="120" w:type="dxa"/>
            </w:tcMar>
            <w:vAlign w:val="center"/>
            <w:shd w:fill="F3F5F7"/>
          </w:tcPr>
          <w:p>
            <w:pPr>
              <w:spacing w:before="0" w:after="0" w:line="264" w:lineRule="auto"/>
            </w:pPr>
            <w:r>
              <w:rPr>
                <w:b w:val="0"/>
                <w:i w:val="0"/>
                <w:sz w:val="18"/>
              </w:rPr>
              <w:t>Transform, pack, label, palletize, and ship.</w:t>
            </w:r>
          </w:p>
        </w:tc>
        <w:tc>
          <w:tcPr>
            <w:tcW w:type="dxa" w:w="2448"/>
            <w:tcMar>
              <w:top w:w="100" w:type="dxa"/>
              <w:start w:w="120" w:type="dxa"/>
              <w:bottom w:w="100" w:type="dxa"/>
              <w:end w:w="120" w:type="dxa"/>
            </w:tcMar>
            <w:vAlign w:val="center"/>
            <w:shd w:fill="F3F5F7"/>
          </w:tcPr>
          <w:p>
            <w:pPr>
              <w:spacing w:before="0" w:after="0" w:line="264" w:lineRule="auto"/>
            </w:pPr>
            <w:r>
              <w:rPr>
                <w:b w:val="0"/>
                <w:i w:val="0"/>
                <w:sz w:val="18"/>
              </w:rPr>
              <w:t>Farmsoft, RedLine, Trace Register, BlueTrace, FoodTrace tools</w:t>
            </w:r>
          </w:p>
        </w:tc>
        <w:tc>
          <w:tcPr>
            <w:tcW w:type="dxa" w:w="2448"/>
            <w:tcMar>
              <w:top w:w="100" w:type="dxa"/>
              <w:start w:w="120" w:type="dxa"/>
              <w:bottom w:w="100" w:type="dxa"/>
              <w:end w:w="120" w:type="dxa"/>
            </w:tcMar>
            <w:vAlign w:val="center"/>
            <w:shd w:fill="F3F5F7"/>
          </w:tcPr>
          <w:p>
            <w:pPr>
              <w:spacing w:before="0" w:after="0" w:line="264" w:lineRule="auto"/>
            </w:pPr>
            <w:r>
              <w:rPr>
                <w:b w:val="0"/>
                <w:i w:val="0"/>
                <w:sz w:val="18"/>
              </w:rPr>
              <w:t>Lot, GTIN, date, TLC, quantity, and transformation events can be incomplete.</w:t>
            </w:r>
          </w:p>
        </w:tc>
      </w:tr>
      <w:tr>
        <w:tc>
          <w:tcPr>
            <w:tcW w:type="dxa" w:w="2448"/>
            <w:tcMar>
              <w:top w:w="100" w:type="dxa"/>
              <w:start w:w="120" w:type="dxa"/>
              <w:bottom w:w="100" w:type="dxa"/>
              <w:end w:w="120" w:type="dxa"/>
            </w:tcMar>
            <w:vAlign w:val="center"/>
          </w:tcPr>
          <w:p>
            <w:pPr>
              <w:spacing w:before="0" w:after="0" w:line="264" w:lineRule="auto"/>
            </w:pPr>
            <w:r>
              <w:rPr>
                <w:b w:val="0"/>
                <w:i w:val="0"/>
                <w:sz w:val="18"/>
              </w:rPr>
              <w:t>3. Supplier / Broker</w:t>
            </w:r>
          </w:p>
        </w:tc>
        <w:tc>
          <w:tcPr>
            <w:tcW w:type="dxa" w:w="2448"/>
            <w:tcMar>
              <w:top w:w="100" w:type="dxa"/>
              <w:start w:w="120" w:type="dxa"/>
              <w:bottom w:w="100" w:type="dxa"/>
              <w:end w:w="120" w:type="dxa"/>
            </w:tcMar>
            <w:vAlign w:val="center"/>
          </w:tcPr>
          <w:p>
            <w:pPr>
              <w:spacing w:before="0" w:after="0" w:line="264" w:lineRule="auto"/>
            </w:pPr>
            <w:r>
              <w:rPr>
                <w:b w:val="0"/>
                <w:i w:val="0"/>
                <w:sz w:val="18"/>
              </w:rPr>
              <w:t>Send invoices, BOLs, packing slips, ASNs, emails, and spreadsheets.</w:t>
            </w:r>
          </w:p>
        </w:tc>
        <w:tc>
          <w:tcPr>
            <w:tcW w:type="dxa" w:w="2448"/>
            <w:tcMar>
              <w:top w:w="100" w:type="dxa"/>
              <w:start w:w="120" w:type="dxa"/>
              <w:bottom w:w="100" w:type="dxa"/>
              <w:end w:w="120" w:type="dxa"/>
            </w:tcMar>
            <w:vAlign w:val="center"/>
          </w:tcPr>
          <w:p>
            <w:pPr>
              <w:spacing w:before="0" w:after="0" w:line="264" w:lineRule="auto"/>
            </w:pPr>
            <w:r>
              <w:rPr>
                <w:b w:val="0"/>
                <w:i w:val="0"/>
                <w:sz w:val="18"/>
              </w:rPr>
              <w:t>EDI tools, broker systems, supplier portals, email</w:t>
            </w:r>
          </w:p>
        </w:tc>
        <w:tc>
          <w:tcPr>
            <w:tcW w:type="dxa" w:w="2448"/>
            <w:tcMar>
              <w:top w:w="100" w:type="dxa"/>
              <w:start w:w="120" w:type="dxa"/>
              <w:bottom w:w="100" w:type="dxa"/>
              <w:end w:w="120" w:type="dxa"/>
            </w:tcMar>
            <w:vAlign w:val="center"/>
          </w:tcPr>
          <w:p>
            <w:pPr>
              <w:spacing w:before="0" w:after="0" w:line="264" w:lineRule="auto"/>
            </w:pPr>
            <w:r>
              <w:rPr>
                <w:b w:val="0"/>
                <w:i w:val="0"/>
                <w:sz w:val="18"/>
              </w:rPr>
              <w:t>The same shipment may have conflicting or missing fields across documents.</w:t>
            </w:r>
          </w:p>
        </w:tc>
      </w:tr>
      <w:tr>
        <w:tc>
          <w:tcPr>
            <w:tcW w:type="dxa" w:w="2448"/>
            <w:tcMar>
              <w:top w:w="100" w:type="dxa"/>
              <w:start w:w="120" w:type="dxa"/>
              <w:bottom w:w="100" w:type="dxa"/>
              <w:end w:w="120" w:type="dxa"/>
            </w:tcMar>
            <w:vAlign w:val="center"/>
            <w:shd w:fill="F3F5F7"/>
          </w:tcPr>
          <w:p>
            <w:pPr>
              <w:spacing w:before="0" w:after="0" w:line="264" w:lineRule="auto"/>
            </w:pPr>
            <w:r>
              <w:rPr>
                <w:b w:val="0"/>
                <w:i w:val="0"/>
                <w:sz w:val="18"/>
              </w:rPr>
              <w:t>4. Distributor Receiving</w:t>
            </w:r>
          </w:p>
        </w:tc>
        <w:tc>
          <w:tcPr>
            <w:tcW w:type="dxa" w:w="2448"/>
            <w:tcMar>
              <w:top w:w="100" w:type="dxa"/>
              <w:start w:w="120" w:type="dxa"/>
              <w:bottom w:w="100" w:type="dxa"/>
              <w:end w:w="120" w:type="dxa"/>
            </w:tcMar>
            <w:vAlign w:val="center"/>
            <w:shd w:fill="F3F5F7"/>
          </w:tcPr>
          <w:p>
            <w:pPr>
              <w:spacing w:before="0" w:after="0" w:line="264" w:lineRule="auto"/>
            </w:pPr>
            <w:r>
              <w:rPr>
                <w:b w:val="0"/>
                <w:i w:val="0"/>
                <w:sz w:val="18"/>
              </w:rPr>
              <w:t>Receive product, scan labels, compare PO/ASN/invoice, inspect quantity.</w:t>
            </w:r>
          </w:p>
        </w:tc>
        <w:tc>
          <w:tcPr>
            <w:tcW w:type="dxa" w:w="2448"/>
            <w:tcMar>
              <w:top w:w="100" w:type="dxa"/>
              <w:start w:w="120" w:type="dxa"/>
              <w:bottom w:w="100" w:type="dxa"/>
              <w:end w:w="120" w:type="dxa"/>
            </w:tcMar>
            <w:vAlign w:val="center"/>
            <w:shd w:fill="F3F5F7"/>
          </w:tcPr>
          <w:p>
            <w:pPr>
              <w:spacing w:before="0" w:after="0" w:line="264" w:lineRule="auto"/>
            </w:pPr>
            <w:r>
              <w:rPr>
                <w:b w:val="0"/>
                <w:i w:val="0"/>
                <w:sz w:val="18"/>
              </w:rPr>
              <w:t>ERP, WMS, scanners, receiving logs, QA review</w:t>
            </w:r>
          </w:p>
        </w:tc>
        <w:tc>
          <w:tcPr>
            <w:tcW w:type="dxa" w:w="2448"/>
            <w:tcMar>
              <w:top w:w="100" w:type="dxa"/>
              <w:start w:w="120" w:type="dxa"/>
              <w:bottom w:w="100" w:type="dxa"/>
              <w:end w:w="120" w:type="dxa"/>
            </w:tcMar>
            <w:vAlign w:val="center"/>
            <w:shd w:fill="F3F5F7"/>
          </w:tcPr>
          <w:p>
            <w:pPr>
              <w:spacing w:before="0" w:after="0" w:line="264" w:lineRule="auto"/>
            </w:pPr>
            <w:r>
              <w:rPr>
                <w:b w:val="0"/>
                <w:i w:val="0"/>
                <w:sz w:val="18"/>
              </w:rPr>
              <w:t>SKU mapping, lot capture, date capture, and source location are often messy.</w:t>
            </w:r>
          </w:p>
        </w:tc>
      </w:tr>
      <w:tr>
        <w:tc>
          <w:tcPr>
            <w:tcW w:type="dxa" w:w="2448"/>
            <w:tcMar>
              <w:top w:w="100" w:type="dxa"/>
              <w:start w:w="120" w:type="dxa"/>
              <w:bottom w:w="100" w:type="dxa"/>
              <w:end w:w="120" w:type="dxa"/>
            </w:tcMar>
            <w:vAlign w:val="center"/>
          </w:tcPr>
          <w:p>
            <w:pPr>
              <w:spacing w:before="0" w:after="0" w:line="264" w:lineRule="auto"/>
            </w:pPr>
            <w:r>
              <w:rPr>
                <w:b w:val="0"/>
                <w:i w:val="0"/>
                <w:sz w:val="18"/>
              </w:rPr>
              <w:t>5. Traceability Record</w:t>
            </w:r>
          </w:p>
        </w:tc>
        <w:tc>
          <w:tcPr>
            <w:tcW w:type="dxa" w:w="2448"/>
            <w:tcMar>
              <w:top w:w="100" w:type="dxa"/>
              <w:start w:w="120" w:type="dxa"/>
              <w:bottom w:w="100" w:type="dxa"/>
              <w:end w:w="120" w:type="dxa"/>
            </w:tcMar>
            <w:vAlign w:val="center"/>
          </w:tcPr>
          <w:p>
            <w:pPr>
              <w:spacing w:before="0" w:after="0" w:line="264" w:lineRule="auto"/>
            </w:pPr>
            <w:r>
              <w:rPr>
                <w:b w:val="0"/>
                <w:i w:val="0"/>
                <w:sz w:val="18"/>
              </w:rPr>
              <w:t>Create clean KDE/CTE record and make it available for audit or recall.</w:t>
            </w:r>
          </w:p>
        </w:tc>
        <w:tc>
          <w:tcPr>
            <w:tcW w:type="dxa" w:w="2448"/>
            <w:tcMar>
              <w:top w:w="100" w:type="dxa"/>
              <w:start w:w="120" w:type="dxa"/>
              <w:bottom w:w="100" w:type="dxa"/>
              <w:end w:w="120" w:type="dxa"/>
            </w:tcMar>
            <w:vAlign w:val="center"/>
          </w:tcPr>
          <w:p>
            <w:pPr>
              <w:spacing w:before="0" w:after="0" w:line="264" w:lineRule="auto"/>
            </w:pPr>
            <w:r>
              <w:rPr>
                <w:b w:val="0"/>
                <w:i w:val="0"/>
                <w:sz w:val="18"/>
              </w:rPr>
              <w:t>ReposiTrak, iFoodDS, FoodLogiQ, Starfish, ERP/WMS, spreadsheets</w:t>
            </w:r>
          </w:p>
        </w:tc>
        <w:tc>
          <w:tcPr>
            <w:tcW w:type="dxa" w:w="2448"/>
            <w:tcMar>
              <w:top w:w="100" w:type="dxa"/>
              <w:start w:w="120" w:type="dxa"/>
              <w:bottom w:w="100" w:type="dxa"/>
              <w:end w:w="120" w:type="dxa"/>
            </w:tcMar>
            <w:vAlign w:val="center"/>
          </w:tcPr>
          <w:p>
            <w:pPr>
              <w:spacing w:before="0" w:after="0" w:line="264" w:lineRule="auto"/>
            </w:pPr>
            <w:r>
              <w:rPr>
                <w:b w:val="0"/>
                <w:i w:val="0"/>
                <w:sz w:val="18"/>
              </w:rPr>
              <w:t>Clean systems still need clean data. Bad inputs create bad audit records.</w:t>
            </w:r>
          </w:p>
        </w:tc>
      </w:tr>
    </w:tbl>
    <w:p/>
    <w:p>
      <w:pPr>
        <w:spacing w:before="240" w:after="100" w:line="276" w:lineRule="auto"/>
      </w:pPr>
      <w:r>
        <w:rPr>
          <w:b/>
          <w:i w:val="0"/>
          <w:color w:val="17365D"/>
          <w:sz w:val="32"/>
        </w:rPr>
        <w:t>3. Where Your Software Fits</w:t>
      </w:r>
    </w:p>
    <w:p>
      <w:pPr>
        <w:spacing w:before="0" w:after="140" w:line="276" w:lineRule="auto"/>
      </w:pPr>
      <w:r>
        <w:rPr>
          <w:b w:val="0"/>
          <w:i w:val="0"/>
          <w:sz w:val="21"/>
        </w:rPr>
        <w:t>Your product sits between messy evidence and clean operational systems. It is best understood as an AI Traceability Exception Desk.</w:t>
      </w:r>
    </w:p>
    <w:tbl>
      <w:tblPr>
        <w:tblW w:type="auto" w:w="0"/>
        <w:tblLayout w:type="fixed"/>
        <w:tblLook w:firstColumn="1" w:firstRow="1" w:lastColumn="0" w:lastRow="0" w:noHBand="0" w:noVBand="1" w:val="04A0"/>
        <w:tblBorders>
          <w:top w:val="single" w:sz="8" w:space="0" w:color="D6DCE5"/>
          <w:left w:val="single" w:sz="8" w:space="0" w:color="D6DCE5"/>
          <w:bottom w:val="single" w:sz="8" w:space="0" w:color="D6DCE5"/>
          <w:right w:val="single" w:sz="8" w:space="0" w:color="D6DCE5"/>
          <w:insideH w:val="single" w:sz="8" w:space="0" w:color="D6DCE5"/>
          <w:insideV w:val="single" w:sz="8" w:space="0" w:color="D6DCE5"/>
        </w:tblBorders>
      </w:tblPr>
      <w:tblGrid>
        <w:gridCol w:w="9792"/>
      </w:tblGrid>
      <w:tr>
        <w:tc>
          <w:tcPr>
            <w:tcW w:type="dxa" w:w="9144"/>
            <w:shd w:fill="E7F3E8"/>
            <w:tcMar>
              <w:top w:w="140" w:type="dxa"/>
              <w:start w:w="180" w:type="dxa"/>
              <w:bottom w:w="140" w:type="dxa"/>
              <w:end w:w="180" w:type="dxa"/>
            </w:tcMar>
            <w:vAlign w:val="center"/>
          </w:tcPr>
          <w:p>
            <w:pPr>
              <w:spacing w:before="0" w:after="60" w:line="276" w:lineRule="auto"/>
            </w:pPr>
            <w:r>
              <w:rPr>
                <w:b/>
                <w:i w:val="0"/>
                <w:color w:val="17365D"/>
                <w:sz w:val="22"/>
              </w:rPr>
              <w:t>Best category name</w:t>
            </w:r>
          </w:p>
          <w:p>
            <w:pPr>
              <w:spacing w:before="0" w:after="0" w:line="276" w:lineRule="auto"/>
            </w:pPr>
            <w:r>
              <w:rPr>
                <w:b w:val="0"/>
                <w:i w:val="0"/>
                <w:sz w:val="21"/>
              </w:rPr>
              <w:t>AI Traceability Exception Desk: extract, match, detect, route, repair, and prove shipment-level traceability records.</w:t>
            </w:r>
          </w:p>
        </w:tc>
      </w:tr>
    </w:tbl>
    <w:p/>
    <w:p>
      <w:pPr>
        <w:spacing w:before="0" w:after="140" w:line="276" w:lineRule="auto"/>
      </w:pPr>
      <w:r>
        <w:rPr>
          <w:b w:val="0"/>
          <w:i w:val="0"/>
          <w:sz w:val="21"/>
        </w:rPr>
        <w:t>Simple workflow:</w:t>
      </w:r>
    </w:p>
    <w:tbl>
      <w:tblPr>
        <w:tblW w:type="auto" w:w="0"/>
        <w:tblLayout w:type="fixed"/>
        <w:tblLook w:firstColumn="1" w:firstRow="1" w:lastColumn="0" w:lastRow="0" w:noHBand="0" w:noVBand="1" w:val="04A0"/>
        <w:tblBorders>
          <w:top w:val="single" w:sz="8" w:space="0" w:color="D6DCE5"/>
          <w:left w:val="single" w:sz="8" w:space="0" w:color="D6DCE5"/>
          <w:bottom w:val="single" w:sz="8" w:space="0" w:color="D6DCE5"/>
          <w:right w:val="single" w:sz="8" w:space="0" w:color="D6DCE5"/>
          <w:insideH w:val="single" w:sz="8" w:space="0" w:color="D6DCE5"/>
          <w:insideV w:val="single" w:sz="8" w:space="0" w:color="D6DCE5"/>
        </w:tblBorders>
      </w:tblPr>
      <w:tblGrid>
        <w:gridCol w:w="9792"/>
      </w:tblGrid>
      <w:tr>
        <w:tc>
          <w:tcPr>
            <w:tcW w:type="dxa" w:w="9144"/>
            <w:shd w:fill="F3F5F7"/>
            <w:tcMar>
              <w:top w:w="125" w:type="dxa"/>
              <w:start w:w="180" w:type="dxa"/>
              <w:bottom w:w="125" w:type="dxa"/>
              <w:end w:w="180" w:type="dxa"/>
            </w:tcMar>
          </w:tcPr>
          <w:p>
            <w:pPr>
              <w:spacing w:before="0" w:after="0" w:line="276" w:lineRule="auto"/>
            </w:pPr>
            <w:r>
              <w:rPr>
                <w:b w:val="0"/>
                <w:i w:val="0"/>
                <w:color w:val="000000"/>
                <w:sz w:val="21"/>
              </w:rPr>
              <w:t>1. Messy evidence: PDFs, emails, invoices, BOLs, ASNs, labels, receiving records</w:t>
            </w:r>
          </w:p>
        </w:tc>
      </w:tr>
      <w:tr>
        <w:tc>
          <w:tcPr>
            <w:tcW w:type="dxa" w:w="9144"/>
            <w:shd w:fill="EEF5FB"/>
            <w:tcMar>
              <w:top w:w="125" w:type="dxa"/>
              <w:start w:w="180" w:type="dxa"/>
              <w:bottom w:w="125" w:type="dxa"/>
              <w:end w:w="180" w:type="dxa"/>
            </w:tcMar>
          </w:tcPr>
          <w:p>
            <w:pPr>
              <w:spacing w:before="0" w:after="0" w:line="276" w:lineRule="auto"/>
            </w:pPr>
            <w:r>
              <w:rPr>
                <w:b/>
                <w:i w:val="0"/>
                <w:color w:val="17365D"/>
                <w:sz w:val="21"/>
              </w:rPr>
              <w:t>2. Your AI desk: extract product, lot, quantity, dates, TLC/source, and reference IDs</w:t>
            </w:r>
          </w:p>
        </w:tc>
      </w:tr>
      <w:tr>
        <w:tc>
          <w:tcPr>
            <w:tcW w:type="dxa" w:w="9144"/>
            <w:shd w:fill="F3F5F7"/>
            <w:tcMar>
              <w:top w:w="125" w:type="dxa"/>
              <w:start w:w="180" w:type="dxa"/>
              <w:bottom w:w="125" w:type="dxa"/>
              <w:end w:w="180" w:type="dxa"/>
            </w:tcMar>
          </w:tcPr>
          <w:p>
            <w:pPr>
              <w:spacing w:before="0" w:after="0" w:line="276" w:lineRule="auto"/>
            </w:pPr>
            <w:r>
              <w:rPr>
                <w:b w:val="0"/>
                <w:i w:val="0"/>
                <w:color w:val="000000"/>
                <w:sz w:val="21"/>
              </w:rPr>
              <w:t>3. Exception logic: detect missing KDEs, mismatches, conflicts, and supplier gaps</w:t>
            </w:r>
          </w:p>
        </w:tc>
      </w:tr>
      <w:tr>
        <w:tc>
          <w:tcPr>
            <w:tcW w:type="dxa" w:w="9144"/>
            <w:shd w:fill="F3F5F7"/>
            <w:tcMar>
              <w:top w:w="125" w:type="dxa"/>
              <w:start w:w="180" w:type="dxa"/>
              <w:bottom w:w="125" w:type="dxa"/>
              <w:end w:w="180" w:type="dxa"/>
            </w:tcMar>
          </w:tcPr>
          <w:p>
            <w:pPr>
              <w:spacing w:before="0" w:after="0" w:line="276" w:lineRule="auto"/>
            </w:pPr>
            <w:r>
              <w:rPr>
                <w:b w:val="0"/>
                <w:i w:val="0"/>
                <w:color w:val="000000"/>
                <w:sz w:val="21"/>
              </w:rPr>
              <w:t>4. Human workflow: route to supplier, QA, EDI, receiving, or purchasing</w:t>
            </w:r>
          </w:p>
        </w:tc>
      </w:tr>
      <w:tr>
        <w:tc>
          <w:tcPr>
            <w:tcW w:type="dxa" w:w="9144"/>
            <w:shd w:fill="F3F5F7"/>
            <w:tcMar>
              <w:top w:w="125" w:type="dxa"/>
              <w:start w:w="180" w:type="dxa"/>
              <w:bottom w:w="125" w:type="dxa"/>
              <w:end w:w="180" w:type="dxa"/>
            </w:tcMar>
          </w:tcPr>
          <w:p>
            <w:pPr>
              <w:spacing w:before="0" w:after="0" w:line="276" w:lineRule="auto"/>
            </w:pPr>
            <w:r>
              <w:rPr>
                <w:b w:val="0"/>
                <w:i w:val="0"/>
                <w:color w:val="000000"/>
                <w:sz w:val="21"/>
              </w:rPr>
              <w:t>5. Clean output: KDE/CTE records, FDA sortable spreadsheet, ERP/WMS/EDI import, proof trail</w:t>
            </w:r>
          </w:p>
        </w:tc>
      </w:tr>
    </w:tbl>
    <w:p/>
    <w:p>
      <w:r>
        <w:br w:type="page"/>
      </w:r>
    </w:p>
    <w:p>
      <w:pPr>
        <w:spacing w:before="240" w:after="100" w:line="276" w:lineRule="auto"/>
      </w:pPr>
      <w:r>
        <w:rPr>
          <w:b/>
          <w:i w:val="0"/>
          <w:color w:val="17365D"/>
          <w:sz w:val="32"/>
        </w:rPr>
        <w:t>4. Vendor Map By Industry Layer</w:t>
      </w:r>
    </w:p>
    <w:tbl>
      <w:tblPr>
        <w:tblW w:type="auto" w:w="0"/>
        <w:tblLayout w:type="fixed"/>
        <w:tblLook w:firstColumn="1" w:firstRow="1" w:lastColumn="0" w:lastRow="0" w:noHBand="0" w:noVBand="1" w:val="04A0"/>
        <w:tblBorders>
          <w:top w:val="single" w:sz="6" w:space="0" w:color="D6DCE5"/>
          <w:left w:val="single" w:sz="6" w:space="0" w:color="D6DCE5"/>
          <w:bottom w:val="single" w:sz="6" w:space="0" w:color="D6DCE5"/>
          <w:right w:val="single" w:sz="6" w:space="0" w:color="D6DCE5"/>
          <w:insideH w:val="single" w:sz="6" w:space="0" w:color="D6DCE5"/>
          <w:insideV w:val="single" w:sz="6" w:space="0" w:color="D6DCE5"/>
        </w:tblBorders>
      </w:tblPr>
      <w:tblGrid>
        <w:gridCol w:w="3264"/>
        <w:gridCol w:w="3264"/>
        <w:gridCol w:w="3264"/>
      </w:tblGrid>
      <w:tr>
        <w:tc>
          <w:tcPr>
            <w:tcW w:type="dxa" w:w="2088"/>
            <w:shd w:fill="17365D"/>
            <w:tcMar>
              <w:top w:w="110" w:type="dxa"/>
              <w:start w:w="120" w:type="dxa"/>
              <w:bottom w:w="110" w:type="dxa"/>
              <w:end w:w="120" w:type="dxa"/>
            </w:tcMar>
            <w:vAlign w:val="center"/>
          </w:tcPr>
          <w:p>
            <w:pPr>
              <w:spacing w:before="0" w:after="0" w:line="276" w:lineRule="auto"/>
            </w:pPr>
            <w:r>
              <w:rPr>
                <w:b/>
                <w:i w:val="0"/>
                <w:color w:val="FFFFFF"/>
                <w:sz w:val="19"/>
              </w:rPr>
              <w:t>Category</w:t>
            </w:r>
          </w:p>
        </w:tc>
        <w:tc>
          <w:tcPr>
            <w:tcW w:type="dxa" w:w="3816"/>
            <w:shd w:fill="17365D"/>
            <w:tcMar>
              <w:top w:w="110" w:type="dxa"/>
              <w:start w:w="120" w:type="dxa"/>
              <w:bottom w:w="110" w:type="dxa"/>
              <w:end w:w="120" w:type="dxa"/>
            </w:tcMar>
            <w:vAlign w:val="center"/>
          </w:tcPr>
          <w:p>
            <w:pPr>
              <w:spacing w:before="0" w:after="0" w:line="276" w:lineRule="auto"/>
            </w:pPr>
            <w:r>
              <w:rPr>
                <w:b/>
                <w:i w:val="0"/>
                <w:color w:val="FFFFFF"/>
                <w:sz w:val="19"/>
              </w:rPr>
              <w:t>Company Examples</w:t>
            </w:r>
          </w:p>
        </w:tc>
        <w:tc>
          <w:tcPr>
            <w:tcW w:type="dxa" w:w="3240"/>
            <w:shd w:fill="17365D"/>
            <w:tcMar>
              <w:top w:w="110" w:type="dxa"/>
              <w:start w:w="120" w:type="dxa"/>
              <w:bottom w:w="110" w:type="dxa"/>
              <w:end w:w="120" w:type="dxa"/>
            </w:tcMar>
            <w:vAlign w:val="center"/>
          </w:tcPr>
          <w:p>
            <w:pPr>
              <w:spacing w:before="0" w:after="0" w:line="276" w:lineRule="auto"/>
            </w:pPr>
            <w:r>
              <w:rPr>
                <w:b/>
                <w:i w:val="0"/>
                <w:color w:val="FFFFFF"/>
                <w:sz w:val="19"/>
              </w:rPr>
              <w:t>Meaning For Your Startup</w:t>
            </w:r>
          </w:p>
        </w:tc>
      </w:tr>
      <w:tr>
        <w:tc>
          <w:tcPr>
            <w:tcW w:type="dxa" w:w="3264"/>
            <w:tcMar>
              <w:top w:w="100" w:type="dxa"/>
              <w:start w:w="120" w:type="dxa"/>
              <w:bottom w:w="100" w:type="dxa"/>
              <w:end w:w="120" w:type="dxa"/>
            </w:tcMar>
            <w:vAlign w:val="center"/>
          </w:tcPr>
          <w:p>
            <w:pPr>
              <w:spacing w:before="0" w:after="0" w:line="264" w:lineRule="auto"/>
            </w:pPr>
            <w:r>
              <w:rPr>
                <w:b w:val="0"/>
                <w:i w:val="0"/>
                <w:sz w:val="18"/>
              </w:rPr>
              <w:t>First-mile / provenance</w:t>
            </w:r>
          </w:p>
        </w:tc>
        <w:tc>
          <w:tcPr>
            <w:tcW w:type="dxa" w:w="3264"/>
            <w:tcMar>
              <w:top w:w="100" w:type="dxa"/>
              <w:start w:w="120" w:type="dxa"/>
              <w:bottom w:w="100" w:type="dxa"/>
              <w:end w:w="120" w:type="dxa"/>
            </w:tcMar>
            <w:vAlign w:val="center"/>
          </w:tcPr>
          <w:p>
            <w:pPr>
              <w:spacing w:before="0" w:after="0" w:line="264" w:lineRule="auto"/>
            </w:pPr>
            <w:r>
              <w:rPr>
                <w:b w:val="0"/>
                <w:i w:val="0"/>
                <w:sz w:val="18"/>
              </w:rPr>
              <w:t>Sourcemap, Cropin, Farmforce, BanQu, Bext360, Oritain, OpenSC, Connecting Food</w:t>
            </w:r>
          </w:p>
        </w:tc>
        <w:tc>
          <w:tcPr>
            <w:tcW w:type="dxa" w:w="3264"/>
            <w:tcMar>
              <w:top w:w="100" w:type="dxa"/>
              <w:start w:w="120" w:type="dxa"/>
              <w:bottom w:w="100" w:type="dxa"/>
              <w:end w:w="120" w:type="dxa"/>
            </w:tcMar>
            <w:vAlign w:val="center"/>
          </w:tcPr>
          <w:p>
            <w:pPr>
              <w:spacing w:before="0" w:after="0" w:line="264" w:lineRule="auto"/>
            </w:pPr>
            <w:r>
              <w:rPr>
                <w:b w:val="0"/>
                <w:i w:val="0"/>
                <w:sz w:val="18"/>
              </w:rPr>
              <w:t>Usually upstream. They prove origin or sustainability, but do not solve distributor exception work.</w:t>
            </w:r>
          </w:p>
        </w:tc>
      </w:tr>
      <w:tr>
        <w:tc>
          <w:tcPr>
            <w:tcW w:type="dxa" w:w="3264"/>
            <w:tcMar>
              <w:top w:w="100" w:type="dxa"/>
              <w:start w:w="120" w:type="dxa"/>
              <w:bottom w:w="100" w:type="dxa"/>
              <w:end w:w="120" w:type="dxa"/>
            </w:tcMar>
            <w:vAlign w:val="center"/>
            <w:shd w:fill="F3F5F7"/>
          </w:tcPr>
          <w:p>
            <w:pPr>
              <w:spacing w:before="0" w:after="0" w:line="264" w:lineRule="auto"/>
            </w:pPr>
            <w:r>
              <w:rPr>
                <w:b w:val="0"/>
                <w:i w:val="0"/>
                <w:sz w:val="18"/>
              </w:rPr>
              <w:t>Vertical traceability</w:t>
            </w:r>
          </w:p>
        </w:tc>
        <w:tc>
          <w:tcPr>
            <w:tcW w:type="dxa" w:w="3264"/>
            <w:tcMar>
              <w:top w:w="100" w:type="dxa"/>
              <w:start w:w="120" w:type="dxa"/>
              <w:bottom w:w="100" w:type="dxa"/>
              <w:end w:w="120" w:type="dxa"/>
            </w:tcMar>
            <w:vAlign w:val="center"/>
            <w:shd w:fill="F3F5F7"/>
          </w:tcPr>
          <w:p>
            <w:pPr>
              <w:spacing w:before="0" w:after="0" w:line="264" w:lineRule="auto"/>
            </w:pPr>
            <w:r>
              <w:rPr>
                <w:b w:val="0"/>
                <w:i w:val="0"/>
                <w:sz w:val="18"/>
              </w:rPr>
              <w:t>Farmsoft, RedLine, BlueTrace, Trace Register, SFS Trace, PTIprint, ActaPath</w:t>
            </w:r>
          </w:p>
        </w:tc>
        <w:tc>
          <w:tcPr>
            <w:tcW w:type="dxa" w:w="3264"/>
            <w:tcMar>
              <w:top w:w="100" w:type="dxa"/>
              <w:start w:w="120" w:type="dxa"/>
              <w:bottom w:w="100" w:type="dxa"/>
              <w:end w:w="120" w:type="dxa"/>
            </w:tcMar>
            <w:vAlign w:val="center"/>
            <w:shd w:fill="F3F5F7"/>
          </w:tcPr>
          <w:p>
            <w:pPr>
              <w:spacing w:before="0" w:after="0" w:line="264" w:lineRule="auto"/>
            </w:pPr>
            <w:r>
              <w:rPr>
                <w:b w:val="0"/>
                <w:i w:val="0"/>
                <w:sz w:val="18"/>
              </w:rPr>
              <w:t>Strong inside produce, seafood, bakery, or processor workflows. Direct only if you pick that vertical.</w:t>
            </w:r>
          </w:p>
        </w:tc>
      </w:tr>
      <w:tr>
        <w:tc>
          <w:tcPr>
            <w:tcW w:type="dxa" w:w="3264"/>
            <w:tcMar>
              <w:top w:w="100" w:type="dxa"/>
              <w:start w:w="120" w:type="dxa"/>
              <w:bottom w:w="100" w:type="dxa"/>
              <w:end w:w="120" w:type="dxa"/>
            </w:tcMar>
            <w:vAlign w:val="center"/>
          </w:tcPr>
          <w:p>
            <w:pPr>
              <w:spacing w:before="0" w:after="0" w:line="264" w:lineRule="auto"/>
            </w:pPr>
            <w:r>
              <w:rPr>
                <w:b w:val="0"/>
                <w:i w:val="0"/>
                <w:sz w:val="18"/>
              </w:rPr>
              <w:t>ERP / WMS / inventory</w:t>
            </w:r>
          </w:p>
        </w:tc>
        <w:tc>
          <w:tcPr>
            <w:tcW w:type="dxa" w:w="3264"/>
            <w:tcMar>
              <w:top w:w="100" w:type="dxa"/>
              <w:start w:w="120" w:type="dxa"/>
              <w:bottom w:w="100" w:type="dxa"/>
              <w:end w:w="120" w:type="dxa"/>
            </w:tcMar>
            <w:vAlign w:val="center"/>
          </w:tcPr>
          <w:p>
            <w:pPr>
              <w:spacing w:before="0" w:after="0" w:line="264" w:lineRule="auto"/>
            </w:pPr>
            <w:r>
              <w:rPr>
                <w:b w:val="0"/>
                <w:i w:val="0"/>
                <w:sz w:val="18"/>
              </w:rPr>
              <w:t>Aptean, Infor, QAD, NetSuite, Wherefour, Food Connex, SYSPRO, VicinityFood, Minotaur</w:t>
            </w:r>
          </w:p>
        </w:tc>
        <w:tc>
          <w:tcPr>
            <w:tcW w:type="dxa" w:w="3264"/>
            <w:tcMar>
              <w:top w:w="100" w:type="dxa"/>
              <w:start w:w="120" w:type="dxa"/>
              <w:bottom w:w="100" w:type="dxa"/>
              <w:end w:w="120" w:type="dxa"/>
            </w:tcMar>
            <w:vAlign w:val="center"/>
          </w:tcPr>
          <w:p>
            <w:pPr>
              <w:spacing w:before="0" w:after="0" w:line="264" w:lineRule="auto"/>
            </w:pPr>
            <w:r>
              <w:rPr>
                <w:b w:val="0"/>
                <w:i w:val="0"/>
                <w:sz w:val="18"/>
              </w:rPr>
              <w:t>Systems of record. They need clean lot/KDE data, but rarely clean messy inbound evidence.</w:t>
            </w:r>
          </w:p>
        </w:tc>
      </w:tr>
      <w:tr>
        <w:tc>
          <w:tcPr>
            <w:tcW w:type="dxa" w:w="3264"/>
            <w:tcMar>
              <w:top w:w="100" w:type="dxa"/>
              <w:start w:w="120" w:type="dxa"/>
              <w:bottom w:w="100" w:type="dxa"/>
              <w:end w:w="120" w:type="dxa"/>
            </w:tcMar>
            <w:vAlign w:val="center"/>
            <w:shd w:fill="F3F5F7"/>
          </w:tcPr>
          <w:p>
            <w:pPr>
              <w:spacing w:before="0" w:after="0" w:line="264" w:lineRule="auto"/>
            </w:pPr>
            <w:r>
              <w:rPr>
                <w:b w:val="0"/>
                <w:i w:val="0"/>
                <w:sz w:val="18"/>
              </w:rPr>
              <w:t>EDI / API exchange</w:t>
            </w:r>
          </w:p>
        </w:tc>
        <w:tc>
          <w:tcPr>
            <w:tcW w:type="dxa" w:w="3264"/>
            <w:tcMar>
              <w:top w:w="100" w:type="dxa"/>
              <w:start w:w="120" w:type="dxa"/>
              <w:bottom w:w="100" w:type="dxa"/>
              <w:end w:w="120" w:type="dxa"/>
            </w:tcMar>
            <w:vAlign w:val="center"/>
            <w:shd w:fill="F3F5F7"/>
          </w:tcPr>
          <w:p>
            <w:pPr>
              <w:spacing w:before="0" w:after="0" w:line="264" w:lineRule="auto"/>
            </w:pPr>
            <w:r>
              <w:rPr>
                <w:b w:val="0"/>
                <w:i w:val="0"/>
                <w:sz w:val="18"/>
              </w:rPr>
              <w:t>TrueCommerce, SPS Commerce, Cleo, iTradeNetwork, Procurant, TradeLink</w:t>
            </w:r>
          </w:p>
        </w:tc>
        <w:tc>
          <w:tcPr>
            <w:tcW w:type="dxa" w:w="3264"/>
            <w:tcMar>
              <w:top w:w="100" w:type="dxa"/>
              <w:start w:w="120" w:type="dxa"/>
              <w:bottom w:w="100" w:type="dxa"/>
              <w:end w:w="120" w:type="dxa"/>
            </w:tcMar>
            <w:vAlign w:val="center"/>
            <w:shd w:fill="F3F5F7"/>
          </w:tcPr>
          <w:p>
            <w:pPr>
              <w:spacing w:before="0" w:after="0" w:line="264" w:lineRule="auto"/>
            </w:pPr>
            <w:r>
              <w:rPr>
                <w:b w:val="0"/>
                <w:i w:val="0"/>
                <w:sz w:val="18"/>
              </w:rPr>
              <w:t>They move structured data. Your wedge is fixing data before it becomes structured exchange.</w:t>
            </w:r>
          </w:p>
        </w:tc>
      </w:tr>
      <w:tr>
        <w:tc>
          <w:tcPr>
            <w:tcW w:type="dxa" w:w="3264"/>
            <w:tcMar>
              <w:top w:w="100" w:type="dxa"/>
              <w:start w:w="120" w:type="dxa"/>
              <w:bottom w:w="100" w:type="dxa"/>
              <w:end w:w="120" w:type="dxa"/>
            </w:tcMar>
            <w:vAlign w:val="center"/>
          </w:tcPr>
          <w:p>
            <w:pPr>
              <w:spacing w:before="0" w:after="0" w:line="264" w:lineRule="auto"/>
            </w:pPr>
            <w:r>
              <w:rPr>
                <w:b w:val="0"/>
                <w:i w:val="0"/>
                <w:sz w:val="18"/>
              </w:rPr>
              <w:t>Traceability networks</w:t>
            </w:r>
          </w:p>
        </w:tc>
        <w:tc>
          <w:tcPr>
            <w:tcW w:type="dxa" w:w="3264"/>
            <w:tcMar>
              <w:top w:w="100" w:type="dxa"/>
              <w:start w:w="120" w:type="dxa"/>
              <w:bottom w:w="100" w:type="dxa"/>
              <w:end w:w="120" w:type="dxa"/>
            </w:tcMar>
            <w:vAlign w:val="center"/>
          </w:tcPr>
          <w:p>
            <w:pPr>
              <w:spacing w:before="0" w:after="0" w:line="264" w:lineRule="auto"/>
            </w:pPr>
            <w:r>
              <w:rPr>
                <w:b w:val="0"/>
                <w:i w:val="0"/>
                <w:sz w:val="18"/>
              </w:rPr>
              <w:t>ReposiTrak, iFoodDS, FoodLogiQ, Wholechain, Starfish, TagOne, Kezzler, Antares/rfxcel</w:t>
            </w:r>
          </w:p>
        </w:tc>
        <w:tc>
          <w:tcPr>
            <w:tcW w:type="dxa" w:w="3264"/>
            <w:tcMar>
              <w:top w:w="100" w:type="dxa"/>
              <w:start w:w="120" w:type="dxa"/>
              <w:bottom w:w="100" w:type="dxa"/>
              <w:end w:w="120" w:type="dxa"/>
            </w:tcMar>
            <w:vAlign w:val="center"/>
          </w:tcPr>
          <w:p>
            <w:pPr>
              <w:spacing w:before="0" w:after="0" w:line="264" w:lineRule="auto"/>
            </w:pPr>
            <w:r>
              <w:rPr>
                <w:b w:val="0"/>
                <w:i w:val="0"/>
                <w:sz w:val="18"/>
              </w:rPr>
              <w:t>Closest platform competitors. Best partnership/output channel if you own exception repair.</w:t>
            </w:r>
          </w:p>
        </w:tc>
      </w:tr>
      <w:tr>
        <w:tc>
          <w:tcPr>
            <w:tcW w:type="dxa" w:w="3264"/>
            <w:tcMar>
              <w:top w:w="100" w:type="dxa"/>
              <w:start w:w="120" w:type="dxa"/>
              <w:bottom w:w="100" w:type="dxa"/>
              <w:end w:w="120" w:type="dxa"/>
            </w:tcMar>
            <w:vAlign w:val="center"/>
            <w:shd w:fill="F3F5F7"/>
          </w:tcPr>
          <w:p>
            <w:pPr>
              <w:spacing w:before="0" w:after="0" w:line="264" w:lineRule="auto"/>
            </w:pPr>
            <w:r>
              <w:rPr>
                <w:b w:val="0"/>
                <w:i w:val="0"/>
                <w:sz w:val="18"/>
              </w:rPr>
              <w:t>Supplier compliance / FSQA</w:t>
            </w:r>
          </w:p>
        </w:tc>
        <w:tc>
          <w:tcPr>
            <w:tcW w:type="dxa" w:w="3264"/>
            <w:tcMar>
              <w:top w:w="100" w:type="dxa"/>
              <w:start w:w="120" w:type="dxa"/>
              <w:bottom w:w="100" w:type="dxa"/>
              <w:end w:w="120" w:type="dxa"/>
            </w:tcMar>
            <w:vAlign w:val="center"/>
            <w:shd w:fill="F3F5F7"/>
          </w:tcPr>
          <w:p>
            <w:pPr>
              <w:spacing w:before="0" w:after="0" w:line="264" w:lineRule="auto"/>
            </w:pPr>
            <w:r>
              <w:rPr>
                <w:b w:val="0"/>
                <w:i w:val="0"/>
                <w:sz w:val="18"/>
              </w:rPr>
              <w:t>TraceGains, SafetyChain, FoodReady, Allera, FoodDocs, Icicle, Trace One, NORMEX</w:t>
            </w:r>
          </w:p>
        </w:tc>
        <w:tc>
          <w:tcPr>
            <w:tcW w:type="dxa" w:w="3264"/>
            <w:tcMar>
              <w:top w:w="100" w:type="dxa"/>
              <w:start w:w="120" w:type="dxa"/>
              <w:bottom w:w="100" w:type="dxa"/>
              <w:end w:w="120" w:type="dxa"/>
            </w:tcMar>
            <w:vAlign w:val="center"/>
            <w:shd w:fill="F3F5F7"/>
          </w:tcPr>
          <w:p>
            <w:pPr>
              <w:spacing w:before="0" w:after="0" w:line="264" w:lineRule="auto"/>
            </w:pPr>
            <w:r>
              <w:rPr>
                <w:b w:val="0"/>
                <w:i w:val="0"/>
                <w:sz w:val="18"/>
              </w:rPr>
              <w:t>They manage supplier documents, audits, HACCP, QA, specs. Shipment-level trace exceptions remain open.</w:t>
            </w:r>
          </w:p>
        </w:tc>
      </w:tr>
      <w:tr>
        <w:tc>
          <w:tcPr>
            <w:tcW w:type="dxa" w:w="3264"/>
            <w:tcMar>
              <w:top w:w="100" w:type="dxa"/>
              <w:start w:w="120" w:type="dxa"/>
              <w:bottom w:w="100" w:type="dxa"/>
              <w:end w:w="120" w:type="dxa"/>
            </w:tcMar>
            <w:vAlign w:val="center"/>
          </w:tcPr>
          <w:p>
            <w:pPr>
              <w:spacing w:before="0" w:after="0" w:line="264" w:lineRule="auto"/>
            </w:pPr>
            <w:r>
              <w:rPr>
                <w:b w:val="0"/>
                <w:i w:val="0"/>
                <w:sz w:val="18"/>
              </w:rPr>
              <w:t>Labeling / GS1 / serialization</w:t>
            </w:r>
          </w:p>
        </w:tc>
        <w:tc>
          <w:tcPr>
            <w:tcW w:type="dxa" w:w="3264"/>
            <w:tcMar>
              <w:top w:w="100" w:type="dxa"/>
              <w:start w:w="120" w:type="dxa"/>
              <w:bottom w:w="100" w:type="dxa"/>
              <w:end w:w="120" w:type="dxa"/>
            </w:tcMar>
            <w:vAlign w:val="center"/>
          </w:tcPr>
          <w:p>
            <w:pPr>
              <w:spacing w:before="0" w:after="0" w:line="264" w:lineRule="auto"/>
            </w:pPr>
            <w:r>
              <w:rPr>
                <w:b w:val="0"/>
                <w:i w:val="0"/>
                <w:sz w:val="18"/>
              </w:rPr>
              <w:t>Loftware, SATO, TEKLYNX, Zebra, BarTender, OPTEL, Aware Innovations, Kwik Lok</w:t>
            </w:r>
          </w:p>
        </w:tc>
        <w:tc>
          <w:tcPr>
            <w:tcW w:type="dxa" w:w="3264"/>
            <w:tcMar>
              <w:top w:w="100" w:type="dxa"/>
              <w:start w:w="120" w:type="dxa"/>
              <w:bottom w:w="100" w:type="dxa"/>
              <w:end w:w="120" w:type="dxa"/>
            </w:tcMar>
            <w:vAlign w:val="center"/>
          </w:tcPr>
          <w:p>
            <w:pPr>
              <w:spacing w:before="0" w:after="0" w:line="264" w:lineRule="auto"/>
            </w:pPr>
            <w:r>
              <w:rPr>
                <w:b w:val="0"/>
                <w:i w:val="0"/>
                <w:sz w:val="18"/>
              </w:rPr>
              <w:t>They create or read identifiers. You reconcile identifiers against docs, receipts, and audit requirements.</w:t>
            </w:r>
          </w:p>
        </w:tc>
      </w:tr>
      <w:tr>
        <w:tc>
          <w:tcPr>
            <w:tcW w:type="dxa" w:w="3264"/>
            <w:tcMar>
              <w:top w:w="100" w:type="dxa"/>
              <w:start w:w="120" w:type="dxa"/>
              <w:bottom w:w="100" w:type="dxa"/>
              <w:end w:w="120" w:type="dxa"/>
            </w:tcMar>
            <w:vAlign w:val="center"/>
            <w:shd w:fill="F3F5F7"/>
          </w:tcPr>
          <w:p>
            <w:pPr>
              <w:spacing w:before="0" w:after="0" w:line="264" w:lineRule="auto"/>
            </w:pPr>
            <w:r>
              <w:rPr>
                <w:b w:val="0"/>
                <w:i w:val="0"/>
                <w:sz w:val="18"/>
              </w:rPr>
              <w:t>Distributor AI back office</w:t>
            </w:r>
          </w:p>
        </w:tc>
        <w:tc>
          <w:tcPr>
            <w:tcW w:type="dxa" w:w="3264"/>
            <w:tcMar>
              <w:top w:w="100" w:type="dxa"/>
              <w:start w:w="120" w:type="dxa"/>
              <w:bottom w:w="100" w:type="dxa"/>
              <w:end w:w="120" w:type="dxa"/>
            </w:tcMar>
            <w:vAlign w:val="center"/>
            <w:shd w:fill="F3F5F7"/>
          </w:tcPr>
          <w:p>
            <w:pPr>
              <w:spacing w:before="0" w:after="0" w:line="264" w:lineRule="auto"/>
            </w:pPr>
            <w:r>
              <w:rPr>
                <w:b w:val="0"/>
                <w:i w:val="0"/>
                <w:sz w:val="18"/>
              </w:rPr>
              <w:t>Anchr, Choco, Burnt, Arbia, Solute, Pepper, Fresho, Didero, Keychain</w:t>
            </w:r>
          </w:p>
        </w:tc>
        <w:tc>
          <w:tcPr>
            <w:tcW w:type="dxa" w:w="3264"/>
            <w:tcMar>
              <w:top w:w="100" w:type="dxa"/>
              <w:start w:w="120" w:type="dxa"/>
              <w:bottom w:w="100" w:type="dxa"/>
              <w:end w:w="120" w:type="dxa"/>
            </w:tcMar>
            <w:vAlign w:val="center"/>
            <w:shd w:fill="F3F5F7"/>
          </w:tcPr>
          <w:p>
            <w:pPr>
              <w:spacing w:before="0" w:after="0" w:line="264" w:lineRule="auto"/>
            </w:pPr>
            <w:r>
              <w:rPr>
                <w:b w:val="0"/>
                <w:i w:val="0"/>
                <w:sz w:val="18"/>
              </w:rPr>
              <w:t>Potentially dangerous over time. They may expand from orders/procurement into traceability operations.</w:t>
            </w:r>
          </w:p>
        </w:tc>
      </w:tr>
    </w:tbl>
    <w:p/>
    <w:p>
      <w:pPr>
        <w:spacing w:before="240" w:after="100" w:line="276" w:lineRule="auto"/>
      </w:pPr>
      <w:r>
        <w:rPr>
          <w:b/>
          <w:i w:val="0"/>
          <w:color w:val="17365D"/>
          <w:sz w:val="32"/>
        </w:rPr>
        <w:t>5. What Is Happening In The Market</w:t>
      </w:r>
    </w:p>
    <w:p>
      <w:pPr>
        <w:pStyle w:val="ListBullet"/>
        <w:spacing w:before="0" w:after="60" w:line="276" w:lineRule="auto"/>
      </w:pPr>
      <w:r>
        <w:rPr>
          <w:b w:val="0"/>
          <w:i w:val="0"/>
          <w:sz w:val="21"/>
        </w:rPr>
        <w:t>FSMA 204 has moved traceability from a nice-to-have into a board-level compliance and operations issue. FDA has extended enforcement timing, but the operational work is still large.</w:t>
      </w:r>
    </w:p>
    <w:p>
      <w:pPr>
        <w:pStyle w:val="ListBullet"/>
        <w:spacing w:before="0" w:after="60" w:line="276" w:lineRule="auto"/>
      </w:pPr>
      <w:r>
        <w:rPr>
          <w:b w:val="0"/>
          <w:i w:val="0"/>
          <w:sz w:val="21"/>
        </w:rPr>
        <w:t>Large systems are racing to become the record exchange layer: ReposiTrak, iFoodDS, FoodLogiQ, Starfish, TagOne, Kezzler, Antares/rfxcel, and others.</w:t>
      </w:r>
    </w:p>
    <w:p>
      <w:pPr>
        <w:pStyle w:val="ListBullet"/>
        <w:spacing w:before="0" w:after="60" w:line="276" w:lineRule="auto"/>
      </w:pPr>
      <w:r>
        <w:rPr>
          <w:b w:val="0"/>
          <w:i w:val="0"/>
          <w:sz w:val="21"/>
        </w:rPr>
        <w:t>ERP, WMS, EDI, labeling, and GS1 vendors are adding more FSMA language because they already touch product, lot, label, and transaction data.</w:t>
      </w:r>
    </w:p>
    <w:p>
      <w:pPr>
        <w:pStyle w:val="ListBullet"/>
        <w:spacing w:before="0" w:after="60" w:line="276" w:lineRule="auto"/>
      </w:pPr>
      <w:r>
        <w:rPr>
          <w:b w:val="0"/>
          <w:i w:val="0"/>
          <w:sz w:val="21"/>
        </w:rPr>
        <w:t>AI distributor back-office companies such as Anchr, Choco, Burnt, Arbia, and Solute may become indirect competitors if they expand from ordering/procurement into traceability operations.</w:t>
      </w:r>
    </w:p>
    <w:p>
      <w:pPr>
        <w:pStyle w:val="ListBullet"/>
        <w:spacing w:before="0" w:after="60" w:line="276" w:lineRule="auto"/>
      </w:pPr>
      <w:r>
        <w:rPr>
          <w:b w:val="0"/>
          <w:i w:val="0"/>
          <w:sz w:val="21"/>
        </w:rPr>
        <w:t>The least solved area is not record storage. It is messy exception handling across suppliers, documents, labels, EDI, item masters, receiving, QA, and audit output.</w:t>
      </w:r>
    </w:p>
    <w:p>
      <w:pPr>
        <w:spacing w:before="240" w:after="100" w:line="276" w:lineRule="auto"/>
      </w:pPr>
      <w:r>
        <w:rPr>
          <w:b/>
          <w:i w:val="0"/>
          <w:color w:val="17365D"/>
          <w:sz w:val="32"/>
        </w:rPr>
        <w:t>6. How To Position Against The Market</w:t>
      </w:r>
    </w:p>
    <w:tbl>
      <w:tblPr>
        <w:tblW w:type="auto" w:w="0"/>
        <w:tblLayout w:type="fixed"/>
        <w:tblLook w:firstColumn="1" w:firstRow="1" w:lastColumn="0" w:lastRow="0" w:noHBand="0" w:noVBand="1" w:val="04A0"/>
        <w:tblBorders>
          <w:top w:val="single" w:sz="8" w:space="0" w:color="D6DCE5"/>
          <w:left w:val="single" w:sz="8" w:space="0" w:color="D6DCE5"/>
          <w:bottom w:val="single" w:sz="8" w:space="0" w:color="D6DCE5"/>
          <w:right w:val="single" w:sz="8" w:space="0" w:color="D6DCE5"/>
          <w:insideH w:val="single" w:sz="8" w:space="0" w:color="D6DCE5"/>
          <w:insideV w:val="single" w:sz="8" w:space="0" w:color="D6DCE5"/>
        </w:tblBorders>
      </w:tblPr>
      <w:tblGrid>
        <w:gridCol w:w="9792"/>
      </w:tblGrid>
      <w:tr>
        <w:tc>
          <w:tcPr>
            <w:tcW w:type="dxa" w:w="9144"/>
            <w:shd w:fill="EEF5FB"/>
            <w:tcMar>
              <w:top w:w="140" w:type="dxa"/>
              <w:start w:w="180" w:type="dxa"/>
              <w:bottom w:w="140" w:type="dxa"/>
              <w:end w:w="180" w:type="dxa"/>
            </w:tcMar>
            <w:vAlign w:val="center"/>
          </w:tcPr>
          <w:p>
            <w:pPr>
              <w:spacing w:before="0" w:after="60" w:line="276" w:lineRule="auto"/>
            </w:pPr>
            <w:r>
              <w:rPr>
                <w:b/>
                <w:i w:val="0"/>
                <w:color w:val="17365D"/>
                <w:sz w:val="22"/>
              </w:rPr>
              <w:t>Strongest buyer-facing line</w:t>
            </w:r>
          </w:p>
          <w:p>
            <w:pPr>
              <w:spacing w:before="0" w:after="0" w:line="276" w:lineRule="auto"/>
            </w:pPr>
            <w:r>
              <w:rPr>
                <w:b w:val="0"/>
                <w:i w:val="0"/>
                <w:sz w:val="21"/>
              </w:rPr>
              <w:t>We fix broken supplier traceability records before they break your ERP, WMS, EDI, ReposiTrak, iFoodDS, FoodLogiQ, Starfish, or FDA audit.</w:t>
            </w:r>
          </w:p>
        </w:tc>
      </w:tr>
    </w:tbl>
    <w:p/>
    <w:p>
      <w:pPr>
        <w:spacing w:before="0" w:after="140" w:line="276" w:lineRule="auto"/>
      </w:pPr>
      <w:r>
        <w:rPr>
          <w:b w:val="0"/>
          <w:i w:val="0"/>
          <w:sz w:val="21"/>
        </w:rPr>
        <w:t>Do not lead with:</w:t>
      </w:r>
    </w:p>
    <w:p>
      <w:pPr>
        <w:pStyle w:val="ListBullet"/>
        <w:spacing w:before="0" w:after="60" w:line="276" w:lineRule="auto"/>
      </w:pPr>
      <w:r>
        <w:rPr>
          <w:b w:val="0"/>
          <w:i w:val="0"/>
          <w:sz w:val="21"/>
        </w:rPr>
        <w:t>Another FSMA 204 platform</w:t>
      </w:r>
    </w:p>
    <w:p>
      <w:pPr>
        <w:pStyle w:val="ListBullet"/>
        <w:spacing w:before="0" w:after="60" w:line="276" w:lineRule="auto"/>
      </w:pPr>
      <w:r>
        <w:rPr>
          <w:b w:val="0"/>
          <w:i w:val="0"/>
          <w:sz w:val="21"/>
        </w:rPr>
        <w:t>A document scanner</w:t>
      </w:r>
    </w:p>
    <w:p>
      <w:pPr>
        <w:pStyle w:val="ListBullet"/>
        <w:spacing w:before="0" w:after="60" w:line="276" w:lineRule="auto"/>
      </w:pPr>
      <w:r>
        <w:rPr>
          <w:b w:val="0"/>
          <w:i w:val="0"/>
          <w:sz w:val="21"/>
        </w:rPr>
        <w:t>A replacement for ERP, WMS, EDI, or traceability networks</w:t>
      </w:r>
    </w:p>
    <w:p>
      <w:pPr>
        <w:spacing w:before="0" w:after="140" w:line="276" w:lineRule="auto"/>
      </w:pPr>
      <w:r>
        <w:rPr>
          <w:b w:val="0"/>
          <w:i w:val="0"/>
          <w:sz w:val="21"/>
        </w:rPr>
        <w:t>Lead with:</w:t>
      </w:r>
    </w:p>
    <w:p>
      <w:pPr>
        <w:pStyle w:val="ListBullet"/>
        <w:spacing w:before="0" w:after="60" w:line="276" w:lineRule="auto"/>
      </w:pPr>
      <w:r>
        <w:rPr>
          <w:b w:val="0"/>
          <w:i w:val="0"/>
          <w:sz w:val="21"/>
        </w:rPr>
        <w:t>Exception repair for messy supplier records</w:t>
      </w:r>
    </w:p>
    <w:p>
      <w:pPr>
        <w:pStyle w:val="ListBullet"/>
        <w:spacing w:before="0" w:after="60" w:line="276" w:lineRule="auto"/>
      </w:pPr>
      <w:r>
        <w:rPr>
          <w:b w:val="0"/>
          <w:i w:val="0"/>
          <w:sz w:val="21"/>
        </w:rPr>
        <w:t>Distributor traceability operations</w:t>
      </w:r>
    </w:p>
    <w:p>
      <w:pPr>
        <w:pStyle w:val="ListBullet"/>
        <w:spacing w:before="0" w:after="60" w:line="276" w:lineRule="auto"/>
      </w:pPr>
      <w:r>
        <w:rPr>
          <w:b w:val="0"/>
          <w:i w:val="0"/>
          <w:sz w:val="21"/>
        </w:rPr>
        <w:t>Clean KDE/CTE output into the systems the customer already uses</w:t>
      </w:r>
    </w:p>
    <w:p>
      <w:pPr>
        <w:pStyle w:val="ListBullet"/>
        <w:spacing w:before="0" w:after="60" w:line="276" w:lineRule="auto"/>
      </w:pPr>
      <w:r>
        <w:rPr>
          <w:b w:val="0"/>
          <w:i w:val="0"/>
          <w:sz w:val="21"/>
        </w:rPr>
        <w:t>Proof-backed audit trail and supplier follow-up workflow</w:t>
      </w:r>
    </w:p>
    <w:p>
      <w:pPr>
        <w:spacing w:before="240" w:after="100" w:line="276" w:lineRule="auto"/>
      </w:pPr>
      <w:r>
        <w:rPr>
          <w:b/>
          <w:i w:val="0"/>
          <w:color w:val="17365D"/>
          <w:sz w:val="32"/>
        </w:rPr>
        <w:t>7. MVP Pipeline</w:t>
      </w:r>
    </w:p>
    <w:tbl>
      <w:tblPr>
        <w:tblW w:type="auto" w:w="0"/>
        <w:tblLayout w:type="fixed"/>
        <w:tblLook w:firstColumn="1" w:firstRow="1" w:lastColumn="0" w:lastRow="0" w:noHBand="0" w:noVBand="1" w:val="04A0"/>
        <w:tblBorders>
          <w:top w:val="single" w:sz="6" w:space="0" w:color="D6DCE5"/>
          <w:left w:val="single" w:sz="6" w:space="0" w:color="D6DCE5"/>
          <w:bottom w:val="single" w:sz="6" w:space="0" w:color="D6DCE5"/>
          <w:right w:val="single" w:sz="6" w:space="0" w:color="D6DCE5"/>
          <w:insideH w:val="single" w:sz="6" w:space="0" w:color="D6DCE5"/>
          <w:insideV w:val="single" w:sz="6" w:space="0" w:color="D6DCE5"/>
        </w:tblBorders>
      </w:tblPr>
      <w:tblGrid>
        <w:gridCol w:w="4896"/>
        <w:gridCol w:w="4896"/>
      </w:tblGrid>
      <w:tr>
        <w:tc>
          <w:tcPr>
            <w:tcW w:type="dxa" w:w="2088"/>
            <w:shd w:fill="17365D"/>
            <w:tcMar>
              <w:top w:w="110" w:type="dxa"/>
              <w:start w:w="120" w:type="dxa"/>
              <w:bottom w:w="110" w:type="dxa"/>
              <w:end w:w="120" w:type="dxa"/>
            </w:tcMar>
            <w:vAlign w:val="center"/>
          </w:tcPr>
          <w:p>
            <w:pPr>
              <w:spacing w:before="0" w:after="0" w:line="276" w:lineRule="auto"/>
            </w:pPr>
            <w:r>
              <w:rPr>
                <w:b/>
                <w:i w:val="0"/>
                <w:color w:val="FFFFFF"/>
                <w:sz w:val="19"/>
              </w:rPr>
              <w:t>MVP Step</w:t>
            </w:r>
          </w:p>
        </w:tc>
        <w:tc>
          <w:tcPr>
            <w:tcW w:type="dxa" w:w="7056"/>
            <w:shd w:fill="17365D"/>
            <w:tcMar>
              <w:top w:w="110" w:type="dxa"/>
              <w:start w:w="120" w:type="dxa"/>
              <w:bottom w:w="110" w:type="dxa"/>
              <w:end w:w="120" w:type="dxa"/>
            </w:tcMar>
            <w:vAlign w:val="center"/>
          </w:tcPr>
          <w:p>
            <w:pPr>
              <w:spacing w:before="0" w:after="0" w:line="276" w:lineRule="auto"/>
            </w:pPr>
            <w:r>
              <w:rPr>
                <w:b/>
                <w:i w:val="0"/>
                <w:color w:val="FFFFFF"/>
                <w:sz w:val="19"/>
              </w:rPr>
              <w:t>What To Build / Deliver</w:t>
            </w:r>
          </w:p>
        </w:tc>
      </w:tr>
      <w:tr>
        <w:tc>
          <w:tcPr>
            <w:tcW w:type="dxa" w:w="4896"/>
            <w:tcMar>
              <w:top w:w="100" w:type="dxa"/>
              <w:start w:w="120" w:type="dxa"/>
              <w:bottom w:w="100" w:type="dxa"/>
              <w:end w:w="120" w:type="dxa"/>
            </w:tcMar>
            <w:vAlign w:val="center"/>
          </w:tcPr>
          <w:p>
            <w:pPr>
              <w:spacing w:before="0" w:after="0" w:line="264" w:lineRule="auto"/>
            </w:pPr>
            <w:r>
              <w:rPr>
                <w:b w:val="0"/>
                <w:i w:val="0"/>
                <w:sz w:val="18"/>
              </w:rPr>
              <w:t>Input</w:t>
            </w:r>
          </w:p>
        </w:tc>
        <w:tc>
          <w:tcPr>
            <w:tcW w:type="dxa" w:w="4896"/>
            <w:tcMar>
              <w:top w:w="100" w:type="dxa"/>
              <w:start w:w="120" w:type="dxa"/>
              <w:bottom w:w="100" w:type="dxa"/>
              <w:end w:w="120" w:type="dxa"/>
            </w:tcMar>
            <w:vAlign w:val="center"/>
          </w:tcPr>
          <w:p>
            <w:pPr>
              <w:spacing w:before="0" w:after="0" w:line="264" w:lineRule="auto"/>
            </w:pPr>
            <w:r>
              <w:rPr>
                <w:b w:val="0"/>
                <w:i w:val="0"/>
                <w:sz w:val="18"/>
              </w:rPr>
              <w:t>20-50 redacted shipment record sets: invoice, BOL, packing slip, ASN, label photo, receiving record.</w:t>
            </w:r>
          </w:p>
        </w:tc>
      </w:tr>
      <w:tr>
        <w:tc>
          <w:tcPr>
            <w:tcW w:type="dxa" w:w="4896"/>
            <w:tcMar>
              <w:top w:w="100" w:type="dxa"/>
              <w:start w:w="120" w:type="dxa"/>
              <w:bottom w:w="100" w:type="dxa"/>
              <w:end w:w="120" w:type="dxa"/>
            </w:tcMar>
            <w:vAlign w:val="center"/>
            <w:shd w:fill="F3F5F7"/>
          </w:tcPr>
          <w:p>
            <w:pPr>
              <w:spacing w:before="0" w:after="0" w:line="264" w:lineRule="auto"/>
            </w:pPr>
            <w:r>
              <w:rPr>
                <w:b w:val="0"/>
                <w:i w:val="0"/>
                <w:sz w:val="18"/>
              </w:rPr>
              <w:t>AI extraction</w:t>
            </w:r>
          </w:p>
        </w:tc>
        <w:tc>
          <w:tcPr>
            <w:tcW w:type="dxa" w:w="4896"/>
            <w:tcMar>
              <w:top w:w="100" w:type="dxa"/>
              <w:start w:w="120" w:type="dxa"/>
              <w:bottom w:w="100" w:type="dxa"/>
              <w:end w:w="120" w:type="dxa"/>
            </w:tcMar>
            <w:vAlign w:val="center"/>
            <w:shd w:fill="F3F5F7"/>
          </w:tcPr>
          <w:p>
            <w:pPr>
              <w:spacing w:before="0" w:after="0" w:line="264" w:lineRule="auto"/>
            </w:pPr>
            <w:r>
              <w:rPr>
                <w:b w:val="0"/>
                <w:i w:val="0"/>
                <w:sz w:val="18"/>
              </w:rPr>
              <w:t>Pull product, SKU, GTIN, lot, quantity, dates, TLC/source, supplier, destination, and reference IDs.</w:t>
            </w:r>
          </w:p>
        </w:tc>
      </w:tr>
      <w:tr>
        <w:tc>
          <w:tcPr>
            <w:tcW w:type="dxa" w:w="4896"/>
            <w:tcMar>
              <w:top w:w="100" w:type="dxa"/>
              <w:start w:w="120" w:type="dxa"/>
              <w:bottom w:w="100" w:type="dxa"/>
              <w:end w:w="120" w:type="dxa"/>
            </w:tcMar>
            <w:vAlign w:val="center"/>
          </w:tcPr>
          <w:p>
            <w:pPr>
              <w:spacing w:before="0" w:after="0" w:line="264" w:lineRule="auto"/>
            </w:pPr>
            <w:r>
              <w:rPr>
                <w:b w:val="0"/>
                <w:i w:val="0"/>
                <w:sz w:val="18"/>
              </w:rPr>
              <w:t>Matching</w:t>
            </w:r>
          </w:p>
        </w:tc>
        <w:tc>
          <w:tcPr>
            <w:tcW w:type="dxa" w:w="4896"/>
            <w:tcMar>
              <w:top w:w="100" w:type="dxa"/>
              <w:start w:w="120" w:type="dxa"/>
              <w:bottom w:w="100" w:type="dxa"/>
              <w:end w:w="120" w:type="dxa"/>
            </w:tcMar>
            <w:vAlign w:val="center"/>
          </w:tcPr>
          <w:p>
            <w:pPr>
              <w:spacing w:before="0" w:after="0" w:line="264" w:lineRule="auto"/>
            </w:pPr>
            <w:r>
              <w:rPr>
                <w:b w:val="0"/>
                <w:i w:val="0"/>
                <w:sz w:val="18"/>
              </w:rPr>
              <w:t>Match supplier SKU to buyer SKU and compare invoice vs ASN vs label vs receiving data.</w:t>
            </w:r>
          </w:p>
        </w:tc>
      </w:tr>
      <w:tr>
        <w:tc>
          <w:tcPr>
            <w:tcW w:type="dxa" w:w="4896"/>
            <w:tcMar>
              <w:top w:w="100" w:type="dxa"/>
              <w:start w:w="120" w:type="dxa"/>
              <w:bottom w:w="100" w:type="dxa"/>
              <w:end w:w="120" w:type="dxa"/>
            </w:tcMar>
            <w:vAlign w:val="center"/>
            <w:shd w:fill="F3F5F7"/>
          </w:tcPr>
          <w:p>
            <w:pPr>
              <w:spacing w:before="0" w:after="0" w:line="264" w:lineRule="auto"/>
            </w:pPr>
            <w:r>
              <w:rPr>
                <w:b w:val="0"/>
                <w:i w:val="0"/>
                <w:sz w:val="18"/>
              </w:rPr>
              <w:t>Exception detection</w:t>
            </w:r>
          </w:p>
        </w:tc>
        <w:tc>
          <w:tcPr>
            <w:tcW w:type="dxa" w:w="4896"/>
            <w:tcMar>
              <w:top w:w="100" w:type="dxa"/>
              <w:start w:w="120" w:type="dxa"/>
              <w:bottom w:w="100" w:type="dxa"/>
              <w:end w:w="120" w:type="dxa"/>
            </w:tcMar>
            <w:vAlign w:val="center"/>
            <w:shd w:fill="F3F5F7"/>
          </w:tcPr>
          <w:p>
            <w:pPr>
              <w:spacing w:before="0" w:after="0" w:line="264" w:lineRule="auto"/>
            </w:pPr>
            <w:r>
              <w:rPr>
                <w:b w:val="0"/>
                <w:i w:val="0"/>
                <w:sz w:val="18"/>
              </w:rPr>
              <w:t>Flag missing KDEs, conflicting fields, impossible quantities, missing TLC, bad lot/date data.</w:t>
            </w:r>
          </w:p>
        </w:tc>
      </w:tr>
      <w:tr>
        <w:tc>
          <w:tcPr>
            <w:tcW w:type="dxa" w:w="4896"/>
            <w:tcMar>
              <w:top w:w="100" w:type="dxa"/>
              <w:start w:w="120" w:type="dxa"/>
              <w:bottom w:w="100" w:type="dxa"/>
              <w:end w:w="120" w:type="dxa"/>
            </w:tcMar>
            <w:vAlign w:val="center"/>
          </w:tcPr>
          <w:p>
            <w:pPr>
              <w:spacing w:before="0" w:after="0" w:line="264" w:lineRule="auto"/>
            </w:pPr>
            <w:r>
              <w:rPr>
                <w:b w:val="0"/>
                <w:i w:val="0"/>
                <w:sz w:val="18"/>
              </w:rPr>
              <w:t>Human workflow</w:t>
            </w:r>
          </w:p>
        </w:tc>
        <w:tc>
          <w:tcPr>
            <w:tcW w:type="dxa" w:w="4896"/>
            <w:tcMar>
              <w:top w:w="100" w:type="dxa"/>
              <w:start w:w="120" w:type="dxa"/>
              <w:bottom w:w="100" w:type="dxa"/>
              <w:end w:w="120" w:type="dxa"/>
            </w:tcMar>
            <w:vAlign w:val="center"/>
          </w:tcPr>
          <w:p>
            <w:pPr>
              <w:spacing w:before="0" w:after="0" w:line="264" w:lineRule="auto"/>
            </w:pPr>
            <w:r>
              <w:rPr>
                <w:b w:val="0"/>
                <w:i w:val="0"/>
                <w:sz w:val="18"/>
              </w:rPr>
              <w:t>Generate supplier follow-up drafts and route exceptions to QA, EDI, receiving, or buyer team.</w:t>
            </w:r>
          </w:p>
        </w:tc>
      </w:tr>
      <w:tr>
        <w:tc>
          <w:tcPr>
            <w:tcW w:type="dxa" w:w="4896"/>
            <w:tcMar>
              <w:top w:w="100" w:type="dxa"/>
              <w:start w:w="120" w:type="dxa"/>
              <w:bottom w:w="100" w:type="dxa"/>
              <w:end w:w="120" w:type="dxa"/>
            </w:tcMar>
            <w:vAlign w:val="center"/>
            <w:shd w:fill="F3F5F7"/>
          </w:tcPr>
          <w:p>
            <w:pPr>
              <w:spacing w:before="0" w:after="0" w:line="264" w:lineRule="auto"/>
            </w:pPr>
            <w:r>
              <w:rPr>
                <w:b w:val="0"/>
                <w:i w:val="0"/>
                <w:sz w:val="18"/>
              </w:rPr>
              <w:t>Output</w:t>
            </w:r>
          </w:p>
        </w:tc>
        <w:tc>
          <w:tcPr>
            <w:tcW w:type="dxa" w:w="4896"/>
            <w:tcMar>
              <w:top w:w="100" w:type="dxa"/>
              <w:start w:w="120" w:type="dxa"/>
              <w:bottom w:w="100" w:type="dxa"/>
              <w:end w:w="120" w:type="dxa"/>
            </w:tcMar>
            <w:vAlign w:val="center"/>
            <w:shd w:fill="F3F5F7"/>
          </w:tcPr>
          <w:p>
            <w:pPr>
              <w:spacing w:before="0" w:after="0" w:line="264" w:lineRule="auto"/>
            </w:pPr>
            <w:r>
              <w:rPr>
                <w:b w:val="0"/>
                <w:i w:val="0"/>
                <w:sz w:val="18"/>
              </w:rPr>
              <w:t>Clean KDE records, FDA-style sortable spreadsheet, ERP/WMS import file, exception report, and audit trail.</w:t>
            </w:r>
          </w:p>
        </w:tc>
      </w:tr>
    </w:tbl>
    <w:p/>
    <w:p>
      <w:pPr>
        <w:spacing w:before="240" w:after="100" w:line="276" w:lineRule="auto"/>
      </w:pPr>
      <w:r>
        <w:rPr>
          <w:b/>
          <w:i w:val="0"/>
          <w:color w:val="17365D"/>
          <w:sz w:val="32"/>
        </w:rPr>
        <w:t>8. Best First Customer</w:t>
      </w:r>
    </w:p>
    <w:p>
      <w:pPr>
        <w:spacing w:before="0" w:after="140" w:line="276" w:lineRule="auto"/>
      </w:pPr>
      <w:r>
        <w:rPr>
          <w:b w:val="0"/>
          <w:i w:val="0"/>
          <w:sz w:val="21"/>
        </w:rPr>
        <w:t>The strongest initial customer is a mid-market food distributor that receives high-risk or perishable categories from many suppliers and still uses a mix of ERP, EDI, email, PDFs, spreadsheets, label scans, and manual receiving checks.</w:t>
      </w:r>
    </w:p>
    <w:p>
      <w:pPr>
        <w:pStyle w:val="ListBullet"/>
        <w:spacing w:before="0" w:after="60" w:line="276" w:lineRule="auto"/>
      </w:pPr>
      <w:r>
        <w:rPr>
          <w:b w:val="0"/>
          <w:i w:val="0"/>
          <w:sz w:val="21"/>
        </w:rPr>
        <w:t>Best wedge: KDE Coverage Audit on 20-50 real but redacted shipment record sets.</w:t>
      </w:r>
    </w:p>
    <w:p>
      <w:pPr>
        <w:pStyle w:val="ListBullet"/>
        <w:spacing w:before="0" w:after="60" w:line="276" w:lineRule="auto"/>
      </w:pPr>
      <w:r>
        <w:rPr>
          <w:b w:val="0"/>
          <w:i w:val="0"/>
          <w:sz w:val="21"/>
        </w:rPr>
        <w:t>Best paid pilot: monthly managed traceability exception desk.</w:t>
      </w:r>
    </w:p>
    <w:p>
      <w:pPr>
        <w:pStyle w:val="ListBullet"/>
        <w:spacing w:before="0" w:after="60" w:line="276" w:lineRule="auto"/>
      </w:pPr>
      <w:r>
        <w:rPr>
          <w:b w:val="0"/>
          <w:i w:val="0"/>
          <w:sz w:val="21"/>
        </w:rPr>
        <w:t>Best proof: percent of shipments with missing/conflicting KDEs, time saved, supplier gaps found, clean spreadsheet/export produced.</w:t>
      </w:r>
    </w:p>
    <w:p>
      <w:pPr>
        <w:spacing w:before="240" w:after="100" w:line="276" w:lineRule="auto"/>
      </w:pPr>
      <w:r>
        <w:rPr>
          <w:b/>
          <w:i w:val="0"/>
          <w:color w:val="17365D"/>
          <w:sz w:val="32"/>
        </w:rPr>
        <w:t>9. Key Sources</w:t>
      </w:r>
    </w:p>
    <w:p>
      <w:pPr>
        <w:pStyle w:val="ListBullet"/>
        <w:spacing w:before="0" w:after="60" w:line="276" w:lineRule="auto"/>
      </w:pPr>
      <w:r>
        <w:rPr>
          <w:b w:val="0"/>
          <w:i w:val="0"/>
          <w:sz w:val="21"/>
        </w:rPr>
        <w:t>FDA FSMA Food Traceability Rule: https://www.fda.gov/food/food-safety-modernization-act-fsma/fsma-proposed-rule-food-traceability</w:t>
      </w:r>
    </w:p>
    <w:p>
      <w:pPr>
        <w:pStyle w:val="ListBullet"/>
        <w:spacing w:before="0" w:after="60" w:line="276" w:lineRule="auto"/>
      </w:pPr>
      <w:r>
        <w:rPr>
          <w:b w:val="0"/>
          <w:i w:val="0"/>
          <w:sz w:val="21"/>
        </w:rPr>
        <w:t>ReposiTrak traceability/error correction: https://www.foodlogistics.com/warehousing/packaging/news/22961345/repositrak-repositraks-touchless-error-correction-technology-improves-traceability-data</w:t>
      </w:r>
    </w:p>
    <w:p>
      <w:pPr>
        <w:pStyle w:val="ListBullet"/>
        <w:spacing w:before="0" w:after="60" w:line="276" w:lineRule="auto"/>
      </w:pPr>
      <w:r>
        <w:rPr>
          <w:b w:val="0"/>
          <w:i w:val="0"/>
          <w:sz w:val="21"/>
        </w:rPr>
        <w:t>iFoodDS / IBM FSMA 204 Trace Exchange: https://www.foodlogistics.com/safety-security/food-safety/news/22873405/ifoodds-ibm-ifoodds-launch-new-solution-to-address-fsma-204-food-traceability-rule</w:t>
      </w:r>
    </w:p>
    <w:p>
      <w:pPr>
        <w:pStyle w:val="ListBullet"/>
        <w:spacing w:before="0" w:after="60" w:line="276" w:lineRule="auto"/>
      </w:pPr>
      <w:r>
        <w:rPr>
          <w:b w:val="0"/>
          <w:i w:val="0"/>
          <w:sz w:val="21"/>
        </w:rPr>
        <w:t>TrueCommerce FSMA 204 KDE/CTE guide: https://www.truecommerce.com/blog/fsma-204-kdes-ctes-guide/</w:t>
      </w:r>
    </w:p>
    <w:p>
      <w:pPr>
        <w:pStyle w:val="ListBullet"/>
        <w:spacing w:before="0" w:after="60" w:line="276" w:lineRule="auto"/>
      </w:pPr>
      <w:r>
        <w:rPr>
          <w:b w:val="0"/>
          <w:i w:val="0"/>
          <w:sz w:val="21"/>
        </w:rPr>
        <w:t>Starfish FSMA 204 / interoperability: https://www.starfish-network.com/</w:t>
      </w:r>
    </w:p>
    <w:p>
      <w:pPr>
        <w:pStyle w:val="ListBullet"/>
        <w:spacing w:before="0" w:after="60" w:line="276" w:lineRule="auto"/>
      </w:pPr>
      <w:r>
        <w:rPr>
          <w:b w:val="0"/>
          <w:i w:val="0"/>
          <w:sz w:val="21"/>
        </w:rPr>
        <w:t>Trace One PLM: https://www.traceone.com/formula-based-product-lifecycle-management-software</w:t>
      </w:r>
    </w:p>
    <w:p>
      <w:pPr>
        <w:pStyle w:val="ListBullet"/>
        <w:spacing w:before="0" w:after="60" w:line="276" w:lineRule="auto"/>
      </w:pPr>
      <w:r>
        <w:rPr>
          <w:b w:val="0"/>
          <w:i w:val="0"/>
          <w:sz w:val="21"/>
        </w:rPr>
        <w:t>Loftware FSMA 204 labeling: https://www.loftware.com/resources/white-papers/2024/supply-chain-fsma-204-compliance-ready</w:t>
      </w:r>
    </w:p>
    <w:p>
      <w:pPr>
        <w:pStyle w:val="ListBullet"/>
        <w:spacing w:before="0" w:after="60" w:line="276" w:lineRule="auto"/>
      </w:pPr>
      <w:r>
        <w:rPr>
          <w:b w:val="0"/>
          <w:i w:val="0"/>
          <w:sz w:val="21"/>
        </w:rPr>
        <w:t>TEKLYNX FSMA label management: https://www.teklynx.com/en-EMEA/products/regulatory-compliance/fsma</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66666"/>
        <w:sz w:val="16"/>
      </w:rPr>
      <w:t>Food Traceability Market Map | AI Traceability Exception Desk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