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8EBF" w14:textId="77777777" w:rsidR="00575EBF" w:rsidRPr="00575EBF" w:rsidRDefault="00575EBF" w:rsidP="00575EBF">
      <w:pPr>
        <w:spacing w:after="0"/>
        <w:ind w:firstLine="709"/>
        <w:jc w:val="both"/>
        <w:rPr>
          <w:b/>
          <w:bCs/>
        </w:rPr>
      </w:pPr>
      <w:r w:rsidRPr="00575EBF">
        <w:rPr>
          <w:rFonts w:ascii="Segoe UI Emoji" w:hAnsi="Segoe UI Emoji" w:cs="Segoe UI Emoji"/>
          <w:b/>
          <w:bCs/>
        </w:rPr>
        <w:t>🔹</w:t>
      </w:r>
      <w:r w:rsidRPr="00575EBF">
        <w:rPr>
          <w:b/>
          <w:bCs/>
        </w:rPr>
        <w:t xml:space="preserve"> Как SADT вписывается в твою методологию</w:t>
      </w:r>
    </w:p>
    <w:p w14:paraId="6A46EDE1" w14:textId="77777777" w:rsidR="00575EBF" w:rsidRPr="00575EBF" w:rsidRDefault="00575EBF" w:rsidP="00575EBF">
      <w:pPr>
        <w:spacing w:after="0"/>
        <w:ind w:firstLine="709"/>
        <w:jc w:val="both"/>
      </w:pPr>
      <w:r w:rsidRPr="00575EBF">
        <w:rPr>
          <w:b/>
          <w:bCs/>
        </w:rPr>
        <w:t>SADT</w:t>
      </w:r>
      <w:r w:rsidRPr="00575EBF">
        <w:t xml:space="preserve"> — это, по сути, </w:t>
      </w:r>
      <w:r w:rsidRPr="00575EBF">
        <w:rPr>
          <w:b/>
          <w:bCs/>
        </w:rPr>
        <w:t>предшественник IDEF0</w:t>
      </w:r>
      <w:r w:rsidRPr="00575EBF">
        <w:t>, и они концептуально совпадают:</w:t>
      </w:r>
    </w:p>
    <w:p w14:paraId="3E20CF4B" w14:textId="77777777" w:rsidR="00575EBF" w:rsidRPr="00575EBF" w:rsidRDefault="00575EBF" w:rsidP="00575EBF">
      <w:pPr>
        <w:spacing w:after="0"/>
        <w:ind w:firstLine="709"/>
        <w:jc w:val="both"/>
      </w:pPr>
      <w:r w:rsidRPr="00575EBF">
        <w:t>SADT = методология функционального моделирования, а IDEF0 = её стандартизированная реализация.</w:t>
      </w:r>
    </w:p>
    <w:p w14:paraId="0BBD4212" w14:textId="77777777" w:rsidR="00575EBF" w:rsidRPr="00575EBF" w:rsidRDefault="00575EBF" w:rsidP="00575EBF">
      <w:pPr>
        <w:spacing w:after="0"/>
        <w:ind w:firstLine="709"/>
        <w:jc w:val="both"/>
      </w:pPr>
      <w:r w:rsidRPr="00575EBF">
        <w:t xml:space="preserve">То есть можно сказать, что </w:t>
      </w:r>
      <w:r w:rsidRPr="00575EBF">
        <w:rPr>
          <w:b/>
          <w:bCs/>
        </w:rPr>
        <w:t>все твои IDEF0-диаграммы — это частный случай SADT</w:t>
      </w:r>
      <w:r w:rsidRPr="00575EBF">
        <w:t>.</w:t>
      </w:r>
      <w:r w:rsidRPr="00575EBF">
        <w:br/>
        <w:t>Ты можешь спокойно писать в дипломе:</w:t>
      </w:r>
    </w:p>
    <w:p w14:paraId="769C6D80" w14:textId="77777777" w:rsidR="00575EBF" w:rsidRPr="00575EBF" w:rsidRDefault="00575EBF" w:rsidP="00575EBF">
      <w:pPr>
        <w:spacing w:after="0"/>
        <w:ind w:firstLine="709"/>
        <w:jc w:val="both"/>
      </w:pPr>
      <w:r w:rsidRPr="00575EBF">
        <w:t>«Для описания функциональной структуры системы использовалась методология SADT (реализованная в нотации IDEF0)».</w:t>
      </w:r>
    </w:p>
    <w:p w14:paraId="6A21B3D8" w14:textId="77777777" w:rsidR="00575EBF" w:rsidRPr="00575EBF" w:rsidRDefault="00575EBF" w:rsidP="00575EBF">
      <w:pPr>
        <w:spacing w:after="0"/>
        <w:ind w:firstLine="709"/>
        <w:jc w:val="both"/>
      </w:pPr>
      <w:r w:rsidRPr="00575EBF">
        <w:t>Так это будет выглядеть академично и грамотно.</w:t>
      </w:r>
    </w:p>
    <w:p w14:paraId="29FD587C" w14:textId="77777777" w:rsidR="00575EBF" w:rsidRPr="00575EBF" w:rsidRDefault="00575EBF" w:rsidP="00575EBF">
      <w:pPr>
        <w:spacing w:after="0"/>
        <w:ind w:firstLine="709"/>
        <w:jc w:val="both"/>
      </w:pPr>
      <w:r w:rsidRPr="00575EBF">
        <w:pict w14:anchorId="285C3E2F">
          <v:rect id="_x0000_i1049" style="width:0;height:1.5pt" o:hralign="center" o:hrstd="t" o:hr="t" fillcolor="#a0a0a0" stroked="f"/>
        </w:pict>
      </w:r>
    </w:p>
    <w:p w14:paraId="77385FEA" w14:textId="77777777" w:rsidR="00575EBF" w:rsidRPr="00575EBF" w:rsidRDefault="00575EBF" w:rsidP="00575EBF">
      <w:pPr>
        <w:spacing w:after="0"/>
        <w:ind w:firstLine="709"/>
        <w:jc w:val="both"/>
        <w:rPr>
          <w:b/>
          <w:bCs/>
        </w:rPr>
      </w:pPr>
      <w:r w:rsidRPr="00575EBF">
        <w:rPr>
          <w:rFonts w:ascii="Segoe UI Emoji" w:hAnsi="Segoe UI Emoji" w:cs="Segoe UI Emoji"/>
          <w:b/>
          <w:bCs/>
        </w:rPr>
        <w:t>🔹</w:t>
      </w:r>
      <w:r w:rsidRPr="00575EBF">
        <w:rPr>
          <w:b/>
          <w:bCs/>
        </w:rPr>
        <w:t xml:space="preserve"> Где применяются SADT/IDEF0 и DFD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4424"/>
        <w:gridCol w:w="1340"/>
        <w:gridCol w:w="1945"/>
      </w:tblGrid>
      <w:tr w:rsidR="00575EBF" w:rsidRPr="00575EBF" w14:paraId="6F91EB22" w14:textId="77777777" w:rsidTr="00575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4902A" w14:textId="77777777" w:rsidR="00575EBF" w:rsidRPr="00575EBF" w:rsidRDefault="00575EBF" w:rsidP="00575EBF">
            <w:pPr>
              <w:spacing w:after="0"/>
              <w:rPr>
                <w:b/>
                <w:bCs/>
              </w:rPr>
            </w:pPr>
            <w:r w:rsidRPr="00575EBF">
              <w:rPr>
                <w:b/>
                <w:bCs/>
              </w:rPr>
              <w:t>Диаграмма</w:t>
            </w:r>
          </w:p>
        </w:tc>
        <w:tc>
          <w:tcPr>
            <w:tcW w:w="0" w:type="auto"/>
            <w:vAlign w:val="center"/>
            <w:hideMark/>
          </w:tcPr>
          <w:p w14:paraId="37DB7459" w14:textId="77777777" w:rsidR="00575EBF" w:rsidRPr="00575EBF" w:rsidRDefault="00575EBF" w:rsidP="00575EBF">
            <w:pPr>
              <w:spacing w:after="0"/>
              <w:rPr>
                <w:b/>
                <w:bCs/>
              </w:rPr>
            </w:pPr>
            <w:r w:rsidRPr="00575EBF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90B530B" w14:textId="77777777" w:rsidR="00575EBF" w:rsidRPr="00575EBF" w:rsidRDefault="00575EBF" w:rsidP="00575EBF">
            <w:pPr>
              <w:spacing w:after="0"/>
              <w:rPr>
                <w:b/>
                <w:bCs/>
              </w:rPr>
            </w:pPr>
            <w:r w:rsidRPr="00575EBF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427DCF99" w14:textId="77777777" w:rsidR="00575EBF" w:rsidRPr="00575EBF" w:rsidRDefault="00575EBF" w:rsidP="00575EBF">
            <w:pPr>
              <w:spacing w:after="0"/>
              <w:rPr>
                <w:b/>
                <w:bCs/>
              </w:rPr>
            </w:pPr>
            <w:r w:rsidRPr="00575EBF">
              <w:rPr>
                <w:b/>
                <w:bCs/>
              </w:rPr>
              <w:t>Пример для твоего проекта</w:t>
            </w:r>
          </w:p>
        </w:tc>
      </w:tr>
      <w:tr w:rsidR="00575EBF" w:rsidRPr="00575EBF" w14:paraId="51EB6A7B" w14:textId="77777777" w:rsidTr="00575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6D4A" w14:textId="77777777" w:rsidR="00575EBF" w:rsidRPr="00575EBF" w:rsidRDefault="00575EBF" w:rsidP="00575EBF">
            <w:pPr>
              <w:spacing w:after="0"/>
            </w:pPr>
            <w:r w:rsidRPr="00575EBF">
              <w:rPr>
                <w:b/>
                <w:bCs/>
              </w:rPr>
              <w:t>Контекстная диаграмма (A-0)</w:t>
            </w:r>
          </w:p>
        </w:tc>
        <w:tc>
          <w:tcPr>
            <w:tcW w:w="0" w:type="auto"/>
            <w:vAlign w:val="center"/>
            <w:hideMark/>
          </w:tcPr>
          <w:p w14:paraId="47CB8620" w14:textId="77777777" w:rsidR="00575EBF" w:rsidRPr="00575EBF" w:rsidRDefault="00575EBF" w:rsidP="00575EBF">
            <w:pPr>
              <w:spacing w:after="0"/>
            </w:pPr>
            <w:r w:rsidRPr="00575EBF">
              <w:t>Показать систему в окружении, входы/выходы/механизмы/управления</w:t>
            </w:r>
          </w:p>
        </w:tc>
        <w:tc>
          <w:tcPr>
            <w:tcW w:w="0" w:type="auto"/>
            <w:vAlign w:val="center"/>
            <w:hideMark/>
          </w:tcPr>
          <w:p w14:paraId="65E55616" w14:textId="77777777" w:rsidR="00575EBF" w:rsidRPr="00575EBF" w:rsidRDefault="00575EBF" w:rsidP="00575EBF">
            <w:pPr>
              <w:spacing w:after="0"/>
            </w:pPr>
            <w:r w:rsidRPr="00575EBF">
              <w:t>Верхний уровень SADT</w:t>
            </w:r>
          </w:p>
        </w:tc>
        <w:tc>
          <w:tcPr>
            <w:tcW w:w="0" w:type="auto"/>
            <w:vAlign w:val="center"/>
            <w:hideMark/>
          </w:tcPr>
          <w:p w14:paraId="2A246961" w14:textId="77777777" w:rsidR="00575EBF" w:rsidRPr="00575EBF" w:rsidRDefault="00575EBF" w:rsidP="00575EBF">
            <w:pPr>
              <w:spacing w:after="0"/>
            </w:pPr>
            <w:r w:rsidRPr="00575EBF">
              <w:t>«Автоматизация заказов на такси в ВТБ» с внешними субъектами (сотрудник, руководитель, партнёр Яндекс Такси)</w:t>
            </w:r>
          </w:p>
        </w:tc>
      </w:tr>
      <w:tr w:rsidR="00575EBF" w:rsidRPr="00575EBF" w14:paraId="0826637B" w14:textId="77777777" w:rsidTr="00575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CC05" w14:textId="77777777" w:rsidR="00575EBF" w:rsidRPr="00575EBF" w:rsidRDefault="00575EBF" w:rsidP="00575EBF">
            <w:pPr>
              <w:spacing w:after="0"/>
            </w:pPr>
            <w:r w:rsidRPr="00575EBF">
              <w:rPr>
                <w:b/>
                <w:bCs/>
              </w:rPr>
              <w:t>IDEF0 (A0, A1, A2, …)</w:t>
            </w:r>
          </w:p>
        </w:tc>
        <w:tc>
          <w:tcPr>
            <w:tcW w:w="0" w:type="auto"/>
            <w:vAlign w:val="center"/>
            <w:hideMark/>
          </w:tcPr>
          <w:p w14:paraId="4F7FC5C4" w14:textId="77777777" w:rsidR="00575EBF" w:rsidRPr="00575EBF" w:rsidRDefault="00575EBF" w:rsidP="00575EBF">
            <w:pPr>
              <w:spacing w:after="0"/>
            </w:pPr>
            <w:r w:rsidRPr="00575EBF">
              <w:t>Декомпозиция функций — что делает система внутри</w:t>
            </w:r>
          </w:p>
        </w:tc>
        <w:tc>
          <w:tcPr>
            <w:tcW w:w="0" w:type="auto"/>
            <w:vAlign w:val="center"/>
            <w:hideMark/>
          </w:tcPr>
          <w:p w14:paraId="73D2C3E5" w14:textId="77777777" w:rsidR="00575EBF" w:rsidRPr="00575EBF" w:rsidRDefault="00575EBF" w:rsidP="00575EBF">
            <w:pPr>
              <w:spacing w:after="0"/>
            </w:pPr>
            <w:r w:rsidRPr="00575EBF">
              <w:t>Средний уровень SADT</w:t>
            </w:r>
          </w:p>
        </w:tc>
        <w:tc>
          <w:tcPr>
            <w:tcW w:w="0" w:type="auto"/>
            <w:vAlign w:val="center"/>
            <w:hideMark/>
          </w:tcPr>
          <w:p w14:paraId="77B22445" w14:textId="77777777" w:rsidR="00575EBF" w:rsidRPr="00575EBF" w:rsidRDefault="00575EBF" w:rsidP="00575EBF">
            <w:pPr>
              <w:spacing w:after="0"/>
            </w:pPr>
            <w:r w:rsidRPr="00575EBF">
              <w:t>«Обработка заявки», «Контроль лимитов», «Экспорт данных»</w:t>
            </w:r>
          </w:p>
        </w:tc>
      </w:tr>
      <w:tr w:rsidR="00575EBF" w:rsidRPr="00575EBF" w14:paraId="2AAF98FC" w14:textId="77777777" w:rsidTr="00575E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1543" w14:textId="77777777" w:rsidR="00575EBF" w:rsidRPr="00575EBF" w:rsidRDefault="00575EBF" w:rsidP="00575EBF">
            <w:pPr>
              <w:spacing w:after="0"/>
            </w:pPr>
            <w:r w:rsidRPr="00575EBF">
              <w:rPr>
                <w:b/>
                <w:bCs/>
              </w:rPr>
              <w:t xml:space="preserve">DFD (Data </w:t>
            </w:r>
            <w:proofErr w:type="spellStart"/>
            <w:r w:rsidRPr="00575EBF">
              <w:rPr>
                <w:b/>
                <w:bCs/>
              </w:rPr>
              <w:t>Flow</w:t>
            </w:r>
            <w:proofErr w:type="spellEnd"/>
            <w:r w:rsidRPr="00575EBF">
              <w:rPr>
                <w:b/>
                <w:bCs/>
              </w:rPr>
              <w:t xml:space="preserve"> </w:t>
            </w:r>
            <w:proofErr w:type="spellStart"/>
            <w:r w:rsidRPr="00575EBF">
              <w:rPr>
                <w:b/>
                <w:bCs/>
              </w:rPr>
              <w:t>Diagram</w:t>
            </w:r>
            <w:proofErr w:type="spellEnd"/>
            <w:r w:rsidRPr="00575EB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13924B" w14:textId="77777777" w:rsidR="00575EBF" w:rsidRPr="00575EBF" w:rsidRDefault="00575EBF" w:rsidP="00575EBF">
            <w:pPr>
              <w:spacing w:after="0"/>
            </w:pPr>
            <w:r w:rsidRPr="00575EBF">
              <w:t>Потоки данных между процессами и хранилищами</w:t>
            </w:r>
          </w:p>
        </w:tc>
        <w:tc>
          <w:tcPr>
            <w:tcW w:w="0" w:type="auto"/>
            <w:vAlign w:val="center"/>
            <w:hideMark/>
          </w:tcPr>
          <w:p w14:paraId="3FE010C0" w14:textId="77777777" w:rsidR="00575EBF" w:rsidRPr="00575EBF" w:rsidRDefault="00575EBF" w:rsidP="00575EBF">
            <w:pPr>
              <w:spacing w:after="0"/>
            </w:pPr>
            <w:r w:rsidRPr="00575EBF">
              <w:t>Детальный уровень SADT</w:t>
            </w:r>
          </w:p>
        </w:tc>
        <w:tc>
          <w:tcPr>
            <w:tcW w:w="0" w:type="auto"/>
            <w:vAlign w:val="center"/>
            <w:hideMark/>
          </w:tcPr>
          <w:p w14:paraId="11EF76DC" w14:textId="77777777" w:rsidR="00575EBF" w:rsidRPr="00575EBF" w:rsidRDefault="00575EBF" w:rsidP="00575EBF">
            <w:pPr>
              <w:spacing w:after="0"/>
            </w:pPr>
            <w:r w:rsidRPr="00575EBF">
              <w:t>«Передача данных из формы → БД → Excel»</w:t>
            </w:r>
          </w:p>
        </w:tc>
      </w:tr>
    </w:tbl>
    <w:p w14:paraId="2D8CC4D4" w14:textId="77777777" w:rsidR="00575EBF" w:rsidRPr="00575EBF" w:rsidRDefault="00575EBF" w:rsidP="00575EBF">
      <w:pPr>
        <w:spacing w:after="0"/>
        <w:ind w:firstLine="709"/>
        <w:jc w:val="both"/>
      </w:pPr>
      <w:r w:rsidRPr="00575EBF">
        <w:pict w14:anchorId="75CA57E1">
          <v:rect id="_x0000_i1050" style="width:0;height:1.5pt" o:hralign="center" o:hrstd="t" o:hr="t" fillcolor="#a0a0a0" stroked="f"/>
        </w:pict>
      </w:r>
    </w:p>
    <w:p w14:paraId="0C67C539" w14:textId="77777777" w:rsidR="00575EBF" w:rsidRPr="00575EBF" w:rsidRDefault="00575EBF" w:rsidP="00575EBF">
      <w:pPr>
        <w:spacing w:after="0"/>
        <w:ind w:firstLine="709"/>
        <w:jc w:val="both"/>
        <w:rPr>
          <w:b/>
          <w:bCs/>
        </w:rPr>
      </w:pPr>
      <w:r w:rsidRPr="00575EBF">
        <w:rPr>
          <w:rFonts w:ascii="Segoe UI Emoji" w:hAnsi="Segoe UI Emoji" w:cs="Segoe UI Emoji"/>
          <w:b/>
          <w:bCs/>
        </w:rPr>
        <w:t>🔹</w:t>
      </w:r>
      <w:r w:rsidRPr="00575EBF">
        <w:rPr>
          <w:b/>
          <w:bCs/>
        </w:rPr>
        <w:t xml:space="preserve"> Рекомендация по включению в Этап 1</w:t>
      </w:r>
    </w:p>
    <w:p w14:paraId="0405C4C6" w14:textId="77777777" w:rsidR="00575EBF" w:rsidRPr="00575EBF" w:rsidRDefault="00575EBF" w:rsidP="00575EBF">
      <w:pPr>
        <w:numPr>
          <w:ilvl w:val="0"/>
          <w:numId w:val="1"/>
        </w:numPr>
        <w:spacing w:after="0"/>
        <w:jc w:val="both"/>
      </w:pPr>
      <w:r w:rsidRPr="00575EBF">
        <w:t xml:space="preserve">Включи </w:t>
      </w:r>
      <w:r w:rsidRPr="00575EBF">
        <w:rPr>
          <w:b/>
          <w:bCs/>
        </w:rPr>
        <w:t>контекстную A-0</w:t>
      </w:r>
      <w:r w:rsidRPr="00575EBF">
        <w:t xml:space="preserve"> (верхний уровень SADT).</w:t>
      </w:r>
    </w:p>
    <w:p w14:paraId="6C5A81B8" w14:textId="77777777" w:rsidR="00575EBF" w:rsidRPr="00575EBF" w:rsidRDefault="00575EBF" w:rsidP="00575EBF">
      <w:pPr>
        <w:numPr>
          <w:ilvl w:val="0"/>
          <w:numId w:val="1"/>
        </w:numPr>
        <w:spacing w:after="0"/>
        <w:jc w:val="both"/>
      </w:pPr>
      <w:r w:rsidRPr="00575EBF">
        <w:t>При желании — один уровень декомпозиции (A0) с 3–5 основными функциями (например: «Принятие заявки», «Проверка лимита», «Формирование отчёта»).</w:t>
      </w:r>
    </w:p>
    <w:p w14:paraId="672F6CF9" w14:textId="77777777" w:rsidR="00575EBF" w:rsidRPr="00575EBF" w:rsidRDefault="00575EBF" w:rsidP="00575EBF">
      <w:pPr>
        <w:numPr>
          <w:ilvl w:val="0"/>
          <w:numId w:val="1"/>
        </w:numPr>
        <w:spacing w:after="0"/>
        <w:jc w:val="both"/>
      </w:pPr>
      <w:r w:rsidRPr="00575EBF">
        <w:t>DFD оставь для показа детального потока данных — можно приложить как дополнение к AS-IS/TO-BE.</w:t>
      </w:r>
    </w:p>
    <w:p w14:paraId="2174737C" w14:textId="77777777" w:rsidR="00575EBF" w:rsidRPr="00575EBF" w:rsidRDefault="00575EBF" w:rsidP="00575EBF">
      <w:pPr>
        <w:spacing w:after="0"/>
        <w:ind w:firstLine="709"/>
        <w:jc w:val="both"/>
      </w:pPr>
      <w:r w:rsidRPr="00575EBF">
        <w:lastRenderedPageBreak/>
        <w:pict w14:anchorId="6E9A4587">
          <v:rect id="_x0000_i1051" style="width:0;height:1.5pt" o:hralign="center" o:hrstd="t" o:hr="t" fillcolor="#a0a0a0" stroked="f"/>
        </w:pict>
      </w:r>
    </w:p>
    <w:p w14:paraId="0B7F2C86" w14:textId="77777777" w:rsidR="00575EBF" w:rsidRPr="00575EBF" w:rsidRDefault="00575EBF" w:rsidP="00575EBF">
      <w:pPr>
        <w:spacing w:after="0"/>
        <w:ind w:firstLine="709"/>
        <w:jc w:val="both"/>
        <w:rPr>
          <w:b/>
          <w:bCs/>
        </w:rPr>
      </w:pPr>
      <w:r w:rsidRPr="00575EBF">
        <w:rPr>
          <w:rFonts w:ascii="Segoe UI Emoji" w:hAnsi="Segoe UI Emoji" w:cs="Segoe UI Emoji"/>
          <w:b/>
          <w:bCs/>
        </w:rPr>
        <w:t>🔹</w:t>
      </w:r>
      <w:r w:rsidRPr="00575EBF">
        <w:rPr>
          <w:b/>
          <w:bCs/>
        </w:rPr>
        <w:t xml:space="preserve"> Пример структуры файлов (финализированный вариант для Этапа 1)</w:t>
      </w:r>
    </w:p>
    <w:p w14:paraId="28DBC74E" w14:textId="77777777" w:rsidR="00575EBF" w:rsidRPr="00575EBF" w:rsidRDefault="00575EBF" w:rsidP="00575EBF">
      <w:pPr>
        <w:numPr>
          <w:ilvl w:val="0"/>
          <w:numId w:val="2"/>
        </w:numPr>
        <w:spacing w:after="0"/>
        <w:jc w:val="both"/>
      </w:pPr>
      <w:r w:rsidRPr="00575EBF">
        <w:rPr>
          <w:b/>
          <w:bCs/>
        </w:rPr>
        <w:t>01_Контекст_A-0_IDEF0.drawio/</w:t>
      </w:r>
      <w:proofErr w:type="spellStart"/>
      <w:r w:rsidRPr="00575EBF">
        <w:rPr>
          <w:b/>
          <w:bCs/>
        </w:rPr>
        <w:t>png</w:t>
      </w:r>
      <w:proofErr w:type="spellEnd"/>
      <w:r w:rsidRPr="00575EBF">
        <w:t xml:space="preserve"> – контекстная диаграмма SADT/IDEF0</w:t>
      </w:r>
    </w:p>
    <w:p w14:paraId="1279BEC6" w14:textId="77777777" w:rsidR="00575EBF" w:rsidRPr="00575EBF" w:rsidRDefault="00575EBF" w:rsidP="00575EBF">
      <w:pPr>
        <w:numPr>
          <w:ilvl w:val="0"/>
          <w:numId w:val="2"/>
        </w:numPr>
        <w:spacing w:after="0"/>
        <w:jc w:val="both"/>
      </w:pPr>
      <w:r w:rsidRPr="00575EBF">
        <w:rPr>
          <w:b/>
          <w:bCs/>
        </w:rPr>
        <w:t>02_A0_Функциональная_декомпозиция_IDEF0.drawio/</w:t>
      </w:r>
      <w:proofErr w:type="spellStart"/>
      <w:r w:rsidRPr="00575EBF">
        <w:rPr>
          <w:b/>
          <w:bCs/>
        </w:rPr>
        <w:t>png</w:t>
      </w:r>
      <w:proofErr w:type="spellEnd"/>
      <w:r w:rsidRPr="00575EBF">
        <w:t xml:space="preserve"> – детализация функций</w:t>
      </w:r>
    </w:p>
    <w:p w14:paraId="639877B0" w14:textId="77777777" w:rsidR="00575EBF" w:rsidRPr="00575EBF" w:rsidRDefault="00575EBF" w:rsidP="00575EBF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75EBF">
        <w:rPr>
          <w:b/>
          <w:bCs/>
          <w:lang w:val="en-US"/>
        </w:rPr>
        <w:t>03_AS-IS_BPMN.drawio/</w:t>
      </w:r>
      <w:proofErr w:type="spellStart"/>
      <w:r w:rsidRPr="00575EBF">
        <w:rPr>
          <w:b/>
          <w:bCs/>
          <w:lang w:val="en-US"/>
        </w:rPr>
        <w:t>png</w:t>
      </w:r>
      <w:proofErr w:type="spellEnd"/>
      <w:r w:rsidRPr="00575EBF">
        <w:rPr>
          <w:lang w:val="en-US"/>
        </w:rPr>
        <w:t xml:space="preserve"> – </w:t>
      </w:r>
      <w:r w:rsidRPr="00575EBF">
        <w:t>текущий</w:t>
      </w:r>
      <w:r w:rsidRPr="00575EBF">
        <w:rPr>
          <w:lang w:val="en-US"/>
        </w:rPr>
        <w:t xml:space="preserve"> </w:t>
      </w:r>
      <w:r w:rsidRPr="00575EBF">
        <w:t>процесс</w:t>
      </w:r>
    </w:p>
    <w:p w14:paraId="6B3478E5" w14:textId="77777777" w:rsidR="00575EBF" w:rsidRPr="00575EBF" w:rsidRDefault="00575EBF" w:rsidP="00575EBF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75EBF">
        <w:rPr>
          <w:b/>
          <w:bCs/>
          <w:lang w:val="en-US"/>
        </w:rPr>
        <w:t>04_AS-IS_DFD_Level0.drawio/</w:t>
      </w:r>
      <w:proofErr w:type="spellStart"/>
      <w:r w:rsidRPr="00575EBF">
        <w:rPr>
          <w:b/>
          <w:bCs/>
          <w:lang w:val="en-US"/>
        </w:rPr>
        <w:t>png</w:t>
      </w:r>
      <w:proofErr w:type="spellEnd"/>
      <w:r w:rsidRPr="00575EBF">
        <w:rPr>
          <w:lang w:val="en-US"/>
        </w:rPr>
        <w:t xml:space="preserve"> – </w:t>
      </w:r>
      <w:r w:rsidRPr="00575EBF">
        <w:t>потоки</w:t>
      </w:r>
      <w:r w:rsidRPr="00575EBF">
        <w:rPr>
          <w:lang w:val="en-US"/>
        </w:rPr>
        <w:t xml:space="preserve"> </w:t>
      </w:r>
      <w:r w:rsidRPr="00575EBF">
        <w:t>данных</w:t>
      </w:r>
    </w:p>
    <w:p w14:paraId="570EE0DA" w14:textId="77777777" w:rsidR="00575EBF" w:rsidRPr="00575EBF" w:rsidRDefault="00575EBF" w:rsidP="00575EBF">
      <w:pPr>
        <w:numPr>
          <w:ilvl w:val="0"/>
          <w:numId w:val="2"/>
        </w:numPr>
        <w:spacing w:after="0"/>
        <w:jc w:val="both"/>
      </w:pPr>
      <w:r w:rsidRPr="00575EBF">
        <w:rPr>
          <w:b/>
          <w:bCs/>
        </w:rPr>
        <w:t>05_TO-BE_BPMN.drawio/</w:t>
      </w:r>
      <w:proofErr w:type="spellStart"/>
      <w:r w:rsidRPr="00575EBF">
        <w:rPr>
          <w:b/>
          <w:bCs/>
        </w:rPr>
        <w:t>png</w:t>
      </w:r>
      <w:proofErr w:type="spellEnd"/>
      <w:r w:rsidRPr="00575EBF">
        <w:t xml:space="preserve"> – автоматизированный процесс</w:t>
      </w:r>
    </w:p>
    <w:p w14:paraId="70D4E82E" w14:textId="77777777" w:rsidR="00575EBF" w:rsidRPr="00575EBF" w:rsidRDefault="00575EBF" w:rsidP="00575EBF">
      <w:pPr>
        <w:numPr>
          <w:ilvl w:val="0"/>
          <w:numId w:val="2"/>
        </w:numPr>
        <w:spacing w:after="0"/>
        <w:jc w:val="both"/>
      </w:pPr>
      <w:r w:rsidRPr="00575EBF">
        <w:rPr>
          <w:b/>
          <w:bCs/>
        </w:rPr>
        <w:t>06_UseCases_UML.puml/</w:t>
      </w:r>
      <w:proofErr w:type="spellStart"/>
      <w:r w:rsidRPr="00575EBF">
        <w:rPr>
          <w:b/>
          <w:bCs/>
        </w:rPr>
        <w:t>png</w:t>
      </w:r>
      <w:proofErr w:type="spellEnd"/>
      <w:r w:rsidRPr="00575EBF">
        <w:t xml:space="preserve"> – прецеденты использования</w:t>
      </w:r>
    </w:p>
    <w:p w14:paraId="32DC1683" w14:textId="77777777" w:rsidR="00575EBF" w:rsidRPr="00575EBF" w:rsidRDefault="00575EBF" w:rsidP="00575EBF">
      <w:pPr>
        <w:numPr>
          <w:ilvl w:val="0"/>
          <w:numId w:val="2"/>
        </w:numPr>
        <w:spacing w:after="0"/>
        <w:jc w:val="both"/>
      </w:pPr>
      <w:r w:rsidRPr="00575EBF">
        <w:rPr>
          <w:b/>
          <w:bCs/>
        </w:rPr>
        <w:t>07_Sequence_CreateOrder_UML.puml/</w:t>
      </w:r>
      <w:proofErr w:type="spellStart"/>
      <w:r w:rsidRPr="00575EBF">
        <w:rPr>
          <w:b/>
          <w:bCs/>
        </w:rPr>
        <w:t>png</w:t>
      </w:r>
      <w:proofErr w:type="spellEnd"/>
      <w:r w:rsidRPr="00575EBF">
        <w:t xml:space="preserve"> – взаимодействие акторов и системы</w:t>
      </w:r>
    </w:p>
    <w:p w14:paraId="40586559" w14:textId="77777777" w:rsidR="00575EBF" w:rsidRPr="00575EBF" w:rsidRDefault="00575EBF" w:rsidP="00575EBF">
      <w:pPr>
        <w:numPr>
          <w:ilvl w:val="0"/>
          <w:numId w:val="2"/>
        </w:numPr>
        <w:spacing w:after="0"/>
        <w:jc w:val="both"/>
      </w:pPr>
      <w:r w:rsidRPr="00575EBF">
        <w:rPr>
          <w:b/>
          <w:bCs/>
        </w:rPr>
        <w:t>08_StateOrder_UML.puml/</w:t>
      </w:r>
      <w:proofErr w:type="spellStart"/>
      <w:r w:rsidRPr="00575EBF">
        <w:rPr>
          <w:b/>
          <w:bCs/>
        </w:rPr>
        <w:t>png</w:t>
      </w:r>
      <w:proofErr w:type="spellEnd"/>
      <w:r w:rsidRPr="00575EBF">
        <w:t xml:space="preserve"> – жизненный цикл заявки</w:t>
      </w:r>
    </w:p>
    <w:p w14:paraId="1A34E54B" w14:textId="77777777" w:rsidR="00575EBF" w:rsidRPr="00575EBF" w:rsidRDefault="00575EBF" w:rsidP="00575EBF">
      <w:pPr>
        <w:numPr>
          <w:ilvl w:val="0"/>
          <w:numId w:val="2"/>
        </w:numPr>
        <w:spacing w:after="0"/>
        <w:jc w:val="both"/>
      </w:pPr>
      <w:r w:rsidRPr="00575EBF">
        <w:rPr>
          <w:b/>
          <w:bCs/>
        </w:rPr>
        <w:t>09_ER_Conceptual.drawio/</w:t>
      </w:r>
      <w:proofErr w:type="spellStart"/>
      <w:r w:rsidRPr="00575EBF">
        <w:rPr>
          <w:b/>
          <w:bCs/>
        </w:rPr>
        <w:t>png</w:t>
      </w:r>
      <w:proofErr w:type="spellEnd"/>
      <w:r w:rsidRPr="00575EBF">
        <w:t xml:space="preserve"> – концептуальная модель данных</w:t>
      </w:r>
    </w:p>
    <w:p w14:paraId="7A4D3F8A" w14:textId="77777777" w:rsidR="00575EBF" w:rsidRPr="00575EBF" w:rsidRDefault="00575EBF" w:rsidP="00575EBF">
      <w:pPr>
        <w:spacing w:after="0"/>
        <w:ind w:firstLine="709"/>
        <w:jc w:val="both"/>
      </w:pPr>
      <w:r w:rsidRPr="00575EBF">
        <w:pict w14:anchorId="2F6A3060">
          <v:rect id="_x0000_i1052" style="width:0;height:1.5pt" o:hralign="center" o:hrstd="t" o:hr="t" fillcolor="#a0a0a0" stroked="f"/>
        </w:pict>
      </w:r>
    </w:p>
    <w:p w14:paraId="008B9469" w14:textId="77777777" w:rsidR="00575EBF" w:rsidRPr="00575EBF" w:rsidRDefault="00575EBF" w:rsidP="00575EBF">
      <w:pPr>
        <w:spacing w:after="0"/>
        <w:ind w:firstLine="709"/>
        <w:jc w:val="both"/>
        <w:rPr>
          <w:b/>
          <w:bCs/>
        </w:rPr>
      </w:pPr>
      <w:r w:rsidRPr="00575EBF">
        <w:rPr>
          <w:rFonts w:ascii="Segoe UI Emoji" w:hAnsi="Segoe UI Emoji" w:cs="Segoe UI Emoji"/>
          <w:b/>
          <w:bCs/>
        </w:rPr>
        <w:t>🔹</w:t>
      </w:r>
      <w:r w:rsidRPr="00575EBF">
        <w:rPr>
          <w:b/>
          <w:bCs/>
        </w:rPr>
        <w:t xml:space="preserve"> Маленький совет для диплома</w:t>
      </w:r>
    </w:p>
    <w:p w14:paraId="05C93C9E" w14:textId="77777777" w:rsidR="00575EBF" w:rsidRPr="00575EBF" w:rsidRDefault="00575EBF" w:rsidP="00575EBF">
      <w:pPr>
        <w:spacing w:after="0"/>
        <w:ind w:firstLine="709"/>
        <w:jc w:val="both"/>
      </w:pPr>
      <w:r w:rsidRPr="00575EBF">
        <w:t>После первой фразы про RUP/UML добавь подпункт «Методы моделирования»:</w:t>
      </w:r>
      <w:r w:rsidRPr="00575EBF">
        <w:br/>
      </w:r>
      <w:r w:rsidRPr="00575EBF">
        <w:rPr>
          <w:i/>
          <w:iCs/>
        </w:rPr>
        <w:t>В рамках этапа концепции и анализа использовалась методология SADT, реализованная в нотации IDEF0, а также DFD и UML (</w:t>
      </w:r>
      <w:proofErr w:type="spellStart"/>
      <w:r w:rsidRPr="00575EBF">
        <w:rPr>
          <w:i/>
          <w:iCs/>
        </w:rPr>
        <w:t>Use</w:t>
      </w:r>
      <w:proofErr w:type="spellEnd"/>
      <w:r w:rsidRPr="00575EBF">
        <w:rPr>
          <w:i/>
          <w:iCs/>
        </w:rPr>
        <w:t xml:space="preserve"> Case, </w:t>
      </w:r>
      <w:proofErr w:type="spellStart"/>
      <w:r w:rsidRPr="00575EBF">
        <w:rPr>
          <w:i/>
          <w:iCs/>
        </w:rPr>
        <w:t>Sequence</w:t>
      </w:r>
      <w:proofErr w:type="spellEnd"/>
      <w:r w:rsidRPr="00575EBF">
        <w:rPr>
          <w:i/>
          <w:iCs/>
        </w:rPr>
        <w:t>, State, ER). Это позволило комплексно описать как функциональную, так и информационную структуру системы.</w:t>
      </w:r>
    </w:p>
    <w:p w14:paraId="307D077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D5956"/>
    <w:multiLevelType w:val="multilevel"/>
    <w:tmpl w:val="0C4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24E4C"/>
    <w:multiLevelType w:val="multilevel"/>
    <w:tmpl w:val="DCFE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743720">
    <w:abstractNumId w:val="0"/>
  </w:num>
  <w:num w:numId="2" w16cid:durableId="1164315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2A"/>
    <w:rsid w:val="0040657C"/>
    <w:rsid w:val="00575EBF"/>
    <w:rsid w:val="006C0B77"/>
    <w:rsid w:val="007F1C8B"/>
    <w:rsid w:val="008242FF"/>
    <w:rsid w:val="00870751"/>
    <w:rsid w:val="00922C48"/>
    <w:rsid w:val="0093232A"/>
    <w:rsid w:val="00B915B7"/>
    <w:rsid w:val="00C520B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2539FF-A07A-4907-8BDB-BEB29DCE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2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3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3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3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3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3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3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3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3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3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3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32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3232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3232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3232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3232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3232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323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3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32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323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32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3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32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323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3DEA2-CA82-4413-8355-B33E6BE44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Ramfour</dc:creator>
  <cp:keywords/>
  <dc:description/>
  <cp:lastModifiedBy>Ramfour</cp:lastModifiedBy>
  <cp:revision>2</cp:revision>
  <dcterms:created xsi:type="dcterms:W3CDTF">2025-10-11T11:34:00Z</dcterms:created>
  <dcterms:modified xsi:type="dcterms:W3CDTF">2025-10-11T15:31:00Z</dcterms:modified>
</cp:coreProperties>
</file>