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1F4E5F"/>
          <w:sz w:val="44"/>
          <w:szCs w:val="44"/>
        </w:rPr>
        <w:t xml:space="preserve">CBAM Carbon Footprint Formulas</w:t>
      </w:r>
    </w:p>
    <w:p>
      <w:pPr>
        <w:spacing w:after="100"/>
      </w:pPr>
      <w:r>
        <w:rPr>
          <w:color w:val="444444"/>
          <w:sz w:val="28"/>
          <w:szCs w:val="28"/>
        </w:rPr>
        <w:t xml:space="preserve">Iron &amp; Steel and Aluminium Sectors — Reference Sheet</w:t>
      </w:r>
    </w:p>
    <w:p>
      <w:pPr>
        <w:spacing w:after="400"/>
      </w:pPr>
      <w:r>
        <w:rPr>
          <w:i/>
          <w:iCs/>
          <w:color w:val="777777"/>
          <w:sz w:val="20"/>
          <w:szCs w:val="20"/>
        </w:rPr>
        <w:t xml:space="preserve">Compiled for academic/study use — July 2026</w:t>
      </w:r>
    </w:p>
    <w:p>
      <w:pPr>
        <w:pBdr>
          <w:bottom w:val="single" w:color="999999" w:sz="6" w:space="1"/>
        </w:pBdr>
        <w:spacing w:after="200" w:before="200"/>
      </w:pPr>
    </w:p>
    <w:p>
      <w:pPr>
        <w:pStyle w:val="Heading1"/>
        <w:spacing w:after="200" w:before="400"/>
      </w:pPr>
      <w:r>
        <w:t xml:space="preserve">0. Scope and legal basis</w:t>
      </w:r>
    </w:p>
    <w:p>
      <w:pPr>
        <w:spacing w:after="150"/>
      </w:pPr>
      <w:r>
        <w:t xml:space="preserve">The Carbon Border Adjustment Mechanism (CBAM) charges importers of certain carbon-intensive goods into the EU for the greenhouse gas emissions embedded in those goods. Iron &amp; steel and aluminium are two of the six covered sectors (with cement, fertilisers, hydrogen and electricity). This sheet covers only the emissions-calculation formulas (the "carbon footprint" side) — not customs/reporting procedure.</w:t>
      </w:r>
    </w:p>
    <w:p>
      <w:pPr>
        <w:spacing w:after="150"/>
      </w:pPr>
      <w:r>
        <w:t xml:space="preserve">Legal basis: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Regulation (EU) 2023/956 — the CBAM framework regulation (definitions, scope, Annex I goods list, Annex II "direct-emissions-only" sectors, certificate formula in Art. 9/31).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Implementing Regulation (EU) 2023/1773 — transitional-period reporting methodology (Annex III: calculation rules, system boundaries, equations).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Implementing Regulation (EU) 2025/2547 — definitive-period calculation methodology (applies from 1 Jan 2026 imports).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Implementing Regulation (EU) 2025/2620 / 2025/2621 — free-allocation adjustment method and default values for the definitive period.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Underlying monitoring methodology is the same as the EU ETS Monitoring &amp; Reporting Regulation, Commission Implementing Regulation (EU) 2018/2066 (fuel/mass-balance calculation methods, and Annex IV for the aluminium PFC methods).</w:t>
      </w:r>
    </w:p>
    <w:p>
      <w:pPr>
        <w:spacing w:after="200" w:before="100"/>
      </w:pPr>
      <w:r>
        <w:rPr>
          <w:i/>
          <w:iCs/>
          <w:color w:val="555555"/>
          <w:sz w:val="20"/>
          <w:szCs w:val="20"/>
        </w:rPr>
        <w:t xml:space="preserve">Important: web access to the official EUR-Lex and European Commission PDF texts was blocked in this research session, so exact article/equation numbers below could not be re-verified word-for-word against the primary legal text in this session. The formulas themselves are cross-checked across multiple independent technical/consultancy sources describing the same official methodology (see Sources, section 5) and are standard, well-established industry methods (IPCC / EU ETS MRR). Before using this for a real compliance filing, open the regulation links in section 5 yourself and check the live article numbers, since implementing acts get amended.</w:t>
      </w:r>
    </w:p>
    <w:p>
      <w:pPr>
        <w:pBdr>
          <w:bottom w:val="single" w:color="999999" w:sz="6" w:space="1"/>
        </w:pBdr>
        <w:spacing w:after="200" w:before="200"/>
      </w:pPr>
    </w:p>
    <w:p>
      <w:pPr>
        <w:pStyle w:val="Heading1"/>
        <w:spacing w:after="200" w:before="400"/>
      </w:pPr>
      <w:r>
        <w:t xml:space="preserve">1. General CBAM formulas (apply to every sector)</w:t>
      </w:r>
    </w:p>
    <w:p>
      <w:pPr>
        <w:pStyle w:val="Heading2"/>
        <w:spacing w:after="150" w:before="300"/>
      </w:pPr>
      <w:r>
        <w:t xml:space="preserve">1.1 Total embedded emissions of an import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150" w:before="150"/>
        <w:jc w:val="center"/>
      </w:pPr>
      <w:r>
        <w:rPr>
          <w:rFonts w:ascii="Cambria Math" w:cs="Cambria Math" w:eastAsia="Cambria Math" w:hAnsi="Cambria Math"/>
          <w:b/>
          <w:bCs/>
          <w:sz w:val="24"/>
          <w:szCs w:val="24"/>
        </w:rPr>
        <w:t xml:space="preserve">Embedded Emissionsₜₒₜₐₗ = Σg ( Qg × SEEg )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300"/>
      </w:tblGrid>
      <w:tr>
        <w:trPr>
          <w:tblHeader/>
        </w:trPr>
        <w:tc>
          <w:tcPr>
            <w:tcW w:type="dxa" w:w="1800"/>
            <w:shd w:fill="1F4E5F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6300"/>
            <w:shd w:fill="1F4E5F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Qg</w:t>
            </w:r>
          </w:p>
        </w:tc>
        <w:tc>
          <w:tcPr>
            <w:tcW w:type="dxa" w:w="63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Quantity of good g imported in the reporting period (tonnes)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SEEg</w:t>
            </w:r>
          </w:p>
        </w:tc>
        <w:tc>
          <w:tcPr>
            <w:tcW w:type="dxa" w:w="63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Specific Embedded Emissions of good g (t CO₂e per tonne of product)</w:t>
            </w:r>
          </w:p>
        </w:tc>
      </w:tr>
    </w:tbl>
    <w:p>
      <w:pPr>
        <w:pStyle w:val="Heading2"/>
        <w:spacing w:after="150" w:before="300"/>
      </w:pPr>
      <w:r>
        <w:t xml:space="preserve">1.2 Specific Embedded Emissions (SEE) of a good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150" w:before="150"/>
        <w:jc w:val="center"/>
      </w:pPr>
      <w:r>
        <w:rPr>
          <w:rFonts w:ascii="Cambria Math" w:cs="Cambria Math" w:eastAsia="Cambria Math" w:hAnsi="Cambria Math"/>
          <w:b/>
          <w:bCs/>
          <w:sz w:val="24"/>
          <w:szCs w:val="24"/>
        </w:rPr>
        <w:t xml:space="preserve">SEEg = SEE(direct,g) + SEE(indirect,g)</w:t>
      </w:r>
    </w:p>
    <w:p>
      <w:pPr>
        <w:spacing w:after="150"/>
      </w:pPr>
      <w:r>
        <w:t xml:space="preserve">For iron &amp; steel and aluminium, both goods are listed in Annex II of Regulation (EU) 2023/956, meaning only direct emissions are priced under CBAM: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150" w:before="150"/>
        <w:jc w:val="center"/>
      </w:pPr>
      <w:r>
        <w:rPr>
          <w:rFonts w:ascii="Cambria Math" w:cs="Cambria Math" w:eastAsia="Cambria Math" w:hAnsi="Cambria Math"/>
          <w:b/>
          <w:bCs/>
          <w:sz w:val="24"/>
          <w:szCs w:val="24"/>
        </w:rPr>
        <w:t xml:space="preserve">SEEg  =  SEE(direct,g)      (indirect/electricity term = 0 for steel &amp; aluminium)</w:t>
      </w:r>
    </w:p>
    <w:p>
      <w:pPr>
        <w:spacing w:after="200" w:before="100"/>
      </w:pPr>
      <w:r>
        <w:rPr>
          <w:i/>
          <w:iCs/>
          <w:color w:val="555555"/>
          <w:sz w:val="20"/>
          <w:szCs w:val="20"/>
        </w:rPr>
        <w:t xml:space="preserve">Cement and fertilisers are the sectors where indirect (electricity) emissions are also priced. For steel and aluminium, electricity consumption is tracked for reporting/statistics but is currently not charged.</w:t>
      </w:r>
    </w:p>
    <w:p>
      <w:pPr>
        <w:pStyle w:val="Heading2"/>
        <w:spacing w:after="150" w:before="300"/>
      </w:pPr>
      <w:r>
        <w:t xml:space="preserve">1.3 Direct emissions of a source stream — calculation-based (Standard) method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150" w:before="150"/>
        <w:jc w:val="center"/>
      </w:pPr>
      <w:r>
        <w:rPr>
          <w:rFonts w:ascii="Cambria Math" w:cs="Cambria Math" w:eastAsia="Cambria Math" w:hAnsi="Cambria Math"/>
          <w:b/>
          <w:bCs/>
          <w:sz w:val="24"/>
          <w:szCs w:val="24"/>
        </w:rPr>
        <w:t xml:space="preserve">Ei = ADi × EFi × OFi   (fuels / combustion)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150" w:before="150"/>
        <w:jc w:val="center"/>
      </w:pPr>
      <w:r>
        <w:rPr>
          <w:rFonts w:ascii="Cambria Math" w:cs="Cambria Math" w:eastAsia="Cambria Math" w:hAnsi="Cambria Math"/>
          <w:b/>
          <w:bCs/>
          <w:sz w:val="24"/>
          <w:szCs w:val="24"/>
        </w:rPr>
        <w:t xml:space="preserve">Ei = ADi × EFi × CFi    (process materials, non-combustion)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300"/>
      </w:tblGrid>
      <w:tr>
        <w:trPr>
          <w:tblHeader/>
        </w:trPr>
        <w:tc>
          <w:tcPr>
            <w:tcW w:type="dxa" w:w="1800"/>
            <w:shd w:fill="1F4E5F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6300"/>
            <w:shd w:fill="1F4E5F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ADi</w:t>
            </w:r>
          </w:p>
        </w:tc>
        <w:tc>
          <w:tcPr>
            <w:tcW w:type="dxa" w:w="63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Activity data: quantity of fuel or material i consumed (t, Nm³, or GJ)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EFi</w:t>
            </w:r>
          </w:p>
        </w:tc>
        <w:tc>
          <w:tcPr>
            <w:tcW w:type="dxa" w:w="63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Emission factor of fuel/material i (t CO₂ per t, per Nm³, or per GJ)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OFi</w:t>
            </w:r>
          </w:p>
        </w:tc>
        <w:tc>
          <w:tcPr>
            <w:tcW w:type="dxa" w:w="63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Oxidation factor (fraction of carbon actually oxidised in combustion, ≈0.98–1)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CFi</w:t>
            </w:r>
          </w:p>
        </w:tc>
        <w:tc>
          <w:tcPr>
            <w:tcW w:type="dxa" w:w="63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Conversion factor (fraction of carbon converted to CO₂ in a process reaction)</w:t>
            </w:r>
          </w:p>
        </w:tc>
      </w:tr>
    </w:tbl>
    <w:p>
      <w:pPr>
        <w:pStyle w:val="Heading2"/>
        <w:spacing w:after="150" w:before="300"/>
      </w:pPr>
      <w:r>
        <w:t xml:space="preserve">1.4 Direct emissions — Mass-balance method (used for multi-input processes, common in steel)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150" w:before="150"/>
        <w:jc w:val="center"/>
      </w:pPr>
      <w:r>
        <w:rPr>
          <w:rFonts w:ascii="Cambria Math" w:cs="Cambria Math" w:eastAsia="Cambria Math" w:hAnsi="Cambria Math"/>
          <w:b/>
          <w:bCs/>
          <w:sz w:val="24"/>
          <w:szCs w:val="24"/>
        </w:rPr>
        <w:t xml:space="preserve">E(CO2) = [ Σ(Minput × wC,input) − Σ(Moutput × wC,output) ] × 44/12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300"/>
      </w:tblGrid>
      <w:tr>
        <w:trPr>
          <w:tblHeader/>
        </w:trPr>
        <w:tc>
          <w:tcPr>
            <w:tcW w:type="dxa" w:w="1800"/>
            <w:shd w:fill="1F4E5F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6300"/>
            <w:shd w:fill="1F4E5F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Minput / Moutput</w:t>
            </w:r>
          </w:p>
        </w:tc>
        <w:tc>
          <w:tcPr>
            <w:tcW w:type="dxa" w:w="63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Mass of each material flowing into / out of the process (t)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wC</w:t>
            </w:r>
          </w:p>
        </w:tc>
        <w:tc>
          <w:tcPr>
            <w:tcW w:type="dxa" w:w="63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Carbon content of that material (fraction, t C / t material)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44/12</w:t>
            </w:r>
          </w:p>
        </w:tc>
        <w:tc>
          <w:tcPr>
            <w:tcW w:type="dxa" w:w="63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Molar mass ratio converting mass of carbon to mass of CO₂</w:t>
            </w:r>
          </w:p>
        </w:tc>
      </w:tr>
    </w:tbl>
    <w:p>
      <w:pPr>
        <w:pStyle w:val="Heading2"/>
        <w:spacing w:after="150" w:before="300"/>
      </w:pPr>
      <w:r>
        <w:t xml:space="preserve">1.5 Specific embedded emissions of an installation's own good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150" w:before="150"/>
        <w:jc w:val="center"/>
      </w:pPr>
      <w:r>
        <w:rPr>
          <w:rFonts w:ascii="Cambria Math" w:cs="Cambria Math" w:eastAsia="Cambria Math" w:hAnsi="Cambria Math"/>
          <w:b/>
          <w:bCs/>
          <w:sz w:val="24"/>
          <w:szCs w:val="24"/>
        </w:rPr>
        <w:t xml:space="preserve">SEE(direct,g) = AEEg / ALg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300"/>
      </w:tblGrid>
      <w:tr>
        <w:trPr>
          <w:tblHeader/>
        </w:trPr>
        <w:tc>
          <w:tcPr>
            <w:tcW w:type="dxa" w:w="1800"/>
            <w:shd w:fill="1F4E5F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6300"/>
            <w:shd w:fill="1F4E5F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AEEg</w:t>
            </w:r>
          </w:p>
        </w:tc>
        <w:tc>
          <w:tcPr>
            <w:tcW w:type="dxa" w:w="63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Attributed direct emissions of good g in the reporting period (t CO₂e) — the share of the installation's total measured emissions assigned to g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ALg</w:t>
            </w:r>
          </w:p>
        </w:tc>
        <w:tc>
          <w:tcPr>
            <w:tcW w:type="dxa" w:w="63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Activity level: quantity of good g actually produced in the reporting period (t)</w:t>
            </w:r>
          </w:p>
        </w:tc>
      </w:tr>
    </w:tbl>
    <w:p>
      <w:pPr>
        <w:pStyle w:val="Heading2"/>
        <w:spacing w:after="150" w:before="300"/>
      </w:pPr>
      <w:r>
        <w:t xml:space="preserve">1.6 Complex / downstream goods (embedded emissions of precursors carry through)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150" w:before="150"/>
        <w:jc w:val="center"/>
      </w:pPr>
      <w:r>
        <w:rPr>
          <w:rFonts w:ascii="Cambria Math" w:cs="Cambria Math" w:eastAsia="Cambria Math" w:hAnsi="Cambria Math"/>
          <w:b/>
          <w:bCs/>
          <w:sz w:val="24"/>
          <w:szCs w:val="24"/>
        </w:rPr>
        <w:t xml:space="preserve">SEE(good) = SEE(own process) + Σp ( SEE(precursor p) × ratio p )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300"/>
      </w:tblGrid>
      <w:tr>
        <w:trPr>
          <w:tblHeader/>
        </w:trPr>
        <w:tc>
          <w:tcPr>
            <w:tcW w:type="dxa" w:w="1800"/>
            <w:shd w:fill="1F4E5F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6300"/>
            <w:shd w:fill="1F4E5F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SEE(own process)</w:t>
            </w:r>
          </w:p>
        </w:tc>
        <w:tc>
          <w:tcPr>
            <w:tcW w:type="dxa" w:w="63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Direct emissions from the good's own final production step only (e.g. rolling, drawing, extrusion, casting)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SEE(precursor p)</w:t>
            </w:r>
          </w:p>
        </w:tc>
        <w:tc>
          <w:tcPr>
            <w:tcW w:type="dxa" w:w="63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Specific embedded emissions already carried by precursor material p (e.g. crude steel, primary aluminium, alloy)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ratio p</w:t>
            </w:r>
          </w:p>
        </w:tc>
        <w:tc>
          <w:tcPr>
            <w:tcW w:type="dxa" w:w="63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Tonnes of precursor p consumed per tonne of final good produced (accounts for process yield / scrap losses)</w:t>
            </w:r>
          </w:p>
        </w:tc>
      </w:tr>
    </w:tbl>
    <w:p>
      <w:pPr>
        <w:spacing w:after="200" w:before="100"/>
      </w:pPr>
      <w:r>
        <w:rPr>
          <w:i/>
          <w:iCs/>
          <w:color w:val="555555"/>
          <w:sz w:val="20"/>
          <w:szCs w:val="20"/>
        </w:rPr>
        <w:t xml:space="preserve">This is the mechanism by which emissions accumulate down the value chain: a finished steel bar 'inherits' the footprint of the crude steel, which inherits the footprint of the pig iron/DRI, which inherits the footprint of sintered ore, etc.</w:t>
      </w:r>
    </w:p>
    <w:p>
      <w:pPr>
        <w:pBdr>
          <w:bottom w:val="single" w:color="999999" w:sz="6" w:space="1"/>
        </w:pBdr>
        <w:spacing w:after="200" w:before="200"/>
      </w:pPr>
    </w:p>
    <w:p>
      <w:pPr>
        <w:pStyle w:val="Heading1"/>
        <w:spacing w:after="200" w:before="400"/>
      </w:pPr>
      <w:r>
        <w:t xml:space="preserve">2. Iron &amp; Steel sector</w:t>
      </w:r>
    </w:p>
    <w:p>
      <w:pPr>
        <w:spacing w:after="150"/>
      </w:pPr>
      <w:r>
        <w:t xml:space="preserve">Steel production is split into aggregated goods categories (system boundaries defined in Annex I): sintered/pelletised ore, pig iron, ferro-manganese, ferro-chrome, ferro-nickel, DRI (direct reduced iron), crude steel, and downstream finished products (bars, rebar, wire rod, plates, coils, tubes, etc.). Only direct emissions count (section 1.2).</w:t>
      </w:r>
    </w:p>
    <w:p>
      <w:pPr>
        <w:pStyle w:val="Heading2"/>
        <w:spacing w:after="150" w:before="300"/>
      </w:pPr>
      <w:r>
        <w:t xml:space="preserve">2.1 Sinter/pellet plant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150" w:before="150"/>
        <w:jc w:val="center"/>
      </w:pPr>
      <w:r>
        <w:rPr>
          <w:rFonts w:ascii="Cambria Math" w:cs="Cambria Math" w:eastAsia="Cambria Math" w:hAnsi="Cambria Math"/>
          <w:b/>
          <w:bCs/>
          <w:sz w:val="24"/>
          <w:szCs w:val="24"/>
        </w:rPr>
        <w:t xml:space="preserve">E = Σ(AD(coke breeze, fuel gas) × EF × OF) + E(carbonate calcination, mass balance)</w:t>
      </w:r>
    </w:p>
    <w:p>
      <w:pPr>
        <w:spacing w:after="200" w:before="100"/>
      </w:pPr>
      <w:r>
        <w:rPr>
          <w:i/>
          <w:iCs/>
          <w:color w:val="555555"/>
          <w:sz w:val="20"/>
          <w:szCs w:val="20"/>
        </w:rPr>
        <w:t xml:space="preserve">Process emissions come mainly from combustion of coke breeze/fuel gas plus calcination of limestone/dolomite flux, calculated with the mass-balance formula (1.4).</w:t>
      </w:r>
    </w:p>
    <w:p>
      <w:pPr>
        <w:pStyle w:val="Heading2"/>
        <w:spacing w:after="150" w:before="300"/>
      </w:pPr>
      <w:r>
        <w:t xml:space="preserve">2.2 Blast furnace — pig iron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150" w:before="150"/>
        <w:jc w:val="center"/>
      </w:pPr>
      <w:r>
        <w:rPr>
          <w:rFonts w:ascii="Cambria Math" w:cs="Cambria Math" w:eastAsia="Cambria Math" w:hAnsi="Cambria Math"/>
          <w:b/>
          <w:bCs/>
          <w:sz w:val="24"/>
          <w:szCs w:val="24"/>
        </w:rPr>
        <w:t xml:space="preserve">E = Σ(AD(coke, PCI coal, other reductants) × EF × OF) + E(ore reduction, mass balance)</w:t>
      </w:r>
    </w:p>
    <w:p>
      <w:pPr>
        <w:spacing w:after="200" w:before="100"/>
      </w:pPr>
      <w:r>
        <w:rPr>
          <w:i/>
          <w:iCs/>
          <w:color w:val="555555"/>
          <w:sz w:val="20"/>
          <w:szCs w:val="20"/>
        </w:rPr>
        <w:t xml:space="preserve">Applies formula 1.3 to purchased/combusted fuels and formula 1.4 (carbon in coke/coal/ore vs. carbon out in hot metal + blast-furnace gas + slag) for the reduction chemistry.</w:t>
      </w:r>
    </w:p>
    <w:p>
      <w:pPr>
        <w:pStyle w:val="Heading2"/>
        <w:spacing w:after="150" w:before="300"/>
      </w:pPr>
      <w:r>
        <w:t xml:space="preserve">2.3 Basic Oxygen Furnace (BOF) — crude steel from hot metal + scrap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150" w:before="150"/>
        <w:jc w:val="center"/>
      </w:pPr>
      <w:r>
        <w:rPr>
          <w:rFonts w:ascii="Cambria Math" w:cs="Cambria Math" w:eastAsia="Cambria Math" w:hAnsi="Cambria Math"/>
          <w:b/>
          <w:bCs/>
          <w:sz w:val="24"/>
          <w:szCs w:val="24"/>
        </w:rPr>
        <w:t xml:space="preserve">E(CO2) = [ (Mhotmetal×wC,hm + Mscrap×wC,scrap + Mflux×wC,flux) − Msteel×wC,steel ] × 44/12</w:t>
      </w:r>
    </w:p>
    <w:p>
      <w:pPr>
        <w:spacing w:after="200" w:before="100"/>
      </w:pPr>
      <w:r>
        <w:rPr>
          <w:i/>
          <w:iCs/>
          <w:color w:val="555555"/>
          <w:sz w:val="20"/>
          <w:szCs w:val="20"/>
        </w:rPr>
        <w:t xml:space="preserve">Pure mass-balance process: carbon-rich hot metal (~4.3% C) is decarburised to steel (~0.05–1% C); the carbon difference leaves as BOF gas/CO₂.</w:t>
      </w:r>
    </w:p>
    <w:p>
      <w:pPr>
        <w:pStyle w:val="Heading2"/>
        <w:spacing w:after="150" w:before="300"/>
      </w:pPr>
      <w:r>
        <w:t xml:space="preserve">2.4 Electric Arc Furnace (EAF) — crude steel from scrap/DRI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150" w:before="150"/>
        <w:jc w:val="center"/>
      </w:pPr>
      <w:r>
        <w:rPr>
          <w:rFonts w:ascii="Cambria Math" w:cs="Cambria Math" w:eastAsia="Cambria Math" w:hAnsi="Cambria Math"/>
          <w:b/>
          <w:bCs/>
          <w:sz w:val="24"/>
          <w:szCs w:val="24"/>
        </w:rPr>
        <w:t xml:space="preserve">E(CO2) = Σ(Mcarbon inputs × wC) − Msteel×wC,steel) × 44/12  +  Σ(ADnat.gas/electrode × EF × OF)</w:t>
      </w:r>
    </w:p>
    <w:p>
      <w:pPr>
        <w:spacing w:after="200" w:before="100"/>
      </w:pPr>
      <w:r>
        <w:rPr>
          <w:i/>
          <w:iCs/>
          <w:color w:val="555555"/>
          <w:sz w:val="20"/>
          <w:szCs w:val="20"/>
        </w:rPr>
        <w:t xml:space="preserve">Main direct-emission sources: graphite electrode consumption, injected carbon/natural gas for foaming slag, and carbon in scrap/DRI vs. carbon in steel output. Electricity used to melt the charge is an indirect emission and — per section 1.2 — is not priced for steel.</w:t>
      </w:r>
    </w:p>
    <w:p>
      <w:pPr>
        <w:pStyle w:val="Heading2"/>
        <w:spacing w:after="150" w:before="300"/>
      </w:pPr>
      <w:r>
        <w:t xml:space="preserve">2.5 Direct Reduced Iron (DRI)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150" w:before="150"/>
        <w:jc w:val="center"/>
      </w:pPr>
      <w:r>
        <w:rPr>
          <w:rFonts w:ascii="Cambria Math" w:cs="Cambria Math" w:eastAsia="Cambria Math" w:hAnsi="Cambria Math"/>
          <w:b/>
          <w:bCs/>
          <w:sz w:val="24"/>
          <w:szCs w:val="24"/>
        </w:rPr>
        <w:t xml:space="preserve">E = AD(natural gas or syngas) × EF × OF   (combustion + reduction reaction, gas-based route)</w:t>
      </w:r>
    </w:p>
    <w:p>
      <w:pPr>
        <w:pStyle w:val="Heading2"/>
        <w:spacing w:after="150" w:before="300"/>
      </w:pPr>
      <w:r>
        <w:t xml:space="preserve">2.6 Downstream finished steel products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150" w:before="150"/>
        <w:jc w:val="center"/>
      </w:pPr>
      <w:r>
        <w:rPr>
          <w:rFonts w:ascii="Cambria Math" w:cs="Cambria Math" w:eastAsia="Cambria Math" w:hAnsi="Cambria Math"/>
          <w:b/>
          <w:bCs/>
          <w:sz w:val="24"/>
          <w:szCs w:val="24"/>
        </w:rPr>
        <w:t xml:space="preserve">SEE(finished product) = SEE(crude steel) × ratio(crude steel/product) + SEE(own process, e.g. rolling)</w:t>
      </w:r>
    </w:p>
    <w:p>
      <w:pPr>
        <w:spacing w:after="200" w:before="100"/>
      </w:pPr>
      <w:r>
        <w:rPr>
          <w:i/>
          <w:iCs/>
          <w:color w:val="555555"/>
          <w:sz w:val="20"/>
          <w:szCs w:val="20"/>
        </w:rPr>
        <w:t xml:space="preserve">ratio(crude steel/product) is the yield factor: tonnes of crude steel needed per tonne of finished product, which is &gt;1 because of scale/trim losses.</w:t>
      </w:r>
    </w:p>
    <w:p>
      <w:pPr>
        <w:pBdr>
          <w:bottom w:val="single" w:color="999999" w:sz="6" w:space="1"/>
        </w:pBdr>
        <w:spacing w:after="200" w:before="200"/>
      </w:pPr>
    </w:p>
    <w:p>
      <w:pPr>
        <w:pStyle w:val="Heading1"/>
        <w:spacing w:after="200" w:before="400"/>
      </w:pPr>
      <w:r>
        <w:t xml:space="preserve">3. Aluminium sector</w:t>
      </w:r>
    </w:p>
    <w:p>
      <w:pPr>
        <w:spacing w:after="150"/>
      </w:pPr>
      <w:r>
        <w:t xml:space="preserve">Aluminium is also Annex II (direct emissions only), but unlike steel it additionally involves perfluorocarbon (PFC) gases (CF₄, C₂F₆) from the electrolysis process, which must be converted to CO₂-equivalent using GWP factors.</w:t>
      </w:r>
    </w:p>
    <w:p>
      <w:pPr>
        <w:pStyle w:val="Heading2"/>
        <w:spacing w:after="150" w:before="300"/>
      </w:pPr>
      <w:r>
        <w:t xml:space="preserve">3.1 Primary aluminium — CO₂ from anode consumption</w:t>
      </w:r>
    </w:p>
    <w:p>
      <w:pPr>
        <w:pStyle w:val="Heading3"/>
        <w:spacing w:after="100" w:before="200"/>
      </w:pPr>
      <w:r>
        <w:t xml:space="preserve">(a) Simple/default method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150" w:before="150"/>
        <w:jc w:val="center"/>
      </w:pPr>
      <w:r>
        <w:rPr>
          <w:rFonts w:ascii="Cambria Math" w:cs="Cambria Math" w:eastAsia="Cambria Math" w:hAnsi="Cambria Math"/>
          <w:b/>
          <w:bCs/>
          <w:sz w:val="24"/>
          <w:szCs w:val="24"/>
        </w:rPr>
        <w:t xml:space="preserve">E(CO2) = EFtechnology × Production(Al)</w:t>
      </w:r>
    </w:p>
    <w:p>
      <w:pPr>
        <w:spacing w:after="200" w:before="100"/>
      </w:pPr>
      <w:r>
        <w:rPr>
          <w:i/>
          <w:iCs/>
          <w:color w:val="555555"/>
          <w:sz w:val="20"/>
          <w:szCs w:val="20"/>
        </w:rPr>
        <w:t xml:space="preserve">EFtechnology is a default factor (t CO₂ / t Al) that depends on the cell technology: prebake, Søderberg vertical-stud (VSS) or horizontal-stud (HSS).</w:t>
      </w:r>
    </w:p>
    <w:p>
      <w:pPr>
        <w:pStyle w:val="Heading3"/>
        <w:spacing w:after="100" w:before="200"/>
      </w:pPr>
      <w:r>
        <w:t xml:space="preserve">(b) Mass-balance / net carbon consumption method (more accurate, plant-specific)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150" w:before="150"/>
        <w:jc w:val="center"/>
      </w:pPr>
      <w:r>
        <w:rPr>
          <w:rFonts w:ascii="Cambria Math" w:cs="Cambria Math" w:eastAsia="Cambria Math" w:hAnsi="Cambria Math"/>
          <w:b/>
          <w:bCs/>
          <w:sz w:val="24"/>
          <w:szCs w:val="24"/>
        </w:rPr>
        <w:t xml:space="preserve">E(CO2) = Production(Al) × NCC × 44/12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300"/>
      </w:tblGrid>
      <w:tr>
        <w:trPr>
          <w:tblHeader/>
        </w:trPr>
        <w:tc>
          <w:tcPr>
            <w:tcW w:type="dxa" w:w="1800"/>
            <w:shd w:fill="1F4E5F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6300"/>
            <w:shd w:fill="1F4E5F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Production(Al)</w:t>
            </w:r>
          </w:p>
        </w:tc>
        <w:tc>
          <w:tcPr>
            <w:tcW w:type="dxa" w:w="63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Tonnes of primary aluminium produced in the period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NCC</w:t>
            </w:r>
          </w:p>
        </w:tc>
        <w:tc>
          <w:tcPr>
            <w:tcW w:type="dxa" w:w="63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Net Carbon Consumption: net mass of anode carbon actually oxidised to CO₂ per tonne of Al produced (t C / t Al), i.e. gross anode consumption minus recovered butts/ash and non-oxidised carbon</w:t>
            </w:r>
          </w:p>
        </w:tc>
      </w:tr>
    </w:tbl>
    <w:p>
      <w:pPr>
        <w:pStyle w:val="Heading2"/>
        <w:spacing w:after="150" w:before="300"/>
      </w:pPr>
      <w:r>
        <w:t xml:space="preserve">3.2 Primary aluminium — PFC emissions (CF₄ and C₂F₆ from anode effects)</w:t>
      </w:r>
    </w:p>
    <w:p>
      <w:pPr>
        <w:pStyle w:val="Heading3"/>
        <w:spacing w:after="100" w:before="200"/>
      </w:pPr>
      <w:r>
        <w:t xml:space="preserve">Tier 2 — Slope method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150" w:before="150"/>
        <w:jc w:val="center"/>
      </w:pPr>
      <w:r>
        <w:rPr>
          <w:rFonts w:ascii="Cambria Math" w:cs="Cambria Math" w:eastAsia="Cambria Math" w:hAnsi="Cambria Math"/>
          <w:b/>
          <w:bCs/>
          <w:sz w:val="24"/>
          <w:szCs w:val="24"/>
        </w:rPr>
        <w:t xml:space="preserve">E(CF4) [kg/t Al] = S(CF4) × AEM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150" w:before="150"/>
        <w:jc w:val="center"/>
      </w:pPr>
      <w:r>
        <w:rPr>
          <w:rFonts w:ascii="Cambria Math" w:cs="Cambria Math" w:eastAsia="Cambria Math" w:hAnsi="Cambria Math"/>
          <w:b/>
          <w:bCs/>
          <w:sz w:val="24"/>
          <w:szCs w:val="24"/>
        </w:rPr>
        <w:t xml:space="preserve">E(C2F6) [kg/t Al] = E(CF4) × F(C2F6/CF4)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300"/>
      </w:tblGrid>
      <w:tr>
        <w:trPr>
          <w:tblHeader/>
        </w:trPr>
        <w:tc>
          <w:tcPr>
            <w:tcW w:type="dxa" w:w="1800"/>
            <w:shd w:fill="1F4E5F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6300"/>
            <w:shd w:fill="1F4E5F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S(CF4)</w:t>
            </w:r>
          </w:p>
        </w:tc>
        <w:tc>
          <w:tcPr>
            <w:tcW w:type="dxa" w:w="63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Slope coefficient, measured per smelter/technology — (kg CF₄ / t Al) per (anode-effect-minute / cell-day)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AEM</w:t>
            </w:r>
          </w:p>
        </w:tc>
        <w:tc>
          <w:tcPr>
            <w:tcW w:type="dxa" w:w="63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Anode Effect Minutes per cell-day = frequency of anode effects × average duration (minutes/cell-day)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F(C2F6/CF4)</w:t>
            </w:r>
          </w:p>
        </w:tc>
        <w:tc>
          <w:tcPr>
            <w:tcW w:type="dxa" w:w="63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Technology-specific mass ratio of C₂F₆ to CF₄ generated (typically ~0.1 for center-worked prebake cells)</w:t>
            </w:r>
          </w:p>
        </w:tc>
      </w:tr>
    </w:tbl>
    <w:p>
      <w:pPr>
        <w:pStyle w:val="Heading3"/>
        <w:spacing w:after="100" w:before="200"/>
      </w:pPr>
      <w:r>
        <w:t xml:space="preserve">Tier 3 — Overvoltage method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150" w:before="150"/>
        <w:jc w:val="center"/>
      </w:pPr>
      <w:r>
        <w:rPr>
          <w:rFonts w:ascii="Cambria Math" w:cs="Cambria Math" w:eastAsia="Cambria Math" w:hAnsi="Cambria Math"/>
          <w:b/>
          <w:bCs/>
          <w:sz w:val="24"/>
          <w:szCs w:val="24"/>
        </w:rPr>
        <w:t xml:space="preserve">E(CF4) [kg/t Al] = K × AEO / CE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300"/>
      </w:tblGrid>
      <w:tr>
        <w:trPr>
          <w:tblHeader/>
        </w:trPr>
        <w:tc>
          <w:tcPr>
            <w:tcW w:type="dxa" w:w="1800"/>
            <w:shd w:fill="1F4E5F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6300"/>
            <w:shd w:fill="1F4E5F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</w:t>
            </w:r>
          </w:p>
        </w:tc>
        <w:tc>
          <w:tcPr>
            <w:tcW w:type="dxa" w:w="63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Overvoltage coefficient, technology-specific (kg CF₄ / t Al per mV of anode-effect overvoltage)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AEO</w:t>
            </w:r>
          </w:p>
        </w:tc>
        <w:tc>
          <w:tcPr>
            <w:tcW w:type="dxa" w:w="63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Anode Effect Overvoltage — average excess cell voltage during anode effects × frequency (mV/cell-day)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CE</w:t>
            </w:r>
          </w:p>
        </w:tc>
        <w:tc>
          <w:tcPr>
            <w:tcW w:type="dxa" w:w="63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Current efficiency of the cell (fraction, typically ~0.90–0.96)</w:t>
            </w:r>
          </w:p>
        </w:tc>
      </w:tr>
    </w:tbl>
    <w:p>
      <w:pPr>
        <w:pStyle w:val="Heading3"/>
        <w:spacing w:after="100" w:before="200"/>
      </w:pPr>
      <w:r>
        <w:t xml:space="preserve">Converting PFC mass to CO₂-equivalent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150" w:before="150"/>
        <w:jc w:val="center"/>
      </w:pPr>
      <w:r>
        <w:rPr>
          <w:rFonts w:ascii="Cambria Math" w:cs="Cambria Math" w:eastAsia="Cambria Math" w:hAnsi="Cambria Math"/>
          <w:b/>
          <w:bCs/>
          <w:sz w:val="24"/>
          <w:szCs w:val="24"/>
        </w:rPr>
        <w:t xml:space="preserve">CO2e(PFC) = [ E(CF4)×Production(Al) ] × GWP(CF4)  +  [ E(C2F6)×Production(Al) ] × GWP(C2F6)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300"/>
      </w:tblGrid>
      <w:tr>
        <w:trPr>
          <w:tblHeader/>
        </w:trPr>
        <w:tc>
          <w:tcPr>
            <w:tcW w:type="dxa" w:w="1800"/>
            <w:shd w:fill="1F4E5F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6300"/>
            <w:shd w:fill="1F4E5F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GWP(CF4)</w:t>
            </w:r>
          </w:p>
        </w:tc>
        <w:tc>
          <w:tcPr>
            <w:tcW w:type="dxa" w:w="63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100-yr Global Warming Potential of CF₄ = 6,630 (IPCC AR5)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GWP(C2F6)</w:t>
            </w:r>
          </w:p>
        </w:tc>
        <w:tc>
          <w:tcPr>
            <w:tcW w:type="dxa" w:w="63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100-yr Global Warming Potential of C₂F₆ = 11,100 (IPCC AR5)</w:t>
            </w:r>
          </w:p>
        </w:tc>
      </w:tr>
    </w:tbl>
    <w:p>
      <w:pPr>
        <w:spacing w:after="200" w:before="100"/>
      </w:pPr>
      <w:r>
        <w:rPr>
          <w:i/>
          <w:iCs/>
          <w:color w:val="555555"/>
          <w:sz w:val="20"/>
          <w:szCs w:val="20"/>
        </w:rPr>
        <w:t xml:space="preserve">Total direct SEE of primary aluminium = [E(CO2) from 3.1 + CO2e(PFC) from 3.2] ÷ Production(Al).</w:t>
      </w:r>
    </w:p>
    <w:p>
      <w:pPr>
        <w:pStyle w:val="Heading2"/>
        <w:spacing w:after="150" w:before="300"/>
      </w:pPr>
      <w:r>
        <w:t xml:space="preserve">3.3 Secondary (recycled) aluminium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150" w:before="150"/>
        <w:jc w:val="center"/>
      </w:pPr>
      <w:r>
        <w:rPr>
          <w:rFonts w:ascii="Cambria Math" w:cs="Cambria Math" w:eastAsia="Cambria Math" w:hAnsi="Cambria Math"/>
          <w:b/>
          <w:bCs/>
          <w:sz w:val="24"/>
          <w:szCs w:val="24"/>
        </w:rPr>
        <w:t xml:space="preserve">E(CO2) = Σ(AD(remelt furnace fuel) × EF × OF)</w:t>
      </w:r>
    </w:p>
    <w:p>
      <w:pPr>
        <w:spacing w:after="200" w:before="100"/>
      </w:pPr>
      <w:r>
        <w:rPr>
          <w:i/>
          <w:iCs/>
          <w:color w:val="555555"/>
          <w:sz w:val="20"/>
          <w:szCs w:val="20"/>
        </w:rPr>
        <w:t xml:space="preserve">No electrolysis and no anode ⇒ no PFCs and no anode-CO₂ term. Emissions come only from combustion in the remelting/holding furnace, which is why recycled aluminium's footprint is typically far lower per tonne than primary aluminium (order of magnitude difference — treat exact benchmark numbers as indicative defaults published by the Commission, not fixed constants).</w:t>
      </w:r>
    </w:p>
    <w:p>
      <w:pPr>
        <w:pStyle w:val="Heading2"/>
        <w:spacing w:after="150" w:before="300"/>
      </w:pPr>
      <w:r>
        <w:t xml:space="preserve">3.4 Downstream aluminium products (alloys, extrusions, rolled/cast products)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150" w:before="150"/>
        <w:jc w:val="center"/>
      </w:pPr>
      <w:r>
        <w:rPr>
          <w:rFonts w:ascii="Cambria Math" w:cs="Cambria Math" w:eastAsia="Cambria Math" w:hAnsi="Cambria Math"/>
          <w:b/>
          <w:bCs/>
          <w:sz w:val="24"/>
          <w:szCs w:val="24"/>
        </w:rPr>
        <w:t xml:space="preserve">SEE(product) = SEE(primary or secondary Al input) × ratio(input/product) + SEE(own process, e.g. casting/extrusion/rolling)</w:t>
      </w:r>
    </w:p>
    <w:p>
      <w:pPr>
        <w:pBdr>
          <w:bottom w:val="single" w:color="999999" w:sz="6" w:space="1"/>
        </w:pBdr>
        <w:spacing w:after="200" w:before="200"/>
      </w:pPr>
    </w:p>
    <w:p>
      <w:pPr>
        <w:pStyle w:val="Heading1"/>
        <w:spacing w:after="200" w:before="400"/>
      </w:pPr>
      <w:r>
        <w:t xml:space="preserve">4. From footprint to CBAM certificates (context)</w:t>
      </w:r>
    </w:p>
    <w:p>
      <w:pPr>
        <w:spacing w:after="150"/>
      </w:pPr>
      <w:r>
        <w:t xml:space="preserve">Once SEE is known, the number of CBAM certificates an importer must surrender follows Regulation (EU) 2023/956, Art. 9 and 31: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150" w:before="150"/>
        <w:jc w:val="center"/>
      </w:pPr>
      <w:r>
        <w:rPr>
          <w:rFonts w:ascii="Cambria Math" w:cs="Cambria Math" w:eastAsia="Cambria Math" w:hAnsi="Cambria Math"/>
          <w:b/>
          <w:bCs/>
          <w:sz w:val="24"/>
          <w:szCs w:val="24"/>
        </w:rPr>
        <w:t xml:space="preserve">N = [ SEEg − (Benchmarkg × CBAMFactoryear) ] × Qg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150" w:before="150"/>
        <w:jc w:val="center"/>
      </w:pPr>
      <w:r>
        <w:rPr>
          <w:rFonts w:ascii="Cambria Math" w:cs="Cambria Math" w:eastAsia="Cambria Math" w:hAnsi="Cambria Math"/>
          <w:b/>
          <w:bCs/>
          <w:sz w:val="24"/>
          <w:szCs w:val="24"/>
        </w:rPr>
        <w:t xml:space="preserve">Nfinal = N × (1 − Carbon Price Adjustment)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300"/>
      </w:tblGrid>
      <w:tr>
        <w:trPr>
          <w:tblHeader/>
        </w:trPr>
        <w:tc>
          <w:tcPr>
            <w:tcW w:type="dxa" w:w="1800"/>
            <w:shd w:fill="1F4E5F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6300"/>
            <w:shd w:fill="1F4E5F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Benchmarkg</w:t>
            </w:r>
          </w:p>
        </w:tc>
        <w:tc>
          <w:tcPr>
            <w:tcW w:type="dxa" w:w="63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EU ETS free-allocation benchmark for good g (t CO₂e/t) — reflects what an efficient EU producer would emit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CBAMFactoryear</w:t>
            </w:r>
          </w:p>
        </w:tc>
        <w:tc>
          <w:tcPr>
            <w:tcW w:type="dxa" w:w="63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Phase-out factor of free allocation: 2.5% (2026) → 5% (2027) → 10% (2028) → … → 100% (2034)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Carbon Price Adjustment</w:t>
            </w:r>
          </w:p>
        </w:tc>
        <w:tc>
          <w:tcPr>
            <w:tcW w:type="dxa" w:w="63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Deduction for a verified carbon price already effectively paid in the country of production</w:t>
            </w:r>
          </w:p>
        </w:tc>
      </w:tr>
    </w:tbl>
    <w:p>
      <w:pPr>
        <w:spacing w:after="200" w:before="100"/>
      </w:pPr>
      <w:r>
        <w:rPr>
          <w:i/>
          <w:iCs/>
          <w:color w:val="555555"/>
          <w:sz w:val="20"/>
          <w:szCs w:val="20"/>
        </w:rPr>
        <w:t xml:space="preserve">This section is included for context only — the user's request was specifically about the emissions/footprint formulas in sections 1–3, which feed directly into this certificate calculation.</w:t>
      </w:r>
    </w:p>
    <w:p>
      <w:pPr>
        <w:pBdr>
          <w:bottom w:val="single" w:color="999999" w:sz="6" w:space="1"/>
        </w:pBdr>
        <w:spacing w:after="200" w:before="200"/>
      </w:pPr>
    </w:p>
    <w:p>
      <w:pPr>
        <w:pStyle w:val="Heading1"/>
        <w:spacing w:after="200" w:before="400"/>
      </w:pPr>
      <w:r>
        <w:t xml:space="preserve">5. Sources</w:t>
      </w:r>
    </w:p>
    <w:p>
      <w:pPr>
        <w:spacing w:after="150"/>
      </w:pPr>
      <w:r>
        <w:t xml:space="preserve">Primary legal texts (open these directly to check current article/equation numbering — they could not be fetched live in this session):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Regulation (EU) 2023/956 (CBAM framework): https://eur-lex.europa.eu/eli/reg/2023/956/oj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Implementing Regulation (EU) 2023/1773 (transitional-period methodology, Annex III): https://eur-lex.europa.eu/eli/reg_impl/2023/1773/oj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Implementing Regulation (EU) 2025/2547 (definitive-period calculation methodology): search EUR-Lex CELEX 32025R2547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Implementing Regulation (EU) 2025/2620 (free-allocation adjustment) / 2025/2621 (default values): search EUR-Lex CELEX 32025R2620 / 32025R2621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EU ETS Monitoring &amp; Reporting Regulation (EU) 2018/2066, Annex IV (fuel/mass-balance and aluminium PFC methods): https://www.legislation.gov.uk/eur/2018/2066/annex/IV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IPCC Good Practice Guidance — PFC Emissions from Primary Aluminium Production: https://www.ipcc-nggip.iges.or.jp/public/gp/bgp/3_3_PFC_Primary_Aluminium_Production.pdf</w:t>
      </w:r>
    </w:p>
    <w:p>
      <w:pPr>
        <w:spacing w:after="150"/>
      </w:pPr>
      <w:r>
        <w:t xml:space="preserve">Secondary sources used to cross-check and phrase the formulas (consultancy/industry explainers of the same official methodology):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European Commission, Taxation and Customs Union — CBAM Guidance for installation operators: taxation-customs.ec.europa.eu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CBAM Guide — Embedded Emissions Step-by-Step Calculation Guide 2026: cbamguide.com/compliance/embedded-emissions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GTG Consulting — Mass Balance Method in CBAM (steel): gtgcons.com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CarbonChain Help Center — Preparing CBAM data for Crude Steel, DRI, Pig Iron, Sinter: learn.carbonchain.io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Decerna — CBAM Aluminium Calculator (primary vs secondary): decerna.co.uk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International Aluminium Institute — Aluminium Sector Greenhouse Gas Protocol: ghgprotocol.org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carboneer — CBAM definitive period: key regulatory updates and scope extension: carboneer.earth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2026-07-28T15:48:25.015Z</dcterms:created>
  <dcterms:modified xsi:type="dcterms:W3CDTF">2026-07-28T15:48:25.015Z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