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Architectural Decisions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ID:</w:t>
            </w:r>
          </w:p>
        </w:tc>
        <w:tc>
          <w:tcPr>
            <w:tcW w:type="dxa" w:w="1440"/>
          </w:tcPr>
          <w:p>
            <w:r>
              <w:t>Subject:</w:t>
            </w:r>
          </w:p>
        </w:tc>
        <w:tc>
          <w:tcPr>
            <w:tcW w:type="dxa" w:w="1440"/>
          </w:tcPr>
          <w:p>
            <w:r>
              <w:t>Issue / Requirement:</w:t>
            </w:r>
          </w:p>
        </w:tc>
        <w:tc>
          <w:tcPr>
            <w:tcW w:type="dxa" w:w="1440"/>
          </w:tcPr>
          <w:p>
            <w:r>
              <w:t>Decision:</w:t>
            </w:r>
          </w:p>
        </w:tc>
        <w:tc>
          <w:tcPr>
            <w:tcW w:type="dxa" w:w="1440"/>
          </w:tcPr>
          <w:p>
            <w:r>
              <w:t>Rationale:</w:t>
            </w:r>
          </w:p>
        </w:tc>
        <w:tc>
          <w:tcPr>
            <w:tcW w:type="dxa" w:w="1440"/>
          </w:tcPr>
          <w:p>
            <w:r>
              <w:t>Source:</w:t>
              <w:br/>
              <w:t>Project Phase:</w:t>
            </w:r>
          </w:p>
        </w:tc>
      </w:tr>
      <w:tr>
        <w:tc>
          <w:tcPr>
            <w:tcW w:type="dxa" w:w="1440"/>
          </w:tcPr>
          <w:p>
            <w:r>
              <w:t>G06</w:t>
            </w:r>
          </w:p>
        </w:tc>
        <w:tc>
          <w:tcPr>
            <w:tcW w:type="dxa" w:w="1440"/>
          </w:tcPr>
          <w:p>
            <w:r>
              <w:t>Folder/Project Structure</w:t>
            </w:r>
          </w:p>
        </w:tc>
        <w:tc>
          <w:tcPr>
            <w:tcW w:type="dxa" w:w="1440"/>
          </w:tcPr>
          <w:p>
            <w:r>
              <w:t>Need to define a scalable structure for organizing GCP resources aligned with departments or environments. Avoid project sprawl and ensure clear ownership.</w:t>
            </w:r>
          </w:p>
        </w:tc>
        <w:tc>
          <w:tcPr>
            <w:tcW w:type="dxa" w:w="1440"/>
          </w:tcPr>
          <w:p>
            <w:r>
              <w:t>Implement a GCP folder hierarchy under the Organization node, grouped by function (e.g., Production, Dev), and further by department. Each workload gets its own project.</w:t>
            </w:r>
          </w:p>
        </w:tc>
        <w:tc>
          <w:tcPr>
            <w:tcW w:type="dxa" w:w="1440"/>
          </w:tcPr>
          <w:p>
            <w:r>
              <w:t>Improves manageability, billing clarity, and policy enforcement by aligning GCP resources with organizational structure.</w:t>
            </w:r>
          </w:p>
        </w:tc>
        <w:tc>
          <w:tcPr>
            <w:tcW w:type="dxa" w:w="1440"/>
          </w:tcPr>
          <w:p>
            <w:r>
              <w:br/>
            </w:r>
          </w:p>
        </w:tc>
      </w:tr>
      <w:tr>
        <w:tc>
          <w:tcPr>
            <w:tcW w:type="dxa" w:w="1440"/>
          </w:tcPr>
          <w:p>
            <w:r>
              <w:t>G07</w:t>
            </w:r>
          </w:p>
        </w:tc>
        <w:tc>
          <w:tcPr>
            <w:tcW w:type="dxa" w:w="1440"/>
          </w:tcPr>
          <w:p>
            <w:r>
              <w:t>Network Architecture</w:t>
            </w:r>
          </w:p>
        </w:tc>
        <w:tc>
          <w:tcPr>
            <w:tcW w:type="dxa" w:w="1440"/>
          </w:tcPr>
          <w:p>
            <w:r>
              <w:t>Need to connect multiple projects securely and consistently while maintaining scalability and isolation.</w:t>
            </w:r>
          </w:p>
        </w:tc>
        <w:tc>
          <w:tcPr>
            <w:tcW w:type="dxa" w:w="1440"/>
          </w:tcPr>
          <w:p>
            <w:r>
              <w:t>Adopt a hub-and-spoke network model using Shared VPCs. Centralized networking in the hub; departments connect via spokes.</w:t>
            </w:r>
          </w:p>
        </w:tc>
        <w:tc>
          <w:tcPr>
            <w:tcW w:type="dxa" w:w="1440"/>
          </w:tcPr>
          <w:p>
            <w:r>
              <w:t>Provides consistent security policies, centralized logging, and simplifies cross-project communication and control.</w:t>
            </w:r>
          </w:p>
        </w:tc>
        <w:tc>
          <w:tcPr>
            <w:tcW w:type="dxa" w:w="1440"/>
          </w:tcPr>
          <w:p>
            <w:r>
              <w:br/>
            </w:r>
          </w:p>
        </w:tc>
      </w:tr>
      <w:tr>
        <w:tc>
          <w:tcPr>
            <w:tcW w:type="dxa" w:w="1440"/>
          </w:tcPr>
          <w:p>
            <w:r>
              <w:t>G08</w:t>
            </w:r>
          </w:p>
        </w:tc>
        <w:tc>
          <w:tcPr>
            <w:tcW w:type="dxa" w:w="1440"/>
          </w:tcPr>
          <w:p>
            <w:r>
              <w:t>Firewall Strategy</w:t>
            </w:r>
          </w:p>
        </w:tc>
        <w:tc>
          <w:tcPr>
            <w:tcW w:type="dxa" w:w="1440"/>
          </w:tcPr>
          <w:p>
            <w:r>
              <w:t>Determine whether to use GCP-native firewall or third-party like Palo Alto for different workloads including IaaS and SaaS platforms.</w:t>
            </w:r>
          </w:p>
        </w:tc>
        <w:tc>
          <w:tcPr>
            <w:tcW w:type="dxa" w:w="1440"/>
          </w:tcPr>
          <w:p>
            <w:r>
              <w:t>Use GCP-native firewalls for standard workloads and integrate Palo Alto firewall appliances for high-security workloads.</w:t>
            </w:r>
          </w:p>
        </w:tc>
        <w:tc>
          <w:tcPr>
            <w:tcW w:type="dxa" w:w="1440"/>
          </w:tcPr>
          <w:p>
            <w:r>
              <w:t>Balances ease of use and cost efficiency with advanced threat protection for sensitive applications.</w:t>
            </w:r>
          </w:p>
        </w:tc>
        <w:tc>
          <w:tcPr>
            <w:tcW w:type="dxa" w:w="1440"/>
          </w:tcPr>
          <w:p>
            <w:r>
              <w:br/>
            </w:r>
          </w:p>
        </w:tc>
      </w:tr>
      <w:tr>
        <w:tc>
          <w:tcPr>
            <w:tcW w:type="dxa" w:w="1440"/>
          </w:tcPr>
          <w:p>
            <w:r>
              <w:t>G09</w:t>
            </w:r>
          </w:p>
        </w:tc>
        <w:tc>
          <w:tcPr>
            <w:tcW w:type="dxa" w:w="1440"/>
          </w:tcPr>
          <w:p>
            <w:r>
              <w:t>Identity and Access Management (IAM)</w:t>
            </w:r>
          </w:p>
        </w:tc>
        <w:tc>
          <w:tcPr>
            <w:tcW w:type="dxa" w:w="1440"/>
          </w:tcPr>
          <w:p>
            <w:r>
              <w:t>Need to integrate GCP IAM with MTA’s existing identity provider (Azure AD) for single sign-on and centralized user control.</w:t>
            </w:r>
          </w:p>
        </w:tc>
        <w:tc>
          <w:tcPr>
            <w:tcW w:type="dxa" w:w="1440"/>
          </w:tcPr>
          <w:p>
            <w:r>
              <w:t>Federate GCP with Azure AD using SAML. Leverage Google Cloud IAM roles with conditional access policies.</w:t>
            </w:r>
          </w:p>
        </w:tc>
        <w:tc>
          <w:tcPr>
            <w:tcW w:type="dxa" w:w="1440"/>
          </w:tcPr>
          <w:p>
            <w:r>
              <w:t>Supports enterprise-wide identity strategy, ensures secure and compliant access to GCP resources, and simplifies user lifecycle management.</w:t>
            </w:r>
          </w:p>
        </w:tc>
        <w:tc>
          <w:tcPr>
            <w:tcW w:type="dxa" w:w="1440"/>
          </w:tcPr>
          <w:p>
            <w:r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