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tbl>
      <w:tblPr>
        <w:tblW w:type="auto" w:w="0"/>
        <w:jc w:val="left"/>
        <w:tblLayout w:type="fixed"/>
        <w:tblLook w:firstColumn="1" w:firstRow="1" w:lastColumn="0" w:lastRow="0" w:noHBand="0" w:noVBand="1" w:val="04A0"/>
      </w:tblPr>
      <w:tblGrid>
        <w:gridCol w:w="1800"/>
      </w:tblGrid>
      <w:tr>
        <w:trPr>
          <w:tblHeader w:val="true"/>
        </w:trPr>
        <w:tc>
          <w:tcPr>
            <w:tcW w:type="dxa" w:w="1800"/>
            <w:shd w:fill="2E74B5"/>
          </w:tcPr>
          <w:p>
            <w:r/>
          </w:p>
        </w:tc>
      </w:tr>
    </w:tbl>
    <w:p>
      <w:pPr>
        <w:spacing w:before="480" w:after="200"/>
      </w:pPr>
      <w:r>
        <w:rPr>
          <w:rFonts w:ascii="Calibri" w:hAnsi="Calibri"/>
          <w:b/>
          <w:color w:val="1F4D78"/>
          <w:sz w:val="76"/>
        </w:rPr>
        <w:t>AI-Enabled Contracts Lab</w:t>
      </w:r>
    </w:p>
    <w:p>
      <w:pPr>
        <w:spacing w:after="360"/>
      </w:pPr>
      <w:r>
        <w:rPr>
          <w:rFonts w:ascii="Calibri" w:hAnsi="Calibri"/>
          <w:color w:val="2E74B5"/>
          <w:sz w:val="44"/>
        </w:rPr>
        <w:t>User &amp; Developer Guide</w:t>
      </w:r>
    </w:p>
    <w:p>
      <w:pPr>
        <w:spacing w:after="680"/>
      </w:pPr>
      <w:r>
        <w:rPr>
          <w:rFonts w:ascii="Calibri" w:hAnsi="Calibri"/>
          <w:i/>
          <w:color w:val="667085"/>
          <w:sz w:val="26"/>
        </w:rPr>
        <w:t>A private-first guide to the hybrid BERT and generative-LLM contract analysis, drafting, evaluation, and release workflow</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584"/>
            <w:tcMar>
              <w:top w:w="70" w:type="dxa"/>
              <w:start w:w="90" w:type="dxa"/>
              <w:bottom w:w="70" w:type="dxa"/>
              <w:end w:w="90" w:type="dxa"/>
            </w:tcMar>
            <w:shd w:fill="F4F6F7"/>
          </w:tcPr>
          <w:p>
            <w:r>
              <w:rPr>
                <w:b/>
                <w:color w:val="1F4D78"/>
              </w:rPr>
              <w:t>Audience</w:t>
            </w:r>
          </w:p>
        </w:tc>
        <w:tc>
          <w:tcPr>
            <w:tcW w:type="dxa" w:w="7488"/>
            <w:tcMar>
              <w:top w:w="70" w:type="dxa"/>
              <w:start w:w="90" w:type="dxa"/>
              <w:bottom w:w="70" w:type="dxa"/>
              <w:end w:w="90" w:type="dxa"/>
            </w:tcMar>
            <w:shd w:fill="F4F6F7"/>
          </w:tcPr>
          <w:p>
            <w:r>
              <w:rPr>
                <w:color w:val="202124"/>
              </w:rPr>
              <w:t>Python learners, legal-AI researchers, and contributors</w:t>
            </w:r>
          </w:p>
        </w:tc>
      </w:tr>
      <w:tr>
        <w:tc>
          <w:tcPr>
            <w:tcW w:type="dxa" w:w="1584"/>
            <w:tcMar>
              <w:top w:w="70" w:type="dxa"/>
              <w:start w:w="90" w:type="dxa"/>
              <w:bottom w:w="70" w:type="dxa"/>
              <w:end w:w="90" w:type="dxa"/>
            </w:tcMar>
            <w:shd w:fill="FFFFFF"/>
          </w:tcPr>
          <w:p>
            <w:r>
              <w:rPr>
                <w:b/>
                <w:color w:val="1F4D78"/>
              </w:rPr>
              <w:t>Edition</w:t>
            </w:r>
          </w:p>
        </w:tc>
        <w:tc>
          <w:tcPr>
            <w:tcW w:type="dxa" w:w="7488"/>
            <w:tcMar>
              <w:top w:w="70" w:type="dxa"/>
              <w:start w:w="90" w:type="dxa"/>
              <w:bottom w:w="70" w:type="dxa"/>
              <w:end w:w="90" w:type="dxa"/>
            </w:tcMar>
            <w:shd w:fill="FFFFFF"/>
          </w:tcPr>
          <w:p>
            <w:r>
              <w:rPr>
                <w:color w:val="202124"/>
              </w:rPr>
              <w:t>Version 0.1.0  •  August 2026</w:t>
            </w:r>
          </w:p>
        </w:tc>
      </w:tr>
    </w:tbl>
    <w:p>
      <w:pPr>
        <w:spacing w:before="1100" w:after="0"/>
      </w:pPr>
      <w:r>
        <w:rPr>
          <w:rFonts w:ascii="Calibri" w:hAnsi="Calibri"/>
          <w:b/>
          <w:color w:val="1F4D78"/>
          <w:sz w:val="20"/>
        </w:rPr>
        <w:t>Educational software • Not legal advice • Human review required</w:t>
      </w:r>
    </w:p>
    <w:p>
      <w:r>
        <w:br w:type="page"/>
      </w:r>
    </w:p>
    <w:p>
      <w:pPr>
        <w:spacing w:after="100"/>
      </w:pPr>
      <w:r>
        <w:rPr>
          <w:rFonts w:ascii="Calibri" w:hAnsi="Calibri"/>
          <w:b/>
          <w:color w:val="1F4D78"/>
          <w:sz w:val="48"/>
        </w:rPr>
        <w:t>Table of Contents</w:t>
      </w:r>
    </w:p>
    <w:p>
      <w:pPr>
        <w:spacing w:after="200"/>
      </w:pPr>
      <w:r>
        <w:rPr>
          <w:color w:val="667085"/>
          <w:sz w:val="18"/>
        </w:rPr>
        <w:t>Click an entry in Word to navigate. Page numbering can vary with the installed fonts, Word version, printer settings, and accessibility options.</w:t>
      </w:r>
    </w:p>
    <w:p>
      <w:pPr>
        <w:pStyle w:val="TOCEntry1"/>
        <w:tabs>
          <w:tab w:pos="9288" w:val="right" w:leader="dot"/>
        </w:tabs>
      </w:pPr>
      <w:hyperlink w:anchor="guide_sec_001">
        <w:r>
          <w:rPr>
            <w:color w:val="2E74B5"/>
            <w:u w:val="single"/>
          </w:rPr>
          <w:t>1. Purpose and learning outcomes</w:t>
        </w:r>
      </w:hyperlink>
      <w:r>
        <w:tab/>
      </w:r>
      <w:r>
        <w:t>5</w:t>
      </w:r>
    </w:p>
    <w:p>
      <w:pPr>
        <w:pStyle w:val="TOCEntry2"/>
        <w:tabs>
          <w:tab w:pos="9288" w:val="right" w:leader="dot"/>
        </w:tabs>
      </w:pPr>
      <w:hyperlink w:anchor="guide_sec_002">
        <w:r>
          <w:rPr>
            <w:color w:val="2E74B5"/>
            <w:u w:val="single"/>
          </w:rPr>
          <w:t>1.1 What version 0.1.0 covers</w:t>
        </w:r>
      </w:hyperlink>
      <w:r>
        <w:tab/>
      </w:r>
      <w:r>
        <w:t>5</w:t>
      </w:r>
    </w:p>
    <w:p>
      <w:pPr>
        <w:pStyle w:val="TOCEntry2"/>
        <w:tabs>
          <w:tab w:pos="9288" w:val="right" w:leader="dot"/>
        </w:tabs>
      </w:pPr>
      <w:hyperlink w:anchor="guide_sec_003">
        <w:r>
          <w:rPr>
            <w:color w:val="2E74B5"/>
            <w:u w:val="single"/>
          </w:rPr>
          <w:t>1.2 What the first version intentionally does not do</w:t>
        </w:r>
      </w:hyperlink>
      <w:r>
        <w:tab/>
      </w:r>
      <w:r>
        <w:t>6</w:t>
      </w:r>
    </w:p>
    <w:p>
      <w:pPr>
        <w:pStyle w:val="TOCEntry2"/>
        <w:tabs>
          <w:tab w:pos="9288" w:val="right" w:leader="dot"/>
        </w:tabs>
      </w:pPr>
      <w:hyperlink w:anchor="guide_sec_004">
        <w:r>
          <w:rPr>
            <w:color w:val="2E74B5"/>
            <w:u w:val="single"/>
          </w:rPr>
          <w:t>1.3 Modern hybrid legal-AI system</w:t>
        </w:r>
      </w:hyperlink>
      <w:r>
        <w:tab/>
      </w:r>
      <w:r>
        <w:t>6</w:t>
      </w:r>
    </w:p>
    <w:p>
      <w:pPr>
        <w:pStyle w:val="TOCEntry1"/>
        <w:tabs>
          <w:tab w:pos="9288" w:val="right" w:leader="dot"/>
        </w:tabs>
      </w:pPr>
      <w:hyperlink w:anchor="guide_sec_005">
        <w:r>
          <w:rPr>
            <w:color w:val="2E74B5"/>
            <w:u w:val="single"/>
          </w:rPr>
          <w:t>2. System requirements and installation</w:t>
        </w:r>
      </w:hyperlink>
      <w:r>
        <w:tab/>
      </w:r>
      <w:r>
        <w:t>6</w:t>
      </w:r>
    </w:p>
    <w:p>
      <w:pPr>
        <w:pStyle w:val="TOCEntry2"/>
        <w:tabs>
          <w:tab w:pos="9288" w:val="right" w:leader="dot"/>
        </w:tabs>
      </w:pPr>
      <w:hyperlink w:anchor="guide_sec_006">
        <w:r>
          <w:rPr>
            <w:color w:val="2E74B5"/>
            <w:u w:val="single"/>
          </w:rPr>
          <w:t>2.1 Target computer</w:t>
        </w:r>
      </w:hyperlink>
      <w:r>
        <w:tab/>
      </w:r>
      <w:r>
        <w:t>6</w:t>
      </w:r>
    </w:p>
    <w:p>
      <w:pPr>
        <w:pStyle w:val="TOCEntry2"/>
        <w:tabs>
          <w:tab w:pos="9288" w:val="right" w:leader="dot"/>
        </w:tabs>
      </w:pPr>
      <w:hyperlink w:anchor="guide_sec_007">
        <w:r>
          <w:rPr>
            <w:color w:val="2E74B5"/>
            <w:u w:val="single"/>
          </w:rPr>
          <w:t>2.2 Install uv</w:t>
        </w:r>
      </w:hyperlink>
      <w:r>
        <w:tab/>
      </w:r>
      <w:r>
        <w:t>7</w:t>
      </w:r>
    </w:p>
    <w:p>
      <w:pPr>
        <w:pStyle w:val="TOCEntry2"/>
        <w:tabs>
          <w:tab w:pos="9288" w:val="right" w:leader="dot"/>
        </w:tabs>
      </w:pPr>
      <w:hyperlink w:anchor="guide_sec_008">
        <w:r>
          <w:rPr>
            <w:color w:val="2E74B5"/>
            <w:u w:val="single"/>
          </w:rPr>
          <w:t>2.3 Open the project directory</w:t>
        </w:r>
      </w:hyperlink>
      <w:r>
        <w:tab/>
      </w:r>
      <w:r>
        <w:t>7</w:t>
      </w:r>
    </w:p>
    <w:p>
      <w:pPr>
        <w:pStyle w:val="TOCEntry2"/>
        <w:tabs>
          <w:tab w:pos="9288" w:val="right" w:leader="dot"/>
        </w:tabs>
      </w:pPr>
      <w:hyperlink w:anchor="guide_sec_009">
        <w:r>
          <w:rPr>
            <w:color w:val="2E74B5"/>
            <w:u w:val="single"/>
          </w:rPr>
          <w:t>2.4 Recommended RTX 5070 setup</w:t>
        </w:r>
      </w:hyperlink>
      <w:r>
        <w:tab/>
      </w:r>
      <w:r>
        <w:t>7</w:t>
      </w:r>
    </w:p>
    <w:p>
      <w:pPr>
        <w:pStyle w:val="TOCEntry2"/>
        <w:tabs>
          <w:tab w:pos="9288" w:val="right" w:leader="dot"/>
        </w:tabs>
      </w:pPr>
      <w:hyperlink w:anchor="guide_sec_010">
        <w:r>
          <w:rPr>
            <w:color w:val="2E74B5"/>
            <w:u w:val="single"/>
          </w:rPr>
          <w:t>2.5 CPU-only setup</w:t>
        </w:r>
      </w:hyperlink>
      <w:r>
        <w:tab/>
      </w:r>
      <w:r>
        <w:t>8</w:t>
      </w:r>
    </w:p>
    <w:p>
      <w:pPr>
        <w:pStyle w:val="TOCEntry2"/>
        <w:tabs>
          <w:tab w:pos="9288" w:val="right" w:leader="dot"/>
        </w:tabs>
      </w:pPr>
      <w:hyperlink w:anchor="guide_sec_011">
        <w:r>
          <w:rPr>
            <w:color w:val="2E74B5"/>
            <w:u w:val="single"/>
          </w:rPr>
          <w:t>2.6 Activate the environment only when helpful</w:t>
        </w:r>
      </w:hyperlink>
      <w:r>
        <w:tab/>
      </w:r>
      <w:r>
        <w:t>8</w:t>
      </w:r>
    </w:p>
    <w:p>
      <w:pPr>
        <w:pStyle w:val="TOCEntry1"/>
        <w:tabs>
          <w:tab w:pos="9288" w:val="right" w:leader="dot"/>
        </w:tabs>
      </w:pPr>
      <w:hyperlink w:anchor="guide_sec_012">
        <w:r>
          <w:rPr>
            <w:color w:val="2E74B5"/>
            <w:u w:val="single"/>
          </w:rPr>
          <w:t>3. Starting and stopping AI-Enabled Contracts Lab</w:t>
        </w:r>
      </w:hyperlink>
      <w:r>
        <w:tab/>
      </w:r>
      <w:r>
        <w:t>8</w:t>
      </w:r>
    </w:p>
    <w:p>
      <w:pPr>
        <w:pStyle w:val="TOCEntry2"/>
        <w:tabs>
          <w:tab w:pos="9288" w:val="right" w:leader="dot"/>
        </w:tabs>
      </w:pPr>
      <w:hyperlink w:anchor="guide_sec_013">
        <w:r>
          <w:rPr>
            <w:color w:val="2E74B5"/>
            <w:u w:val="single"/>
          </w:rPr>
          <w:t>3.1 Simplest launch</w:t>
        </w:r>
      </w:hyperlink>
      <w:r>
        <w:tab/>
      </w:r>
      <w:r>
        <w:t>8</w:t>
      </w:r>
    </w:p>
    <w:p>
      <w:pPr>
        <w:pStyle w:val="TOCEntry2"/>
        <w:tabs>
          <w:tab w:pos="9288" w:val="right" w:leader="dot"/>
        </w:tabs>
      </w:pPr>
      <w:hyperlink w:anchor="guide_sec_014">
        <w:r>
          <w:rPr>
            <w:color w:val="2E74B5"/>
            <w:u w:val="single"/>
          </w:rPr>
          <w:t>3.2 Launch from PowerShell</w:t>
        </w:r>
      </w:hyperlink>
      <w:r>
        <w:tab/>
      </w:r>
      <w:r>
        <w:t>8</w:t>
      </w:r>
    </w:p>
    <w:p>
      <w:pPr>
        <w:pStyle w:val="TOCEntry2"/>
        <w:tabs>
          <w:tab w:pos="9288" w:val="right" w:leader="dot"/>
        </w:tabs>
      </w:pPr>
      <w:hyperlink w:anchor="guide_sec_015">
        <w:r>
          <w:rPr>
            <w:color w:val="2E74B5"/>
            <w:u w:val="single"/>
          </w:rPr>
          <w:t>3.3 Run the application command manually</w:t>
        </w:r>
      </w:hyperlink>
      <w:r>
        <w:tab/>
      </w:r>
      <w:r>
        <w:t>8</w:t>
      </w:r>
    </w:p>
    <w:p>
      <w:pPr>
        <w:pStyle w:val="TOCEntry2"/>
        <w:tabs>
          <w:tab w:pos="9288" w:val="right" w:leader="dot"/>
        </w:tabs>
      </w:pPr>
      <w:hyperlink w:anchor="guide_sec_016">
        <w:r>
          <w:rPr>
            <w:color w:val="2E74B5"/>
            <w:u w:val="single"/>
          </w:rPr>
          <w:t>3.4 Health check and clean shutdown</w:t>
        </w:r>
      </w:hyperlink>
      <w:r>
        <w:tab/>
      </w:r>
      <w:r>
        <w:t>9</w:t>
      </w:r>
    </w:p>
    <w:p>
      <w:pPr>
        <w:pStyle w:val="TOCEntry1"/>
        <w:tabs>
          <w:tab w:pos="9288" w:val="right" w:leader="dot"/>
        </w:tabs>
      </w:pPr>
      <w:hyperlink w:anchor="guide_sec_017">
        <w:r>
          <w:rPr>
            <w:color w:val="2E74B5"/>
            <w:u w:val="single"/>
          </w:rPr>
          <w:t>4. Workbench tour</w:t>
        </w:r>
      </w:hyperlink>
      <w:r>
        <w:tab/>
      </w:r>
      <w:r>
        <w:t>9</w:t>
      </w:r>
    </w:p>
    <w:p>
      <w:pPr>
        <w:pStyle w:val="TOCEntry2"/>
        <w:tabs>
          <w:tab w:pos="9288" w:val="right" w:leader="dot"/>
        </w:tabs>
      </w:pPr>
      <w:hyperlink w:anchor="guide_sec_018">
        <w:r>
          <w:rPr>
            <w:color w:val="2E74B5"/>
            <w:u w:val="single"/>
          </w:rPr>
          <w:t>4.1 Home</w:t>
        </w:r>
      </w:hyperlink>
      <w:r>
        <w:tab/>
      </w:r>
      <w:r>
        <w:t>9</w:t>
      </w:r>
    </w:p>
    <w:p>
      <w:pPr>
        <w:pStyle w:val="TOCEntry2"/>
        <w:tabs>
          <w:tab w:pos="9288" w:val="right" w:leader="dot"/>
        </w:tabs>
      </w:pPr>
      <w:hyperlink w:anchor="guide_sec_019">
        <w:r>
          <w:rPr>
            <w:color w:val="2E74B5"/>
            <w:u w:val="single"/>
          </w:rPr>
          <w:t>4.2 Guided classifier course</w:t>
        </w:r>
      </w:hyperlink>
      <w:r>
        <w:tab/>
      </w:r>
      <w:r>
        <w:t>9</w:t>
      </w:r>
    </w:p>
    <w:p>
      <w:pPr>
        <w:pStyle w:val="TOCEntry2"/>
        <w:tabs>
          <w:tab w:pos="9288" w:val="right" w:leader="dot"/>
        </w:tabs>
      </w:pPr>
      <w:hyperlink w:anchor="guide_sec_020">
        <w:r>
          <w:rPr>
            <w:color w:val="2E74B5"/>
            <w:u w:val="single"/>
          </w:rPr>
          <w:t>4.3 Dataset lab</w:t>
        </w:r>
      </w:hyperlink>
      <w:r>
        <w:tab/>
      </w:r>
      <w:r>
        <w:t>10</w:t>
      </w:r>
    </w:p>
    <w:p>
      <w:pPr>
        <w:pStyle w:val="TOCEntry2"/>
        <w:tabs>
          <w:tab w:pos="9288" w:val="right" w:leader="dot"/>
        </w:tabs>
      </w:pPr>
      <w:hyperlink w:anchor="guide_sec_021">
        <w:r>
          <w:rPr>
            <w:color w:val="2E74B5"/>
            <w:u w:val="single"/>
          </w:rPr>
          <w:t>4.4 Model lab</w:t>
        </w:r>
      </w:hyperlink>
      <w:r>
        <w:tab/>
      </w:r>
      <w:r>
        <w:t>10</w:t>
      </w:r>
    </w:p>
    <w:p>
      <w:pPr>
        <w:pStyle w:val="TOCEntry2"/>
        <w:tabs>
          <w:tab w:pos="9288" w:val="right" w:leader="dot"/>
        </w:tabs>
      </w:pPr>
      <w:hyperlink w:anchor="guide_sec_022">
        <w:r>
          <w:rPr>
            <w:color w:val="2E74B5"/>
            <w:u w:val="single"/>
          </w:rPr>
          <w:t>4.5 Train</w:t>
        </w:r>
      </w:hyperlink>
      <w:r>
        <w:tab/>
      </w:r>
      <w:r>
        <w:t>10</w:t>
      </w:r>
    </w:p>
    <w:p>
      <w:pPr>
        <w:pStyle w:val="TOCEntry2"/>
        <w:tabs>
          <w:tab w:pos="9288" w:val="right" w:leader="dot"/>
        </w:tabs>
      </w:pPr>
      <w:hyperlink w:anchor="guide_sec_023">
        <w:r>
          <w:rPr>
            <w:color w:val="2E74B5"/>
            <w:u w:val="single"/>
          </w:rPr>
          <w:t>4.6 Evaluate</w:t>
        </w:r>
      </w:hyperlink>
      <w:r>
        <w:tab/>
      </w:r>
      <w:r>
        <w:t>10</w:t>
      </w:r>
    </w:p>
    <w:p>
      <w:pPr>
        <w:pStyle w:val="TOCEntry2"/>
        <w:tabs>
          <w:tab w:pos="9288" w:val="right" w:leader="dot"/>
        </w:tabs>
      </w:pPr>
      <w:hyperlink w:anchor="guide_sec_024">
        <w:r>
          <w:rPr>
            <w:color w:val="2E74B5"/>
            <w:u w:val="single"/>
          </w:rPr>
          <w:t>4.7 Contract chat</w:t>
        </w:r>
      </w:hyperlink>
      <w:r>
        <w:tab/>
      </w:r>
      <w:r>
        <w:t>11</w:t>
      </w:r>
    </w:p>
    <w:p>
      <w:pPr>
        <w:pStyle w:val="TOCEntry2"/>
        <w:tabs>
          <w:tab w:pos="9288" w:val="right" w:leader="dot"/>
        </w:tabs>
      </w:pPr>
      <w:hyperlink w:anchor="guide_sec_025">
        <w:r>
          <w:rPr>
            <w:color w:val="2E74B5"/>
            <w:u w:val="single"/>
          </w:rPr>
          <w:t>4.8 Contract assistant</w:t>
        </w:r>
      </w:hyperlink>
      <w:r>
        <w:tab/>
      </w:r>
      <w:r>
        <w:t>11</w:t>
      </w:r>
    </w:p>
    <w:p>
      <w:pPr>
        <w:pStyle w:val="TOCEntry2"/>
        <w:tabs>
          <w:tab w:pos="9288" w:val="right" w:leader="dot"/>
        </w:tabs>
      </w:pPr>
      <w:hyperlink w:anchor="guide_sec_026">
        <w:r>
          <w:rPr>
            <w:color w:val="2E74B5"/>
            <w:u w:val="single"/>
          </w:rPr>
          <w:t>4.9 Experiments</w:t>
        </w:r>
      </w:hyperlink>
      <w:r>
        <w:tab/>
      </w:r>
      <w:r>
        <w:t>11</w:t>
      </w:r>
    </w:p>
    <w:p>
      <w:pPr>
        <w:pStyle w:val="TOCEntry2"/>
        <w:tabs>
          <w:tab w:pos="9288" w:val="right" w:leader="dot"/>
        </w:tabs>
      </w:pPr>
      <w:hyperlink w:anchor="guide_sec_027">
        <w:r>
          <w:rPr>
            <w:color w:val="2E74B5"/>
            <w:u w:val="single"/>
          </w:rPr>
          <w:t>4.10 Code lab</w:t>
        </w:r>
      </w:hyperlink>
      <w:r>
        <w:tab/>
      </w:r>
      <w:r>
        <w:t>12</w:t>
      </w:r>
    </w:p>
    <w:p>
      <w:pPr>
        <w:pStyle w:val="TOCEntry2"/>
        <w:tabs>
          <w:tab w:pos="9288" w:val="right" w:leader="dot"/>
        </w:tabs>
      </w:pPr>
      <w:hyperlink w:anchor="guide_sec_028">
        <w:r>
          <w:rPr>
            <w:color w:val="2E74B5"/>
            <w:u w:val="single"/>
          </w:rPr>
          <w:t>4.11 Settings</w:t>
        </w:r>
      </w:hyperlink>
      <w:r>
        <w:tab/>
      </w:r>
      <w:r>
        <w:t>12</w:t>
      </w:r>
    </w:p>
    <w:p>
      <w:pPr>
        <w:pStyle w:val="TOCEntry1"/>
        <w:tabs>
          <w:tab w:pos="9288" w:val="right" w:leader="dot"/>
        </w:tabs>
      </w:pPr>
      <w:hyperlink w:anchor="guide_sec_029">
        <w:r>
          <w:rPr>
            <w:color w:val="2E74B5"/>
            <w:u w:val="single"/>
          </w:rPr>
          <w:t>5. First guided classifier experiment</w:t>
        </w:r>
      </w:hyperlink>
      <w:r>
        <w:tab/>
      </w:r>
      <w:r>
        <w:t>12</w:t>
      </w:r>
    </w:p>
    <w:p>
      <w:pPr>
        <w:pStyle w:val="TOCEntry2"/>
        <w:tabs>
          <w:tab w:pos="9288" w:val="right" w:leader="dot"/>
        </w:tabs>
      </w:pPr>
      <w:hyperlink w:anchor="guide_sec_030">
        <w:r>
          <w:rPr>
            <w:color w:val="2E74B5"/>
            <w:u w:val="single"/>
          </w:rPr>
          <w:t>5.1 Confirm the environment</w:t>
        </w:r>
      </w:hyperlink>
      <w:r>
        <w:tab/>
      </w:r>
      <w:r>
        <w:t>12</w:t>
      </w:r>
    </w:p>
    <w:p>
      <w:pPr>
        <w:pStyle w:val="TOCEntry2"/>
        <w:tabs>
          <w:tab w:pos="9288" w:val="right" w:leader="dot"/>
        </w:tabs>
      </w:pPr>
      <w:hyperlink w:anchor="guide_sec_031">
        <w:r>
          <w:rPr>
            <w:color w:val="2E74B5"/>
            <w:u w:val="single"/>
          </w:rPr>
          <w:t>5.2 Study the first lessons</w:t>
        </w:r>
      </w:hyperlink>
      <w:r>
        <w:tab/>
      </w:r>
      <w:r>
        <w:t>12</w:t>
      </w:r>
    </w:p>
    <w:p>
      <w:pPr>
        <w:pStyle w:val="TOCEntry2"/>
        <w:tabs>
          <w:tab w:pos="9288" w:val="right" w:leader="dot"/>
        </w:tabs>
      </w:pPr>
      <w:hyperlink w:anchor="guide_sec_032">
        <w:r>
          <w:rPr>
            <w:color w:val="2E74B5"/>
            <w:u w:val="single"/>
          </w:rPr>
          <w:t>5.3 Prepare the synthetic dataset</w:t>
        </w:r>
      </w:hyperlink>
      <w:r>
        <w:tab/>
      </w:r>
      <w:r>
        <w:t>12</w:t>
      </w:r>
    </w:p>
    <w:p>
      <w:pPr>
        <w:pStyle w:val="TOCEntry2"/>
        <w:tabs>
          <w:tab w:pos="9288" w:val="right" w:leader="dot"/>
        </w:tabs>
      </w:pPr>
      <w:hyperlink w:anchor="guide_sec_033">
        <w:r>
          <w:rPr>
            <w:color w:val="2E74B5"/>
            <w:u w:val="single"/>
          </w:rPr>
          <w:t>5.4 Choose a model</w:t>
        </w:r>
      </w:hyperlink>
      <w:r>
        <w:tab/>
      </w:r>
      <w:r>
        <w:t>13</w:t>
      </w:r>
    </w:p>
    <w:p>
      <w:pPr>
        <w:pStyle w:val="TOCEntry2"/>
        <w:tabs>
          <w:tab w:pos="9288" w:val="right" w:leader="dot"/>
        </w:tabs>
      </w:pPr>
      <w:hyperlink w:anchor="guide_sec_034">
        <w:r>
          <w:rPr>
            <w:color w:val="2E74B5"/>
            <w:u w:val="single"/>
          </w:rPr>
          <w:t>5.5 Configure a learning run</w:t>
        </w:r>
      </w:hyperlink>
      <w:r>
        <w:tab/>
      </w:r>
      <w:r>
        <w:t>13</w:t>
      </w:r>
    </w:p>
    <w:p>
      <w:pPr>
        <w:pStyle w:val="TOCEntry2"/>
        <w:tabs>
          <w:tab w:pos="9288" w:val="right" w:leader="dot"/>
        </w:tabs>
      </w:pPr>
      <w:hyperlink w:anchor="guide_sec_035">
        <w:r>
          <w:rPr>
            <w:color w:val="2E74B5"/>
            <w:u w:val="single"/>
          </w:rPr>
          <w:t>5.6 Watch the training process</w:t>
        </w:r>
      </w:hyperlink>
      <w:r>
        <w:tab/>
      </w:r>
      <w:r>
        <w:t>14</w:t>
      </w:r>
    </w:p>
    <w:p>
      <w:pPr>
        <w:pStyle w:val="TOCEntry2"/>
        <w:tabs>
          <w:tab w:pos="9288" w:val="right" w:leader="dot"/>
        </w:tabs>
      </w:pPr>
      <w:hyperlink w:anchor="guide_sec_036">
        <w:r>
          <w:rPr>
            <w:color w:val="2E74B5"/>
            <w:u w:val="single"/>
          </w:rPr>
          <w:t>5.7 Evaluate and record observations</w:t>
        </w:r>
      </w:hyperlink>
      <w:r>
        <w:tab/>
      </w:r>
      <w:r>
        <w:t>14</w:t>
      </w:r>
    </w:p>
    <w:p>
      <w:pPr>
        <w:pStyle w:val="TOCEntry1"/>
        <w:tabs>
          <w:tab w:pos="9288" w:val="right" w:leader="dot"/>
        </w:tabs>
      </w:pPr>
      <w:hyperlink w:anchor="guide_sec_037">
        <w:r>
          <w:rPr>
            <w:color w:val="2E74B5"/>
            <w:u w:val="single"/>
          </w:rPr>
          <w:t>6. Dataset design and validation</w:t>
        </w:r>
      </w:hyperlink>
      <w:r>
        <w:tab/>
      </w:r>
      <w:r>
        <w:t>14</w:t>
      </w:r>
    </w:p>
    <w:p>
      <w:pPr>
        <w:pStyle w:val="TOCEntry2"/>
        <w:tabs>
          <w:tab w:pos="9288" w:val="right" w:leader="dot"/>
        </w:tabs>
      </w:pPr>
      <w:hyperlink w:anchor="guide_sec_038">
        <w:r>
          <w:rPr>
            <w:color w:val="2E74B5"/>
            <w:u w:val="single"/>
          </w:rPr>
          <w:t>6.1 Required schema</w:t>
        </w:r>
      </w:hyperlink>
      <w:r>
        <w:tab/>
      </w:r>
      <w:r>
        <w:t>14</w:t>
      </w:r>
    </w:p>
    <w:p>
      <w:pPr>
        <w:pStyle w:val="TOCEntry2"/>
        <w:tabs>
          <w:tab w:pos="9288" w:val="right" w:leader="dot"/>
        </w:tabs>
      </w:pPr>
      <w:hyperlink w:anchor="guide_sec_039">
        <w:r>
          <w:rPr>
            <w:color w:val="2E74B5"/>
            <w:u w:val="single"/>
          </w:rPr>
          <w:t>6.2 Grouped splitting</w:t>
        </w:r>
      </w:hyperlink>
      <w:r>
        <w:tab/>
      </w:r>
      <w:r>
        <w:t>15</w:t>
      </w:r>
    </w:p>
    <w:p>
      <w:pPr>
        <w:pStyle w:val="TOCEntry2"/>
        <w:tabs>
          <w:tab w:pos="9288" w:val="right" w:leader="dot"/>
        </w:tabs>
      </w:pPr>
      <w:hyperlink w:anchor="guide_sec_040">
        <w:r>
          <w:rPr>
            <w:color w:val="2E74B5"/>
            <w:u w:val="single"/>
          </w:rPr>
          <w:t>6.3 Label quality</w:t>
        </w:r>
      </w:hyperlink>
      <w:r>
        <w:tab/>
      </w:r>
      <w:r>
        <w:t>15</w:t>
      </w:r>
    </w:p>
    <w:p>
      <w:pPr>
        <w:pStyle w:val="TOCEntry2"/>
        <w:tabs>
          <w:tab w:pos="9288" w:val="right" w:leader="dot"/>
        </w:tabs>
      </w:pPr>
      <w:hyperlink w:anchor="guide_sec_041">
        <w:r>
          <w:rPr>
            <w:color w:val="2E74B5"/>
            <w:u w:val="single"/>
          </w:rPr>
          <w:t>6.4 The five dataset families in this project</w:t>
        </w:r>
      </w:hyperlink>
      <w:r>
        <w:tab/>
      </w:r>
      <w:r>
        <w:t>15</w:t>
      </w:r>
    </w:p>
    <w:p>
      <w:pPr>
        <w:pStyle w:val="TOCEntry2"/>
        <w:tabs>
          <w:tab w:pos="9288" w:val="right" w:leader="dot"/>
        </w:tabs>
      </w:pPr>
      <w:hyperlink w:anchor="guide_sec_042">
        <w:r>
          <w:rPr>
            <w:color w:val="2E74B5"/>
            <w:u w:val="single"/>
          </w:rPr>
          <w:t>6.5 Use the project datasets in Dataset Lab</w:t>
        </w:r>
      </w:hyperlink>
      <w:r>
        <w:tab/>
      </w:r>
      <w:r>
        <w:t>16</w:t>
      </w:r>
    </w:p>
    <w:p>
      <w:pPr>
        <w:pStyle w:val="TOCEntry2"/>
        <w:tabs>
          <w:tab w:pos="9288" w:val="right" w:leader="dot"/>
        </w:tabs>
      </w:pPr>
      <w:hyperlink w:anchor="guide_sec_043">
        <w:r>
          <w:rPr>
            <w:color w:val="2E74B5"/>
            <w:u w:val="single"/>
          </w:rPr>
          <w:t>6.6 Run the project conversion manually</w:t>
        </w:r>
      </w:hyperlink>
      <w:r>
        <w:tab/>
      </w:r>
      <w:r>
        <w:t>17</w:t>
      </w:r>
    </w:p>
    <w:p>
      <w:pPr>
        <w:pStyle w:val="TOCEntry2"/>
        <w:tabs>
          <w:tab w:pos="9288" w:val="right" w:leader="dot"/>
        </w:tabs>
      </w:pPr>
      <w:hyperlink w:anchor="guide_sec_044">
        <w:r>
          <w:rPr>
            <w:color w:val="2E74B5"/>
            <w:u w:val="single"/>
          </w:rPr>
          <w:t>6.7 Download and prepare official CUAD</w:t>
        </w:r>
      </w:hyperlink>
      <w:r>
        <w:tab/>
      </w:r>
      <w:r>
        <w:t>18</w:t>
      </w:r>
    </w:p>
    <w:p>
      <w:pPr>
        <w:pStyle w:val="TOCEntry2"/>
        <w:tabs>
          <w:tab w:pos="9288" w:val="right" w:leader="dot"/>
        </w:tabs>
      </w:pPr>
      <w:hyperlink w:anchor="guide_sec_045">
        <w:r>
          <w:rPr>
            <w:color w:val="2E74B5"/>
            <w:u w:val="single"/>
          </w:rPr>
          <w:t>6.8 Use the verified clauses.csv and taxonomy definitions</w:t>
        </w:r>
      </w:hyperlink>
      <w:r>
        <w:tab/>
      </w:r>
      <w:r>
        <w:t>18</w:t>
      </w:r>
    </w:p>
    <w:p>
      <w:pPr>
        <w:pStyle w:val="TOCEntry2"/>
        <w:tabs>
          <w:tab w:pos="9288" w:val="right" w:leader="dot"/>
        </w:tabs>
      </w:pPr>
      <w:hyperlink w:anchor="guide_sec_046">
        <w:r>
          <w:rPr>
            <w:color w:val="2E74B5"/>
            <w:u w:val="single"/>
          </w:rPr>
          <w:t>6.9 Data that must not enter Git</w:t>
        </w:r>
      </w:hyperlink>
      <w:r>
        <w:tab/>
      </w:r>
      <w:r>
        <w:t>19</w:t>
      </w:r>
    </w:p>
    <w:p>
      <w:pPr>
        <w:pStyle w:val="TOCEntry2"/>
        <w:tabs>
          <w:tab w:pos="9288" w:val="right" w:leader="dot"/>
        </w:tabs>
      </w:pPr>
      <w:hyperlink w:anchor="guide_sec_047">
        <w:r>
          <w:rPr>
            <w:color w:val="2E74B5"/>
            <w:u w:val="single"/>
          </w:rPr>
          <w:t>6.10 Add future datasets safely</w:t>
        </w:r>
      </w:hyperlink>
      <w:r>
        <w:tab/>
      </w:r>
      <w:r>
        <w:t>19</w:t>
      </w:r>
    </w:p>
    <w:p>
      <w:pPr>
        <w:pStyle w:val="TOCEntry2"/>
        <w:tabs>
          <w:tab w:pos="9288" w:val="right" w:leader="dot"/>
        </w:tabs>
      </w:pPr>
      <w:hyperlink w:anchor="guide_sec_048">
        <w:r>
          <w:rPr>
            <w:color w:val="2E74B5"/>
            <w:u w:val="single"/>
          </w:rPr>
          <w:t>6.11 Use the 560,000-example multidomain bundle</w:t>
        </w:r>
      </w:hyperlink>
      <w:r>
        <w:tab/>
      </w:r>
      <w:r>
        <w:t>20</w:t>
      </w:r>
    </w:p>
    <w:p>
      <w:pPr>
        <w:pStyle w:val="TOCEntry1"/>
        <w:tabs>
          <w:tab w:pos="9288" w:val="right" w:leader="dot"/>
        </w:tabs>
      </w:pPr>
      <w:hyperlink w:anchor="guide_sec_049">
        <w:r>
          <w:rPr>
            <w:color w:val="2E74B5"/>
            <w:u w:val="single"/>
          </w:rPr>
          <w:t>7. Models and training controls</w:t>
        </w:r>
      </w:hyperlink>
      <w:r>
        <w:tab/>
      </w:r>
      <w:r>
        <w:t>21</w:t>
      </w:r>
    </w:p>
    <w:p>
      <w:pPr>
        <w:pStyle w:val="TOCEntry2"/>
        <w:tabs>
          <w:tab w:pos="9288" w:val="right" w:leader="dot"/>
        </w:tabs>
      </w:pPr>
      <w:hyperlink w:anchor="guide_sec_050">
        <w:r>
          <w:rPr>
            <w:color w:val="2E74B5"/>
            <w:u w:val="single"/>
          </w:rPr>
          <w:t>7.1 What is being fine-tuned</w:t>
        </w:r>
      </w:hyperlink>
      <w:r>
        <w:tab/>
      </w:r>
      <w:r>
        <w:t>21</w:t>
      </w:r>
    </w:p>
    <w:p>
      <w:pPr>
        <w:pStyle w:val="TOCEntry2"/>
        <w:tabs>
          <w:tab w:pos="9288" w:val="right" w:leader="dot"/>
        </w:tabs>
      </w:pPr>
      <w:hyperlink w:anchor="guide_sec_051">
        <w:r>
          <w:rPr>
            <w:color w:val="2E74B5"/>
            <w:u w:val="single"/>
          </w:rPr>
          <w:t>7.2 Tokenization and truncation</w:t>
        </w:r>
      </w:hyperlink>
      <w:r>
        <w:tab/>
      </w:r>
      <w:r>
        <w:t>22</w:t>
      </w:r>
    </w:p>
    <w:p>
      <w:pPr>
        <w:pStyle w:val="TOCEntry2"/>
        <w:tabs>
          <w:tab w:pos="9288" w:val="right" w:leader="dot"/>
        </w:tabs>
      </w:pPr>
      <w:hyperlink w:anchor="guide_sec_052">
        <w:r>
          <w:rPr>
            <w:color w:val="2E74B5"/>
            <w:u w:val="single"/>
          </w:rPr>
          <w:t>7.3 Effective batch size</w:t>
        </w:r>
      </w:hyperlink>
      <w:r>
        <w:tab/>
      </w:r>
      <w:r>
        <w:t>22</w:t>
      </w:r>
    </w:p>
    <w:p>
      <w:pPr>
        <w:pStyle w:val="TOCEntry2"/>
        <w:tabs>
          <w:tab w:pos="9288" w:val="right" w:leader="dot"/>
        </w:tabs>
      </w:pPr>
      <w:hyperlink w:anchor="guide_sec_053">
        <w:r>
          <w:rPr>
            <w:color w:val="2E74B5"/>
            <w:u w:val="single"/>
          </w:rPr>
          <w:t>7.4 Precision</w:t>
        </w:r>
      </w:hyperlink>
      <w:r>
        <w:tab/>
      </w:r>
      <w:r>
        <w:t>22</w:t>
      </w:r>
    </w:p>
    <w:p>
      <w:pPr>
        <w:pStyle w:val="TOCEntry2"/>
        <w:tabs>
          <w:tab w:pos="9288" w:val="right" w:leader="dot"/>
        </w:tabs>
      </w:pPr>
      <w:hyperlink w:anchor="guide_sec_054">
        <w:r>
          <w:rPr>
            <w:color w:val="2E74B5"/>
            <w:u w:val="single"/>
          </w:rPr>
          <w:t>7.5 Checkpoint selection</w:t>
        </w:r>
      </w:hyperlink>
      <w:r>
        <w:tab/>
      </w:r>
      <w:r>
        <w:t>22</w:t>
      </w:r>
    </w:p>
    <w:p>
      <w:pPr>
        <w:pStyle w:val="TOCEntry2"/>
        <w:tabs>
          <w:tab w:pos="9288" w:val="right" w:leader="dot"/>
        </w:tabs>
      </w:pPr>
      <w:hyperlink w:anchor="guide_sec_055">
        <w:r>
          <w:rPr>
            <w:color w:val="2E74B5"/>
            <w:u w:val="single"/>
          </w:rPr>
          <w:t>7.6 Contra v2 completed baseline</w:t>
        </w:r>
      </w:hyperlink>
      <w:r>
        <w:tab/>
      </w:r>
      <w:r>
        <w:t>22</w:t>
      </w:r>
    </w:p>
    <w:p>
      <w:pPr>
        <w:pStyle w:val="TOCEntry2"/>
        <w:tabs>
          <w:tab w:pos="9288" w:val="right" w:leader="dot"/>
        </w:tabs>
      </w:pPr>
      <w:hyperlink w:anchor="guide_sec_056">
        <w:r>
          <w:rPr>
            <w:color w:val="2E74B5"/>
            <w:u w:val="single"/>
          </w:rPr>
          <w:t>7.7 CUAD's original trained models and requirements</w:t>
        </w:r>
      </w:hyperlink>
      <w:r>
        <w:tab/>
      </w:r>
      <w:r>
        <w:t>23</w:t>
      </w:r>
    </w:p>
    <w:p>
      <w:pPr>
        <w:pStyle w:val="TOCEntry1"/>
        <w:tabs>
          <w:tab w:pos="9288" w:val="right" w:leader="dot"/>
        </w:tabs>
      </w:pPr>
      <w:hyperlink w:anchor="guide_sec_057">
        <w:r>
          <w:rPr>
            <w:color w:val="2E74B5"/>
            <w:u w:val="single"/>
          </w:rPr>
          <w:t>8. Weights &amp; Biases</w:t>
        </w:r>
      </w:hyperlink>
      <w:r>
        <w:tab/>
      </w:r>
      <w:r>
        <w:t>23</w:t>
      </w:r>
    </w:p>
    <w:p>
      <w:pPr>
        <w:pStyle w:val="TOCEntry2"/>
        <w:tabs>
          <w:tab w:pos="9288" w:val="right" w:leader="dot"/>
        </w:tabs>
      </w:pPr>
      <w:hyperlink w:anchor="guide_sec_058">
        <w:r>
          <w:rPr>
            <w:color w:val="2E74B5"/>
            <w:u w:val="single"/>
          </w:rPr>
          <w:t>8.1 Authenticate safely</w:t>
        </w:r>
      </w:hyperlink>
      <w:r>
        <w:tab/>
      </w:r>
      <w:r>
        <w:t>23</w:t>
      </w:r>
    </w:p>
    <w:p>
      <w:pPr>
        <w:pStyle w:val="TOCEntry2"/>
        <w:tabs>
          <w:tab w:pos="9288" w:val="right" w:leader="dot"/>
        </w:tabs>
      </w:pPr>
      <w:hyperlink w:anchor="guide_sec_059">
        <w:r>
          <w:rPr>
            <w:color w:val="2E74B5"/>
            <w:u w:val="single"/>
          </w:rPr>
          <w:t>8.2 Modes</w:t>
        </w:r>
      </w:hyperlink>
      <w:r>
        <w:tab/>
      </w:r>
      <w:r>
        <w:t>24</w:t>
      </w:r>
    </w:p>
    <w:p>
      <w:pPr>
        <w:pStyle w:val="TOCEntry2"/>
        <w:tabs>
          <w:tab w:pos="9288" w:val="right" w:leader="dot"/>
        </w:tabs>
      </w:pPr>
      <w:hyperlink w:anchor="guide_sec_060">
        <w:r>
          <w:rPr>
            <w:color w:val="2E74B5"/>
            <w:u w:val="single"/>
          </w:rPr>
          <w:t>8.3 What to compare</w:t>
        </w:r>
      </w:hyperlink>
      <w:r>
        <w:tab/>
      </w:r>
      <w:r>
        <w:t>24</w:t>
      </w:r>
    </w:p>
    <w:p>
      <w:pPr>
        <w:pStyle w:val="TOCEntry1"/>
        <w:tabs>
          <w:tab w:pos="9288" w:val="right" w:leader="dot"/>
        </w:tabs>
      </w:pPr>
      <w:hyperlink w:anchor="guide_sec_061">
        <w:r>
          <w:rPr>
            <w:color w:val="2E74B5"/>
            <w:u w:val="single"/>
          </w:rPr>
          <w:t>9. Evaluation and assistant use</w:t>
        </w:r>
      </w:hyperlink>
      <w:r>
        <w:tab/>
      </w:r>
      <w:r>
        <w:t>24</w:t>
      </w:r>
    </w:p>
    <w:p>
      <w:pPr>
        <w:pStyle w:val="TOCEntry2"/>
        <w:tabs>
          <w:tab w:pos="9288" w:val="right" w:leader="dot"/>
        </w:tabs>
      </w:pPr>
      <w:hyperlink w:anchor="guide_sec_062">
        <w:r>
          <w:rPr>
            <w:color w:val="2E74B5"/>
            <w:u w:val="single"/>
          </w:rPr>
          <w:t>9.1 Metric meanings</w:t>
        </w:r>
      </w:hyperlink>
      <w:r>
        <w:tab/>
      </w:r>
      <w:r>
        <w:t>24</w:t>
      </w:r>
    </w:p>
    <w:p>
      <w:pPr>
        <w:pStyle w:val="TOCEntry2"/>
        <w:tabs>
          <w:tab w:pos="9288" w:val="right" w:leader="dot"/>
        </w:tabs>
      </w:pPr>
      <w:hyperlink w:anchor="guide_sec_063">
        <w:r>
          <w:rPr>
            <w:color w:val="2E74B5"/>
            <w:u w:val="single"/>
          </w:rPr>
          <w:t>9.2 Confusion matrix</w:t>
        </w:r>
      </w:hyperlink>
      <w:r>
        <w:tab/>
      </w:r>
      <w:r>
        <w:t>25</w:t>
      </w:r>
    </w:p>
    <w:p>
      <w:pPr>
        <w:pStyle w:val="TOCEntry2"/>
        <w:tabs>
          <w:tab w:pos="9288" w:val="right" w:leader="dot"/>
        </w:tabs>
      </w:pPr>
      <w:hyperlink w:anchor="guide_sec_064">
        <w:r>
          <w:rPr>
            <w:color w:val="2E74B5"/>
            <w:u w:val="single"/>
          </w:rPr>
          <w:t>9.3 Error analysis loop</w:t>
        </w:r>
      </w:hyperlink>
      <w:r>
        <w:tab/>
      </w:r>
      <w:r>
        <w:t>25</w:t>
      </w:r>
    </w:p>
    <w:p>
      <w:pPr>
        <w:pStyle w:val="TOCEntry2"/>
        <w:tabs>
          <w:tab w:pos="9288" w:val="right" w:leader="dot"/>
        </w:tabs>
      </w:pPr>
      <w:hyperlink w:anchor="guide_sec_065">
        <w:r>
          <w:rPr>
            <w:color w:val="2E74B5"/>
            <w:u w:val="single"/>
          </w:rPr>
          <w:t>9.4 Six assistant capabilities</w:t>
        </w:r>
      </w:hyperlink>
      <w:r>
        <w:tab/>
      </w:r>
      <w:r>
        <w:t>25</w:t>
      </w:r>
    </w:p>
    <w:p>
      <w:pPr>
        <w:pStyle w:val="TOCEntry1"/>
        <w:tabs>
          <w:tab w:pos="9288" w:val="right" w:leader="dot"/>
        </w:tabs>
      </w:pPr>
      <w:hyperlink w:anchor="guide_sec_066">
        <w:r>
          <w:rPr>
            <w:color w:val="2E74B5"/>
            <w:u w:val="single"/>
          </w:rPr>
          <w:t>10. Running the code manually</w:t>
        </w:r>
      </w:hyperlink>
      <w:r>
        <w:tab/>
      </w:r>
      <w:r>
        <w:t>25</w:t>
      </w:r>
    </w:p>
    <w:p>
      <w:pPr>
        <w:pStyle w:val="TOCEntry2"/>
        <w:tabs>
          <w:tab w:pos="9288" w:val="right" w:leader="dot"/>
        </w:tabs>
      </w:pPr>
      <w:hyperlink w:anchor="guide_sec_067">
        <w:r>
          <w:rPr>
            <w:color w:val="2E74B5"/>
            <w:u w:val="single"/>
          </w:rPr>
          <w:t>10.1 Inspect available commands</w:t>
        </w:r>
      </w:hyperlink>
      <w:r>
        <w:tab/>
      </w:r>
      <w:r>
        <w:t>26</w:t>
      </w:r>
    </w:p>
    <w:p>
      <w:pPr>
        <w:pStyle w:val="TOCEntry2"/>
        <w:tabs>
          <w:tab w:pos="9288" w:val="right" w:leader="dot"/>
        </w:tabs>
      </w:pPr>
      <w:hyperlink w:anchor="guide_sec_068">
        <w:r>
          <w:rPr>
            <w:color w:val="2E74B5"/>
            <w:u w:val="single"/>
          </w:rPr>
          <w:t>10.2 Generate a safe synthetic CSV</w:t>
        </w:r>
      </w:hyperlink>
      <w:r>
        <w:tab/>
      </w:r>
      <w:r>
        <w:t>26</w:t>
      </w:r>
    </w:p>
    <w:p>
      <w:pPr>
        <w:pStyle w:val="TOCEntry2"/>
        <w:tabs>
          <w:tab w:pos="9288" w:val="right" w:leader="dot"/>
        </w:tabs>
      </w:pPr>
      <w:hyperlink w:anchor="guide_sec_069">
        <w:r>
          <w:rPr>
            <w:color w:val="2E74B5"/>
            <w:u w:val="single"/>
          </w:rPr>
          <w:t>10.3 Prepare CUAD project data manually</w:t>
        </w:r>
      </w:hyperlink>
      <w:r>
        <w:tab/>
      </w:r>
      <w:r>
        <w:t>26</w:t>
      </w:r>
    </w:p>
    <w:p>
      <w:pPr>
        <w:pStyle w:val="TOCEntry2"/>
        <w:tabs>
          <w:tab w:pos="9288" w:val="right" w:leader="dot"/>
        </w:tabs>
      </w:pPr>
      <w:hyperlink w:anchor="guide_sec_070">
        <w:r>
          <w:rPr>
            <w:color w:val="2E74B5"/>
            <w:u w:val="single"/>
          </w:rPr>
          <w:t>10.4 Create a JSON training configuration</w:t>
        </w:r>
      </w:hyperlink>
      <w:r>
        <w:tab/>
      </w:r>
      <w:r>
        <w:t>27</w:t>
      </w:r>
    </w:p>
    <w:p>
      <w:pPr>
        <w:pStyle w:val="TOCEntry2"/>
        <w:tabs>
          <w:tab w:pos="9288" w:val="right" w:leader="dot"/>
        </w:tabs>
      </w:pPr>
      <w:hyperlink w:anchor="guide_sec_071">
        <w:r>
          <w:rPr>
            <w:color w:val="2E74B5"/>
            <w:u w:val="single"/>
          </w:rPr>
          <w:t>10.5 Run training in the foreground</w:t>
        </w:r>
      </w:hyperlink>
      <w:r>
        <w:tab/>
      </w:r>
      <w:r>
        <w:t>27</w:t>
      </w:r>
    </w:p>
    <w:p>
      <w:pPr>
        <w:pStyle w:val="TOCEntry2"/>
        <w:tabs>
          <w:tab w:pos="9288" w:val="right" w:leader="dot"/>
        </w:tabs>
      </w:pPr>
      <w:hyperlink w:anchor="guide_sec_072">
        <w:r>
          <w:rPr>
            <w:color w:val="2E74B5"/>
            <w:u w:val="single"/>
          </w:rPr>
          <w:t>10.6 Find and inspect the run</w:t>
        </w:r>
      </w:hyperlink>
      <w:r>
        <w:tab/>
      </w:r>
      <w:r>
        <w:t>28</w:t>
      </w:r>
    </w:p>
    <w:p>
      <w:pPr>
        <w:pStyle w:val="TOCEntry2"/>
        <w:tabs>
          <w:tab w:pos="9288" w:val="right" w:leader="dot"/>
        </w:tabs>
      </w:pPr>
      <w:hyperlink w:anchor="guide_sec_073">
        <w:r>
          <w:rPr>
            <w:color w:val="2E74B5"/>
            <w:u w:val="single"/>
          </w:rPr>
          <w:t>10.7 Export and run a notebook</w:t>
        </w:r>
      </w:hyperlink>
      <w:r>
        <w:tab/>
      </w:r>
      <w:r>
        <w:t>28</w:t>
      </w:r>
    </w:p>
    <w:p>
      <w:pPr>
        <w:pStyle w:val="TOCEntry2"/>
        <w:tabs>
          <w:tab w:pos="9288" w:val="right" w:leader="dot"/>
        </w:tabs>
      </w:pPr>
      <w:hyperlink w:anchor="guide_sec_074">
        <w:r>
          <w:rPr>
            <w:color w:val="2E74B5"/>
            <w:u w:val="single"/>
          </w:rPr>
          <w:t>10.8 Export a standalone script</w:t>
        </w:r>
      </w:hyperlink>
      <w:r>
        <w:tab/>
      </w:r>
      <w:r>
        <w:t>28</w:t>
      </w:r>
    </w:p>
    <w:p>
      <w:pPr>
        <w:pStyle w:val="TOCEntry2"/>
        <w:tabs>
          <w:tab w:pos="9288" w:val="right" w:leader="dot"/>
        </w:tabs>
      </w:pPr>
      <w:hyperlink w:anchor="guide_sec_075">
        <w:r>
          <w:rPr>
            <w:color w:val="2E74B5"/>
            <w:u w:val="single"/>
          </w:rPr>
          <w:t>10.9 Run the core function directly</w:t>
        </w:r>
      </w:hyperlink>
      <w:r>
        <w:tab/>
      </w:r>
      <w:r>
        <w:t>28</w:t>
      </w:r>
    </w:p>
    <w:p>
      <w:pPr>
        <w:pStyle w:val="TOCEntry2"/>
        <w:tabs>
          <w:tab w:pos="9288" w:val="right" w:leader="dot"/>
        </w:tabs>
      </w:pPr>
      <w:hyperlink w:anchor="guide_sec_076">
        <w:r>
          <w:rPr>
            <w:color w:val="2E74B5"/>
            <w:u w:val="single"/>
          </w:rPr>
          <w:t>10.10 Run tests, lint, and package build</w:t>
        </w:r>
      </w:hyperlink>
      <w:r>
        <w:tab/>
      </w:r>
      <w:r>
        <w:t>29</w:t>
      </w:r>
    </w:p>
    <w:p>
      <w:pPr>
        <w:pStyle w:val="TOCEntry1"/>
        <w:tabs>
          <w:tab w:pos="9288" w:val="right" w:leader="dot"/>
        </w:tabs>
      </w:pPr>
      <w:hyperlink w:anchor="guide_sec_077">
        <w:r>
          <w:rPr>
            <w:color w:val="2E74B5"/>
            <w:u w:val="single"/>
          </w:rPr>
          <w:t>11. Code walkthrough</w:t>
        </w:r>
      </w:hyperlink>
      <w:r>
        <w:tab/>
      </w:r>
      <w:r>
        <w:t>29</w:t>
      </w:r>
    </w:p>
    <w:p>
      <w:pPr>
        <w:pStyle w:val="TOCEntry2"/>
        <w:tabs>
          <w:tab w:pos="9288" w:val="right" w:leader="dot"/>
        </w:tabs>
      </w:pPr>
      <w:hyperlink w:anchor="guide_sec_078">
        <w:r>
          <w:rPr>
            <w:color w:val="2E74B5"/>
            <w:u w:val="single"/>
          </w:rPr>
          <w:t>11.1 Application entry point</w:t>
        </w:r>
      </w:hyperlink>
      <w:r>
        <w:tab/>
      </w:r>
      <w:r>
        <w:t>29</w:t>
      </w:r>
    </w:p>
    <w:p>
      <w:pPr>
        <w:pStyle w:val="TOCEntry2"/>
        <w:tabs>
          <w:tab w:pos="9288" w:val="right" w:leader="dot"/>
        </w:tabs>
      </w:pPr>
      <w:hyperlink w:anchor="guide_sec_079">
        <w:r>
          <w:rPr>
            <w:color w:val="2E74B5"/>
            <w:u w:val="single"/>
          </w:rPr>
          <w:t>11.2 Configuration</w:t>
        </w:r>
      </w:hyperlink>
      <w:r>
        <w:tab/>
      </w:r>
      <w:r>
        <w:t>29</w:t>
      </w:r>
    </w:p>
    <w:p>
      <w:pPr>
        <w:pStyle w:val="TOCEntry2"/>
        <w:tabs>
          <w:tab w:pos="9288" w:val="right" w:leader="dot"/>
        </w:tabs>
      </w:pPr>
      <w:hyperlink w:anchor="guide_sec_080">
        <w:r>
          <w:rPr>
            <w:color w:val="2E74B5"/>
            <w:u w:val="single"/>
          </w:rPr>
          <w:t>11.3 Data pipeline</w:t>
        </w:r>
      </w:hyperlink>
      <w:r>
        <w:tab/>
      </w:r>
      <w:r>
        <w:t>29</w:t>
      </w:r>
    </w:p>
    <w:p>
      <w:pPr>
        <w:pStyle w:val="TOCEntry2"/>
        <w:tabs>
          <w:tab w:pos="9288" w:val="right" w:leader="dot"/>
        </w:tabs>
      </w:pPr>
      <w:hyperlink w:anchor="guide_sec_081">
        <w:r>
          <w:rPr>
            <w:color w:val="2E74B5"/>
            <w:u w:val="single"/>
          </w:rPr>
          <w:t>11.4 Model and device selection</w:t>
        </w:r>
      </w:hyperlink>
      <w:r>
        <w:tab/>
      </w:r>
      <w:r>
        <w:t>30</w:t>
      </w:r>
    </w:p>
    <w:p>
      <w:pPr>
        <w:pStyle w:val="TOCEntry2"/>
        <w:tabs>
          <w:tab w:pos="9288" w:val="right" w:leader="dot"/>
        </w:tabs>
      </w:pPr>
      <w:hyperlink w:anchor="guide_sec_082">
        <w:r>
          <w:rPr>
            <w:color w:val="2E74B5"/>
            <w:u w:val="single"/>
          </w:rPr>
          <w:t>11.5 Handwritten PyTorch training loop</w:t>
        </w:r>
      </w:hyperlink>
      <w:r>
        <w:tab/>
      </w:r>
      <w:r>
        <w:t>30</w:t>
      </w:r>
    </w:p>
    <w:p>
      <w:pPr>
        <w:pStyle w:val="TOCEntry2"/>
        <w:tabs>
          <w:tab w:pos="9288" w:val="right" w:leader="dot"/>
        </w:tabs>
      </w:pPr>
      <w:hyperlink w:anchor="guide_sec_083">
        <w:r>
          <w:rPr>
            <w:color w:val="2E74B5"/>
            <w:u w:val="single"/>
          </w:rPr>
          <w:t>11.6 Background jobs</w:t>
        </w:r>
      </w:hyperlink>
      <w:r>
        <w:tab/>
      </w:r>
      <w:r>
        <w:t>30</w:t>
      </w:r>
    </w:p>
    <w:p>
      <w:pPr>
        <w:pStyle w:val="TOCEntry2"/>
        <w:tabs>
          <w:tab w:pos="9288" w:val="right" w:leader="dot"/>
        </w:tabs>
      </w:pPr>
      <w:hyperlink w:anchor="guide_sec_084">
        <w:r>
          <w:rPr>
            <w:color w:val="2E74B5"/>
            <w:u w:val="single"/>
          </w:rPr>
          <w:t>11.7 Evaluation and inference</w:t>
        </w:r>
      </w:hyperlink>
      <w:r>
        <w:tab/>
      </w:r>
      <w:r>
        <w:t>30</w:t>
      </w:r>
    </w:p>
    <w:p>
      <w:pPr>
        <w:pStyle w:val="TOCEntry2"/>
        <w:tabs>
          <w:tab w:pos="9288" w:val="right" w:leader="dot"/>
        </w:tabs>
      </w:pPr>
      <w:hyperlink w:anchor="guide_sec_085">
        <w:r>
          <w:rPr>
            <w:color w:val="2E74B5"/>
            <w:u w:val="single"/>
          </w:rPr>
          <w:t>11.8 Assistant and document parsing</w:t>
        </w:r>
      </w:hyperlink>
      <w:r>
        <w:tab/>
      </w:r>
      <w:r>
        <w:t>31</w:t>
      </w:r>
    </w:p>
    <w:p>
      <w:pPr>
        <w:pStyle w:val="TOCEntry2"/>
        <w:tabs>
          <w:tab w:pos="9288" w:val="right" w:leader="dot"/>
        </w:tabs>
      </w:pPr>
      <w:hyperlink w:anchor="guide_sec_086">
        <w:r>
          <w:rPr>
            <w:color w:val="2E74B5"/>
            <w:u w:val="single"/>
          </w:rPr>
          <w:t>11.9 Code generation</w:t>
        </w:r>
      </w:hyperlink>
      <w:r>
        <w:tab/>
      </w:r>
      <w:r>
        <w:t>31</w:t>
      </w:r>
    </w:p>
    <w:p>
      <w:pPr>
        <w:pStyle w:val="TOCEntry1"/>
        <w:tabs>
          <w:tab w:pos="9288" w:val="right" w:leader="dot"/>
        </w:tabs>
      </w:pPr>
      <w:hyperlink w:anchor="guide_sec_087">
        <w:r>
          <w:rPr>
            <w:color w:val="2E74B5"/>
            <w:u w:val="single"/>
          </w:rPr>
          <w:t>12. Artifact and directory reference</w:t>
        </w:r>
      </w:hyperlink>
      <w:r>
        <w:tab/>
      </w:r>
      <w:r>
        <w:t>31</w:t>
      </w:r>
    </w:p>
    <w:p>
      <w:pPr>
        <w:pStyle w:val="TOCEntry1"/>
        <w:tabs>
          <w:tab w:pos="9288" w:val="right" w:leader="dot"/>
        </w:tabs>
      </w:pPr>
      <w:hyperlink w:anchor="guide_sec_088">
        <w:r>
          <w:rPr>
            <w:color w:val="2E74B5"/>
            <w:u w:val="single"/>
          </w:rPr>
          <w:t>13. Troubleshooting</w:t>
        </w:r>
      </w:hyperlink>
      <w:r>
        <w:tab/>
      </w:r>
      <w:r>
        <w:t>32</w:t>
      </w:r>
    </w:p>
    <w:p>
      <w:pPr>
        <w:pStyle w:val="TOCEntry2"/>
        <w:tabs>
          <w:tab w:pos="9288" w:val="right" w:leader="dot"/>
        </w:tabs>
      </w:pPr>
      <w:hyperlink w:anchor="guide_sec_089">
        <w:r>
          <w:rPr>
            <w:color w:val="2E74B5"/>
            <w:u w:val="single"/>
          </w:rPr>
          <w:t>13.1 The batch file closes immediately</w:t>
        </w:r>
      </w:hyperlink>
      <w:r>
        <w:tab/>
      </w:r>
      <w:r>
        <w:t>32</w:t>
      </w:r>
    </w:p>
    <w:p>
      <w:pPr>
        <w:pStyle w:val="TOCEntry2"/>
        <w:tabs>
          <w:tab w:pos="9288" w:val="right" w:leader="dot"/>
        </w:tabs>
      </w:pPr>
      <w:hyperlink w:anchor="guide_sec_090">
        <w:r>
          <w:rPr>
            <w:color w:val="2E74B5"/>
            <w:u w:val="single"/>
          </w:rPr>
          <w:t>13.2 CUDA is unavailable</w:t>
        </w:r>
      </w:hyperlink>
      <w:r>
        <w:tab/>
      </w:r>
      <w:r>
        <w:t>32</w:t>
      </w:r>
    </w:p>
    <w:p>
      <w:pPr>
        <w:pStyle w:val="TOCEntry2"/>
        <w:tabs>
          <w:tab w:pos="9288" w:val="right" w:leader="dot"/>
        </w:tabs>
      </w:pPr>
      <w:hyperlink w:anchor="guide_sec_091">
        <w:r>
          <w:rPr>
            <w:color w:val="2E74B5"/>
            <w:u w:val="single"/>
          </w:rPr>
          <w:t>13.3 CUDA out of memory</w:t>
        </w:r>
      </w:hyperlink>
      <w:r>
        <w:tab/>
      </w:r>
      <w:r>
        <w:t>32</w:t>
      </w:r>
    </w:p>
    <w:p>
      <w:pPr>
        <w:pStyle w:val="TOCEntry2"/>
        <w:tabs>
          <w:tab w:pos="9288" w:val="right" w:leader="dot"/>
        </w:tabs>
      </w:pPr>
      <w:hyperlink w:anchor="guide_sec_092">
        <w:r>
          <w:rPr>
            <w:color w:val="2E74B5"/>
            <w:u w:val="single"/>
          </w:rPr>
          <w:t>13.4 Model download fails</w:t>
        </w:r>
      </w:hyperlink>
      <w:r>
        <w:tab/>
      </w:r>
      <w:r>
        <w:t>33</w:t>
      </w:r>
    </w:p>
    <w:p>
      <w:pPr>
        <w:pStyle w:val="TOCEntry2"/>
        <w:tabs>
          <w:tab w:pos="9288" w:val="right" w:leader="dot"/>
        </w:tabs>
      </w:pPr>
      <w:hyperlink w:anchor="guide_sec_093">
        <w:r>
          <w:rPr>
            <w:color w:val="2E74B5"/>
            <w:u w:val="single"/>
          </w:rPr>
          <w:t>13.5 Dataset validation fails</w:t>
        </w:r>
      </w:hyperlink>
      <w:r>
        <w:tab/>
      </w:r>
      <w:r>
        <w:t>33</w:t>
      </w:r>
    </w:p>
    <w:p>
      <w:pPr>
        <w:pStyle w:val="TOCEntry2"/>
        <w:tabs>
          <w:tab w:pos="9288" w:val="right" w:leader="dot"/>
        </w:tabs>
      </w:pPr>
      <w:hyperlink w:anchor="guide_sec_094">
        <w:r>
          <w:rPr>
            <w:color w:val="2E74B5"/>
            <w:u w:val="single"/>
          </w:rPr>
          <w:t>13.6 Training completes but scores are poor</w:t>
        </w:r>
      </w:hyperlink>
      <w:r>
        <w:tab/>
      </w:r>
      <w:r>
        <w:t>33</w:t>
      </w:r>
    </w:p>
    <w:p>
      <w:pPr>
        <w:pStyle w:val="TOCEntry2"/>
        <w:tabs>
          <w:tab w:pos="9288" w:val="right" w:leader="dot"/>
        </w:tabs>
      </w:pPr>
      <w:hyperlink w:anchor="guide_sec_095">
        <w:r>
          <w:rPr>
            <w:color w:val="2E74B5"/>
            <w:u w:val="single"/>
          </w:rPr>
          <w:t>13.7 W&amp;B authentication or network errors</w:t>
        </w:r>
      </w:hyperlink>
      <w:r>
        <w:tab/>
      </w:r>
      <w:r>
        <w:t>33</w:t>
      </w:r>
    </w:p>
    <w:p>
      <w:pPr>
        <w:pStyle w:val="TOCEntry2"/>
        <w:tabs>
          <w:tab w:pos="9288" w:val="right" w:leader="dot"/>
        </w:tabs>
      </w:pPr>
      <w:hyperlink w:anchor="guide_sec_096">
        <w:r>
          <w:rPr>
            <w:color w:val="2E74B5"/>
            <w:u w:val="single"/>
          </w:rPr>
          <w:t>13.8 A PDF contains no text</w:t>
        </w:r>
      </w:hyperlink>
      <w:r>
        <w:tab/>
      </w:r>
      <w:r>
        <w:t>33</w:t>
      </w:r>
    </w:p>
    <w:p>
      <w:pPr>
        <w:pStyle w:val="TOCEntry1"/>
        <w:tabs>
          <w:tab w:pos="9288" w:val="right" w:leader="dot"/>
        </w:tabs>
      </w:pPr>
      <w:hyperlink w:anchor="guide_sec_097">
        <w:r>
          <w:rPr>
            <w:color w:val="2E74B5"/>
            <w:u w:val="single"/>
          </w:rPr>
          <w:t>14. Privacy, licensing, and responsible use</w:t>
        </w:r>
      </w:hyperlink>
      <w:r>
        <w:tab/>
      </w:r>
      <w:r>
        <w:t>33</w:t>
      </w:r>
    </w:p>
    <w:p>
      <w:pPr>
        <w:pStyle w:val="TOCEntry2"/>
        <w:tabs>
          <w:tab w:pos="9288" w:val="right" w:leader="dot"/>
        </w:tabs>
      </w:pPr>
      <w:hyperlink w:anchor="guide_sec_098">
        <w:r>
          <w:rPr>
            <w:color w:val="2E74B5"/>
            <w:u w:val="single"/>
          </w:rPr>
          <w:t>14.1 Local-first is not the same as risk-free</w:t>
        </w:r>
      </w:hyperlink>
      <w:r>
        <w:tab/>
      </w:r>
      <w:r>
        <w:t>33</w:t>
      </w:r>
    </w:p>
    <w:p>
      <w:pPr>
        <w:pStyle w:val="TOCEntry2"/>
        <w:tabs>
          <w:tab w:pos="9288" w:val="right" w:leader="dot"/>
        </w:tabs>
      </w:pPr>
      <w:hyperlink w:anchor="guide_sec_099">
        <w:r>
          <w:rPr>
            <w:color w:val="2E74B5"/>
            <w:u w:val="single"/>
          </w:rPr>
          <w:t>14.2 Secrets</w:t>
        </w:r>
      </w:hyperlink>
      <w:r>
        <w:tab/>
      </w:r>
      <w:r>
        <w:t>34</w:t>
      </w:r>
    </w:p>
    <w:p>
      <w:pPr>
        <w:pStyle w:val="TOCEntry2"/>
        <w:tabs>
          <w:tab w:pos="9288" w:val="right" w:leader="dot"/>
        </w:tabs>
      </w:pPr>
      <w:hyperlink w:anchor="guide_sec_100">
        <w:r>
          <w:rPr>
            <w:color w:val="2E74B5"/>
            <w:u w:val="single"/>
          </w:rPr>
          <w:t>14.3 Third-party licenses</w:t>
        </w:r>
      </w:hyperlink>
      <w:r>
        <w:tab/>
      </w:r>
      <w:r>
        <w:t>34</w:t>
      </w:r>
    </w:p>
    <w:p>
      <w:pPr>
        <w:pStyle w:val="TOCEntry2"/>
        <w:tabs>
          <w:tab w:pos="9288" w:val="right" w:leader="dot"/>
        </w:tabs>
      </w:pPr>
      <w:hyperlink w:anchor="guide_sec_101">
        <w:r>
          <w:rPr>
            <w:color w:val="2E74B5"/>
            <w:u w:val="single"/>
          </w:rPr>
          <w:t>14.4 Human review and documentation</w:t>
        </w:r>
      </w:hyperlink>
      <w:r>
        <w:tab/>
      </w:r>
      <w:r>
        <w:t>34</w:t>
      </w:r>
    </w:p>
    <w:p>
      <w:pPr>
        <w:pStyle w:val="TOCEntry1"/>
        <w:tabs>
          <w:tab w:pos="9288" w:val="right" w:leader="dot"/>
        </w:tabs>
      </w:pPr>
      <w:hyperlink w:anchor="guide_sec_102">
        <w:r>
          <w:rPr>
            <w:color w:val="2E74B5"/>
            <w:u w:val="single"/>
          </w:rPr>
          <w:t>15. Move the project to a private GitHub repository</w:t>
        </w:r>
      </w:hyperlink>
      <w:r>
        <w:tab/>
      </w:r>
      <w:r>
        <w:t>34</w:t>
      </w:r>
    </w:p>
    <w:p>
      <w:pPr>
        <w:pStyle w:val="TOCEntry2"/>
        <w:tabs>
          <w:tab w:pos="9288" w:val="right" w:leader="dot"/>
        </w:tabs>
      </w:pPr>
      <w:hyperlink w:anchor="guide_sec_103">
        <w:r>
          <w:rPr>
            <w:color w:val="2E74B5"/>
            <w:u w:val="single"/>
          </w:rPr>
          <w:t>15.1 Understand what belongs in GitHub</w:t>
        </w:r>
      </w:hyperlink>
      <w:r>
        <w:tab/>
      </w:r>
      <w:r>
        <w:t>34</w:t>
      </w:r>
    </w:p>
    <w:p>
      <w:pPr>
        <w:pStyle w:val="TOCEntry2"/>
        <w:tabs>
          <w:tab w:pos="9288" w:val="right" w:leader="dot"/>
        </w:tabs>
      </w:pPr>
      <w:hyperlink w:anchor="guide_sec_104">
        <w:r>
          <w:rPr>
            <w:color w:val="2E74B5"/>
            <w:u w:val="single"/>
          </w:rPr>
          <w:t>15.2 Review the local repository</w:t>
        </w:r>
      </w:hyperlink>
      <w:r>
        <w:tab/>
      </w:r>
      <w:r>
        <w:t>35</w:t>
      </w:r>
    </w:p>
    <w:p>
      <w:pPr>
        <w:pStyle w:val="TOCEntry2"/>
        <w:tabs>
          <w:tab w:pos="9288" w:val="right" w:leader="dot"/>
        </w:tabs>
      </w:pPr>
      <w:hyperlink w:anchor="guide_sec_105">
        <w:r>
          <w:rPr>
            <w:color w:val="2E74B5"/>
            <w:u w:val="single"/>
          </w:rPr>
          <w:t>15.3 Authenticate and verify the destination</w:t>
        </w:r>
      </w:hyperlink>
      <w:r>
        <w:tab/>
      </w:r>
      <w:r>
        <w:t>35</w:t>
      </w:r>
    </w:p>
    <w:p>
      <w:pPr>
        <w:pStyle w:val="TOCEntry2"/>
        <w:tabs>
          <w:tab w:pos="9288" w:val="right" w:leader="dot"/>
        </w:tabs>
      </w:pPr>
      <w:hyperlink w:anchor="guide_sec_106">
        <w:r>
          <w:rPr>
            <w:color w:val="2E74B5"/>
            <w:u w:val="single"/>
          </w:rPr>
          <w:t>15.4 Commit reviewed scope and create the private repository</w:t>
        </w:r>
      </w:hyperlink>
      <w:r>
        <w:tab/>
      </w:r>
      <w:r>
        <w:t>35</w:t>
      </w:r>
    </w:p>
    <w:p>
      <w:pPr>
        <w:pStyle w:val="TOCEntry2"/>
        <w:tabs>
          <w:tab w:pos="9288" w:val="right" w:leader="dot"/>
        </w:tabs>
      </w:pPr>
      <w:hyperlink w:anchor="guide_sec_107">
        <w:r>
          <w:rPr>
            <w:color w:val="2E74B5"/>
            <w:u w:val="single"/>
          </w:rPr>
          <w:t>15.5 Validate privately</w:t>
        </w:r>
      </w:hyperlink>
      <w:r>
        <w:tab/>
      </w:r>
      <w:r>
        <w:t>35</w:t>
      </w:r>
    </w:p>
    <w:p>
      <w:pPr>
        <w:pStyle w:val="TOCEntry2"/>
        <w:tabs>
          <w:tab w:pos="9288" w:val="right" w:leader="dot"/>
        </w:tabs>
      </w:pPr>
      <w:hyperlink w:anchor="guide_sec_108">
        <w:r>
          <w:rPr>
            <w:color w:val="2E74B5"/>
            <w:u w:val="single"/>
          </w:rPr>
          <w:t>15.6 Prepare for a later public release</w:t>
        </w:r>
      </w:hyperlink>
      <w:r>
        <w:tab/>
      </w:r>
      <w:r>
        <w:t>36</w:t>
      </w:r>
    </w:p>
    <w:p>
      <w:pPr>
        <w:pStyle w:val="TOCEntry1"/>
        <w:tabs>
          <w:tab w:pos="9288" w:val="right" w:leader="dot"/>
        </w:tabs>
      </w:pPr>
      <w:hyperlink w:anchor="guide_sec_109">
        <w:r>
          <w:rPr>
            <w:color w:val="2E74B5"/>
            <w:u w:val="single"/>
          </w:rPr>
          <w:t>16. Load Contra v2 into a private Hugging Face repository</w:t>
        </w:r>
      </w:hyperlink>
      <w:r>
        <w:tab/>
      </w:r>
      <w:r>
        <w:t>36</w:t>
      </w:r>
    </w:p>
    <w:p>
      <w:pPr>
        <w:pStyle w:val="TOCEntry2"/>
        <w:tabs>
          <w:tab w:pos="9288" w:val="right" w:leader="dot"/>
        </w:tabs>
      </w:pPr>
      <w:hyperlink w:anchor="guide_sec_110">
        <w:r>
          <w:rPr>
            <w:color w:val="2E74B5"/>
            <w:u w:val="single"/>
          </w:rPr>
          <w:t>16.1 Authenticate safely</w:t>
        </w:r>
      </w:hyperlink>
      <w:r>
        <w:tab/>
      </w:r>
      <w:r>
        <w:t>36</w:t>
      </w:r>
    </w:p>
    <w:p>
      <w:pPr>
        <w:pStyle w:val="TOCEntry2"/>
        <w:tabs>
          <w:tab w:pos="9288" w:val="right" w:leader="dot"/>
        </w:tabs>
      </w:pPr>
      <w:hyperlink w:anchor="guide_sec_111">
        <w:r>
          <w:rPr>
            <w:color w:val="2E74B5"/>
            <w:u w:val="single"/>
          </w:rPr>
          <w:t>16.2 Prepare the reviewed bundle</w:t>
        </w:r>
      </w:hyperlink>
      <w:r>
        <w:tab/>
      </w:r>
      <w:r>
        <w:t>36</w:t>
      </w:r>
    </w:p>
    <w:p>
      <w:pPr>
        <w:pStyle w:val="TOCEntry2"/>
        <w:tabs>
          <w:tab w:pos="9288" w:val="right" w:leader="dot"/>
        </w:tabs>
      </w:pPr>
      <w:hyperlink w:anchor="guide_sec_112">
        <w:r>
          <w:rPr>
            <w:color w:val="2E74B5"/>
            <w:u w:val="single"/>
          </w:rPr>
          <w:t>16.3 Run a local inference smoke test</w:t>
        </w:r>
      </w:hyperlink>
      <w:r>
        <w:tab/>
      </w:r>
      <w:r>
        <w:t>36</w:t>
      </w:r>
    </w:p>
    <w:p>
      <w:pPr>
        <w:pStyle w:val="TOCEntry2"/>
        <w:tabs>
          <w:tab w:pos="9288" w:val="right" w:leader="dot"/>
        </w:tabs>
      </w:pPr>
      <w:hyperlink w:anchor="guide_sec_113">
        <w:r>
          <w:rPr>
            <w:color w:val="2E74B5"/>
            <w:u w:val="single"/>
          </w:rPr>
          <w:t>16.4 Upload privately</w:t>
        </w:r>
      </w:hyperlink>
      <w:r>
        <w:tab/>
      </w:r>
      <w:r>
        <w:t>37</w:t>
      </w:r>
    </w:p>
    <w:p>
      <w:pPr>
        <w:pStyle w:val="TOCEntry2"/>
        <w:tabs>
          <w:tab w:pos="9288" w:val="right" w:leader="dot"/>
        </w:tabs>
      </w:pPr>
      <w:hyperlink w:anchor="guide_sec_114">
        <w:r>
          <w:rPr>
            <w:color w:val="2E74B5"/>
            <w:u w:val="single"/>
          </w:rPr>
          <w:t>16.5 Inspect and validate privately</w:t>
        </w:r>
      </w:hyperlink>
      <w:r>
        <w:tab/>
      </w:r>
      <w:r>
        <w:t>37</w:t>
      </w:r>
    </w:p>
    <w:p>
      <w:pPr>
        <w:pStyle w:val="TOCEntry2"/>
        <w:tabs>
          <w:tab w:pos="9288" w:val="right" w:leader="dot"/>
        </w:tabs>
      </w:pPr>
      <w:hyperlink w:anchor="guide_sec_115">
        <w:r>
          <w:rPr>
            <w:color w:val="2E74B5"/>
            <w:u w:val="single"/>
          </w:rPr>
          <w:t>16.6 Download and validate Contra v2</w:t>
        </w:r>
      </w:hyperlink>
      <w:r>
        <w:tab/>
      </w:r>
      <w:r>
        <w:t>37</w:t>
      </w:r>
    </w:p>
    <w:p>
      <w:pPr>
        <w:pStyle w:val="TOCEntry2"/>
        <w:tabs>
          <w:tab w:pos="9288" w:val="right" w:leader="dot"/>
        </w:tabs>
      </w:pPr>
      <w:hyperlink w:anchor="guide_sec_116">
        <w:r>
          <w:rPr>
            <w:color w:val="2E74B5"/>
            <w:u w:val="single"/>
          </w:rPr>
          <w:t>16.7 Consider public visibility separately</w:t>
        </w:r>
      </w:hyperlink>
      <w:r>
        <w:tab/>
      </w:r>
      <w:r>
        <w:t>39</w:t>
      </w:r>
    </w:p>
    <w:p>
      <w:pPr>
        <w:pStyle w:val="TOCEntry1"/>
        <w:tabs>
          <w:tab w:pos="9288" w:val="right" w:leader="dot"/>
        </w:tabs>
      </w:pPr>
      <w:hyperlink w:anchor="guide_sec_117">
        <w:r>
          <w:rPr>
            <w:color w:val="2E74B5"/>
            <w:u w:val="single"/>
          </w:rPr>
          <w:t>17. Command and configuration reference</w:t>
        </w:r>
      </w:hyperlink>
      <w:r>
        <w:tab/>
      </w:r>
      <w:r>
        <w:t>39</w:t>
      </w:r>
    </w:p>
    <w:p>
      <w:pPr>
        <w:pStyle w:val="TOCEntry2"/>
        <w:tabs>
          <w:tab w:pos="9288" w:val="right" w:leader="dot"/>
        </w:tabs>
      </w:pPr>
      <w:hyperlink w:anchor="guide_sec_118">
        <w:r>
          <w:rPr>
            <w:color w:val="2E74B5"/>
            <w:u w:val="single"/>
          </w:rPr>
          <w:t>17.1 Command summary</w:t>
        </w:r>
      </w:hyperlink>
      <w:r>
        <w:tab/>
      </w:r>
      <w:r>
        <w:t>39</w:t>
      </w:r>
    </w:p>
    <w:p>
      <w:pPr>
        <w:pStyle w:val="TOCEntry2"/>
        <w:tabs>
          <w:tab w:pos="9288" w:val="right" w:leader="dot"/>
        </w:tabs>
      </w:pPr>
      <w:hyperlink w:anchor="guide_sec_119">
        <w:r>
          <w:rPr>
            <w:color w:val="2E74B5"/>
            <w:u w:val="single"/>
          </w:rPr>
          <w:t>17.2 TrainingConfig fields</w:t>
        </w:r>
      </w:hyperlink>
      <w:r>
        <w:tab/>
      </w:r>
      <w:r>
        <w:t>40</w:t>
      </w:r>
    </w:p>
    <w:p>
      <w:pPr>
        <w:pStyle w:val="TOCEntry2"/>
        <w:tabs>
          <w:tab w:pos="9288" w:val="right" w:leader="dot"/>
        </w:tabs>
      </w:pPr>
      <w:hyperlink w:anchor="guide_sec_120">
        <w:r>
          <w:rPr>
            <w:color w:val="2E74B5"/>
            <w:u w:val="single"/>
          </w:rPr>
          <w:t>17.3 Glossary</w:t>
        </w:r>
      </w:hyperlink>
      <w:r>
        <w:tab/>
      </w:r>
      <w:r>
        <w:t>41</w:t>
      </w:r>
    </w:p>
    <w:p>
      <w:pPr>
        <w:pStyle w:val="TOCEntry2"/>
        <w:tabs>
          <w:tab w:pos="9288" w:val="right" w:leader="dot"/>
        </w:tabs>
      </w:pPr>
      <w:hyperlink w:anchor="guide_sec_121">
        <w:r>
          <w:rPr>
            <w:color w:val="2E74B5"/>
            <w:u w:val="single"/>
          </w:rPr>
          <w:t>17.4 Final learning checklist</w:t>
        </w:r>
      </w:hyperlink>
      <w:r>
        <w:tab/>
      </w:r>
      <w:r>
        <w:t>42</w:t>
      </w:r>
    </w:p>
    <w:p>
      <w:r>
        <w:br w:type="page"/>
      </w:r>
    </w:p>
    <w:p>
      <w:r>
        <w:t>A guided workbench and visible-code path for learning Transformer fine-tuning in contract analysis</w:t>
      </w:r>
    </w:p>
    <w:p>
      <w:r>
        <w:t>Version 0.1.0 — August 2026</w:t>
      </w:r>
    </w:p>
    <w:p>
      <w:bookmarkStart w:id="100" w:name="guide_sec_001"/>
      <w:pPr>
        <w:pStyle w:val="Heading1"/>
      </w:pPr>
      <w:r>
        <w:t>1. Purpose and learning outcomes</w:t>
      </w:r>
      <w:bookmarkEnd w:id="100"/>
    </w:p>
    <w:p>
      <w:r>
        <w:t>AI-Enabled Contracts Lab is a local Streamlit workbench for learning how an existing Transformer model becomes a contract-clause classifier. It combines explanations, editable settings, real PyTorch code, experiment tracking, evaluation, and a contract-analysis demonstration. The interface is a guide; the Python package and command-line interface are the same implementation exposed without the interface.</w:t>
      </w:r>
    </w:p>
    <w:p>
      <w:r>
        <w:t>This guide is for a learner with basic Python experience who wants both a structured path and direct access to working code. By the end of a complete first run, you should be able to:</w:t>
      </w:r>
    </w:p>
    <w:p>
      <w:pPr>
        <w:pStyle w:val="ListBullet"/>
      </w:pPr>
      <w:r>
        <w:t>explain the difference between pretraining, fine-tuning, evaluation, and inference;</w:t>
      </w:r>
    </w:p>
    <w:p>
      <w:pPr>
        <w:pStyle w:val="ListBullet"/>
      </w:pPr>
      <w:r>
        <w:t>prepare a labeled clause dataset and preserve document-level train/test separation;</w:t>
      </w:r>
    </w:p>
    <w:p>
      <w:pPr>
        <w:pStyle w:val="ListBullet"/>
      </w:pPr>
      <w:r>
        <w:t>choose a pretrained encoder and understand the main memory trade-offs;</w:t>
      </w:r>
    </w:p>
    <w:p>
      <w:pPr>
        <w:pStyle w:val="ListBullet"/>
      </w:pPr>
      <w:r>
        <w:t>follow a handwritten PyTorch optimization loop;</w:t>
      </w:r>
    </w:p>
    <w:p>
      <w:pPr>
        <w:pStyle w:val="ListBullet"/>
      </w:pPr>
      <w:r>
        <w:t>run the classifier training pipeline from the UI, CLI, generated script, or Jupyter;</w:t>
      </w:r>
    </w:p>
    <w:p>
      <w:pPr>
        <w:pStyle w:val="ListBullet"/>
      </w:pPr>
      <w:r>
        <w:t>interpret macro F1, per-class results, confusion matrices, and individual errors;</w:t>
      </w:r>
    </w:p>
    <w:p>
      <w:pPr>
        <w:pStyle w:val="ListBullet"/>
      </w:pPr>
      <w:r>
        <w:t>connect a trained classifier to six source-grounded contract-analysis tasks; and</w:t>
      </w:r>
    </w:p>
    <w:p>
      <w:pPr>
        <w:pStyle w:val="ListBullet"/>
      </w:pPr>
      <w:r>
        <w:t>prepare a clean contribution or release without publishing private contracts or secrets.</w:t>
      </w:r>
    </w:p>
    <w:p>
      <w:pPr>
        <w:pStyle w:val="GuideNote"/>
        <w:shd w:fill="EAF2F8"/>
        <w:pBdr>
          <w:left w:val="single" w:sz="18" w:space="8" w:color="2E74B5"/>
        </w:pBdr>
      </w:pPr>
      <w:r>
        <w:t>Important: Legal and educational boundary: AI-Enabled Contracts Lab is educational software, not legal advice. A model prediction is evidence about model behavior, not a legal conclusion. A qualified human must review outputs before they affect legal, commercial, employment, compliance, or rights-related decisions.</w:t>
      </w:r>
    </w:p>
    <w:p>
      <w:bookmarkStart w:id="101" w:name="guide_sec_002"/>
      <w:pPr>
        <w:pStyle w:val="Heading2"/>
      </w:pPr>
      <w:r>
        <w:t>1.1 What version 0.1.0 covers</w:t>
      </w:r>
      <w:bookmarkEnd w:id="101"/>
    </w:p>
    <w:p>
      <w:r>
        <w:t>The first course focuses on multiclass text classification: one clause or passage is assigned one label such as Confidentiality, Governing Law, Termination, Limitation of Liability, Indemnification, Payment Terms, Intellectual Property, or Renewal. The same workbench also introduces:</w:t>
      </w:r>
    </w:p>
    <w:p>
      <w:pPr>
        <w:pStyle w:val="ListBullet"/>
      </w:pPr>
      <w:r>
        <w:t>tokenization and maximum sequence length;</w:t>
      </w:r>
    </w:p>
    <w:p>
      <w:pPr>
        <w:pStyle w:val="ListBullet"/>
      </w:pPr>
      <w:r>
        <w:t>PyTorch Dataset and DataLoader objects;</w:t>
      </w:r>
    </w:p>
    <w:p>
      <w:pPr>
        <w:pStyle w:val="ListBullet"/>
      </w:pPr>
      <w:r>
        <w:t>a pretrained Hugging Face Transformer encoder;</w:t>
      </w:r>
    </w:p>
    <w:p>
      <w:pPr>
        <w:pStyle w:val="ListBullet"/>
      </w:pPr>
      <w:r>
        <w:t>cross-entropy loss, gradients, AdamW, scheduling, clipping, and accumulation;</w:t>
      </w:r>
    </w:p>
    <w:p>
      <w:pPr>
        <w:pStyle w:val="ListBullet"/>
      </w:pPr>
      <w:r>
        <w:t>mixed precision and checkpointing;</w:t>
      </w:r>
    </w:p>
    <w:p>
      <w:pPr>
        <w:pStyle w:val="ListBullet"/>
      </w:pPr>
      <w:r>
        <w:t>optional Weights &amp; Biases tracking;</w:t>
      </w:r>
    </w:p>
    <w:p>
      <w:pPr>
        <w:pStyle w:val="ListBullet"/>
      </w:pPr>
      <w:r>
        <w:t>local evaluation and error analysis; and</w:t>
      </w:r>
    </w:p>
    <w:p>
      <w:pPr>
        <w:pStyle w:val="ListBullet"/>
      </w:pPr>
      <w:r>
        <w:t>inference-driven assistant demonstrations.</w:t>
      </w:r>
    </w:p>
    <w:p>
      <w:bookmarkStart w:id="102" w:name="guide_sec_003"/>
      <w:pPr>
        <w:pStyle w:val="Heading2"/>
      </w:pPr>
      <w:r>
        <w:t>1.2 What the first version intentionally does not do</w:t>
      </w:r>
      <w:bookmarkEnd w:id="102"/>
    </w:p>
    <w:p>
      <w:r>
        <w:t>It does not promise reliable legal interpretation, perform OCR on scanned PDFs, train a production foundation model, or guarantee coverage of every contract type. The built-in data is synthetic and is meant to prove the workflow. Real performance requires representative, licensed, expertly labeled data and a separate validation plan.</w:t>
      </w:r>
    </w:p>
    <w:p>
      <w:bookmarkStart w:id="103" w:name="guide_sec_004"/>
      <w:pPr>
        <w:pStyle w:val="Heading2"/>
      </w:pPr>
      <w:r>
        <w:t>1.3 Modern hybrid legal-AI system</w:t>
      </w:r>
      <w:bookmarkEnd w:id="103"/>
    </w:p>
    <w:p>
      <w:r>
        <w:t>The current application extends the classifier course into a no-RAG, production-style hybrid pipeline. Fine-tuned BERT encoders rank legal domains and doctrine candidates. A router preserves top-k scores, model and taxonomy versions, confidence thresholds, abstention, independent issue spotting, and jurisdiction uncertainty. A separate local generative LLM explains issues, applies facts to elements, identifies missing facts and counterarguments, and drafts documents through validated schemas.</w:t>
      </w:r>
    </w:p>
    <w:p>
      <w:pPr>
        <w:pStyle w:val="CodeBlock"/>
        <w:shd w:fill="F4F6F7"/>
        <w:pBdr>
          <w:left w:val="single" w:sz="18" w:space="8" w:color="C9D3DD"/>
        </w:pBdr>
      </w:pPr>
      <w:r>
        <w:rPr>
          <w:rFonts w:ascii="Consolas" w:hAnsi="Consolas"/>
          <w:sz w:val="17"/>
        </w:rPr>
        <w:t>facts or contract</w:t>
      </w:r>
      <w:r>
        <w:br/>
      </w:r>
      <w:r>
        <w:rPr>
          <w:rFonts w:ascii="Consolas" w:hAnsi="Consolas"/>
          <w:sz w:val="17"/>
        </w:rPr>
        <w:t xml:space="preserve">  -&gt; preprocessing and passage segmentation</w:t>
      </w:r>
      <w:r>
        <w:br/>
      </w:r>
      <w:r>
        <w:rPr>
          <w:rFonts w:ascii="Consolas" w:hAnsi="Consolas"/>
          <w:sz w:val="17"/>
        </w:rPr>
        <w:t xml:space="preserve">  -&gt; BERT domain and doctrine top-k hypotheses</w:t>
      </w:r>
      <w:r>
        <w:br/>
      </w:r>
      <w:r>
        <w:rPr>
          <w:rFonts w:ascii="Consolas" w:hAnsi="Consolas"/>
          <w:sz w:val="17"/>
        </w:rPr>
        <w:t xml:space="preserve">  -&gt; independent issue spotting and jurisdiction routing</w:t>
      </w:r>
      <w:r>
        <w:br/>
      </w:r>
      <w:r>
        <w:rPr>
          <w:rFonts w:ascii="Consolas" w:hAnsi="Consolas"/>
          <w:sz w:val="17"/>
        </w:rPr>
        <w:t xml:space="preserve">  -&gt; legal prompts and reusable skills</w:t>
      </w:r>
      <w:r>
        <w:br/>
      </w:r>
      <w:r>
        <w:rPr>
          <w:rFonts w:ascii="Consolas" w:hAnsi="Consolas"/>
          <w:sz w:val="17"/>
        </w:rPr>
        <w:t xml:space="preserve">  -&gt; local generative LLM</w:t>
      </w:r>
      <w:r>
        <w:br/>
      </w:r>
      <w:r>
        <w:rPr>
          <w:rFonts w:ascii="Consolas" w:hAnsi="Consolas"/>
          <w:sz w:val="17"/>
        </w:rPr>
        <w:t xml:space="preserve">  -&gt; structured analysis or complete draft</w:t>
      </w:r>
      <w:r>
        <w:br/>
      </w:r>
      <w:r>
        <w:rPr>
          <w:rFonts w:ascii="Consolas" w:hAnsi="Consolas"/>
          <w:sz w:val="17"/>
        </w:rPr>
        <w:t xml:space="preserve">  -&gt; evaluation, audit metadata, and human review</w:t>
      </w:r>
    </w:p>
    <w:p>
      <w:r>
        <w:t xml:space="preserve">This division of labor is a modern engineering pattern, not a claim of state-of-the-art benchmark performance. Contra v2 records 0.6036 macro-F1 on this project's contract-grouped CUAD derivative and six of 41 labels have zero held-out F1. Classifier confidence is not legal confidence. The system must not invent authority, and unavailable jurisdiction-specific law is marked </w:t>
      </w:r>
      <w:r>
        <w:rPr>
          <w:rFonts w:ascii="Consolas" w:hAnsi="Consolas"/>
          <w:color w:val="1F4D78"/>
          <w:sz w:val="18"/>
        </w:rPr>
        <w:t>JURISDICTION_SPECIFIC_VERIFICATION_REQUIRED</w:t>
      </w:r>
      <w:r>
        <w:t>. Retrieval-augmented generation is intentionally out of scope for this release.</w:t>
      </w:r>
    </w:p>
    <w:p>
      <w:bookmarkStart w:id="104" w:name="guide_sec_005"/>
      <w:pPr>
        <w:pStyle w:val="Heading1"/>
      </w:pPr>
      <w:r>
        <w:t>2. System requirements and installation</w:t>
      </w:r>
      <w:bookmarkEnd w:id="104"/>
    </w:p>
    <w:p>
      <w:bookmarkStart w:id="105" w:name="guide_sec_006"/>
      <w:pPr>
        <w:pStyle w:val="Heading2"/>
      </w:pPr>
      <w:r>
        <w:t>2.1 Target computer</w:t>
      </w:r>
      <w:bookmarkEnd w:id="105"/>
    </w:p>
    <w:p>
      <w:r>
        <w:t>The primary profile is Windows with an NVIDIA RTX 5070 with 12 GB VRAM. The repository also provides a CPU profile for contributors, CI, and troubleshooting.</w:t>
      </w:r>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880"/>
            <w:vAlign w:val="center"/>
            <w:tcMar>
              <w:top w:w="80" w:type="dxa"/>
              <w:start w:w="100" w:type="dxa"/>
              <w:bottom w:w="80" w:type="dxa"/>
              <w:end w:w="100" w:type="dxa"/>
            </w:tcMar>
            <w:shd w:fill="2E74B5"/>
          </w:tcPr>
          <w:p>
            <w:pPr>
              <w:spacing w:after="0"/>
            </w:pPr>
            <w:r>
              <w:rPr>
                <w:rFonts w:ascii="Calibri" w:hAnsi="Calibri"/>
                <w:b/>
                <w:color w:val="FFFFFF"/>
                <w:sz w:val="18"/>
              </w:rPr>
              <w:t>Component</w:t>
            </w:r>
          </w:p>
        </w:tc>
        <w:tc>
          <w:tcPr>
            <w:tcW w:type="dxa" w:w="6480"/>
            <w:vAlign w:val="center"/>
            <w:tcMar>
              <w:top w:w="80" w:type="dxa"/>
              <w:start w:w="100" w:type="dxa"/>
              <w:bottom w:w="80" w:type="dxa"/>
              <w:end w:w="100" w:type="dxa"/>
            </w:tcMar>
            <w:shd w:fill="2E74B5"/>
          </w:tcPr>
          <w:p>
            <w:pPr>
              <w:spacing w:after="0"/>
            </w:pPr>
            <w:r>
              <w:rPr>
                <w:rFonts w:ascii="Calibri" w:hAnsi="Calibri"/>
                <w:b/>
                <w:color w:val="FFFFFF"/>
                <w:sz w:val="18"/>
              </w:rPr>
              <w:t>Required or recommended</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Operating system</w:t>
            </w:r>
          </w:p>
        </w:tc>
        <w:tc>
          <w:tcPr>
            <w:tcW w:type="dxa" w:w="6480"/>
            <w:vAlign w:val="center"/>
            <w:tcMar>
              <w:top w:w="80" w:type="dxa"/>
              <w:start w:w="100" w:type="dxa"/>
              <w:bottom w:w="80" w:type="dxa"/>
              <w:end w:w="100" w:type="dxa"/>
            </w:tcMar>
            <w:shd w:fill="FFFFFF"/>
          </w:tcPr>
          <w:p>
            <w:pPr>
              <w:spacing w:after="0"/>
            </w:pPr>
            <w:r>
              <w:rPr>
                <w:rFonts w:ascii="Calibri" w:hAnsi="Calibri"/>
                <w:sz w:val="18"/>
              </w:rPr>
              <w:t>Windows 11 recommended; CI uses Linux</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Python</w:t>
            </w:r>
          </w:p>
        </w:tc>
        <w:tc>
          <w:tcPr>
            <w:tcW w:type="dxa" w:w="6480"/>
            <w:vAlign w:val="center"/>
            <w:tcMar>
              <w:top w:w="80" w:type="dxa"/>
              <w:start w:w="100" w:type="dxa"/>
              <w:bottom w:w="80" w:type="dxa"/>
              <w:end w:w="100" w:type="dxa"/>
            </w:tcMar>
            <w:shd w:fill="F4F6F7"/>
          </w:tcPr>
          <w:p>
            <w:pPr>
              <w:spacing w:after="0"/>
            </w:pPr>
            <w:r>
              <w:rPr>
                <w:rFonts w:ascii="Calibri" w:hAnsi="Calibri"/>
                <w:sz w:val="18"/>
              </w:rPr>
              <w:t>Exactly the Python 3.12 series for this project</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Package manager</w:t>
            </w:r>
          </w:p>
        </w:tc>
        <w:tc>
          <w:tcPr>
            <w:tcW w:type="dxa" w:w="6480"/>
            <w:vAlign w:val="center"/>
            <w:tcMar>
              <w:top w:w="80" w:type="dxa"/>
              <w:start w:w="100" w:type="dxa"/>
              <w:bottom w:w="80" w:type="dxa"/>
              <w:end w:w="100" w:type="dxa"/>
            </w:tcMar>
            <w:shd w:fill="FFFFFF"/>
          </w:tcPr>
          <w:p>
            <w:pPr>
              <w:spacing w:after="0"/>
            </w:pPr>
            <w:r>
              <w:rPr>
                <w:rFonts w:ascii="Calibri" w:hAnsi="Calibri"/>
                <w:sz w:val="18"/>
              </w:rPr>
              <w:t>uv</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GPU profile</w:t>
            </w:r>
          </w:p>
        </w:tc>
        <w:tc>
          <w:tcPr>
            <w:tcW w:type="dxa" w:w="6480"/>
            <w:vAlign w:val="center"/>
            <w:tcMar>
              <w:top w:w="80" w:type="dxa"/>
              <w:start w:w="100" w:type="dxa"/>
              <w:bottom w:w="80" w:type="dxa"/>
              <w:end w:w="100" w:type="dxa"/>
            </w:tcMar>
            <w:shd w:fill="F4F6F7"/>
          </w:tcPr>
          <w:p>
            <w:pPr>
              <w:spacing w:after="0"/>
            </w:pPr>
            <w:r>
              <w:rPr>
                <w:rFonts w:ascii="Calibri" w:hAnsi="Calibri"/>
                <w:sz w:val="18"/>
              </w:rPr>
              <w:t>NVIDIA driver compatible with the PyTorch CUDA 12.9 wheel</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CPU profile</w:t>
            </w:r>
          </w:p>
        </w:tc>
        <w:tc>
          <w:tcPr>
            <w:tcW w:type="dxa" w:w="6480"/>
            <w:vAlign w:val="center"/>
            <w:tcMar>
              <w:top w:w="80" w:type="dxa"/>
              <w:start w:w="100" w:type="dxa"/>
              <w:bottom w:w="80" w:type="dxa"/>
              <w:end w:w="100" w:type="dxa"/>
            </w:tcMar>
            <w:shd w:fill="FFFFFF"/>
          </w:tcPr>
          <w:p>
            <w:pPr>
              <w:spacing w:after="0"/>
            </w:pPr>
            <w:r>
              <w:rPr>
                <w:rFonts w:ascii="Calibri" w:hAnsi="Calibri"/>
                <w:sz w:val="18"/>
              </w:rPr>
              <w:t>Any supported x86-64 machine; training is much slower</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Browser</w:t>
            </w:r>
          </w:p>
        </w:tc>
        <w:tc>
          <w:tcPr>
            <w:tcW w:type="dxa" w:w="6480"/>
            <w:vAlign w:val="center"/>
            <w:tcMar>
              <w:top w:w="80" w:type="dxa"/>
              <w:start w:w="100" w:type="dxa"/>
              <w:bottom w:w="80" w:type="dxa"/>
              <w:end w:w="100" w:type="dxa"/>
            </w:tcMar>
            <w:shd w:fill="F4F6F7"/>
          </w:tcPr>
          <w:p>
            <w:pPr>
              <w:spacing w:after="0"/>
            </w:pPr>
            <w:r>
              <w:rPr>
                <w:rFonts w:ascii="Calibri" w:hAnsi="Calibri"/>
                <w:sz w:val="18"/>
              </w:rPr>
              <w:t>A current browser for Streamlit at localhost</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Disk</w:t>
            </w:r>
          </w:p>
        </w:tc>
        <w:tc>
          <w:tcPr>
            <w:tcW w:type="dxa" w:w="6480"/>
            <w:vAlign w:val="center"/>
            <w:tcMar>
              <w:top w:w="80" w:type="dxa"/>
              <w:start w:w="100" w:type="dxa"/>
              <w:bottom w:w="80" w:type="dxa"/>
              <w:end w:w="100" w:type="dxa"/>
            </w:tcMar>
            <w:shd w:fill="FFFFFF"/>
          </w:tcPr>
          <w:p>
            <w:pPr>
              <w:spacing w:after="0"/>
            </w:pPr>
            <w:r>
              <w:rPr>
                <w:rFonts w:ascii="Calibri" w:hAnsi="Calibri"/>
                <w:sz w:val="18"/>
              </w:rPr>
              <w:t>Allow several GB for packages, downloaded models, checkpoints, and caches</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Network</w:t>
            </w:r>
          </w:p>
        </w:tc>
        <w:tc>
          <w:tcPr>
            <w:tcW w:type="dxa" w:w="6480"/>
            <w:vAlign w:val="center"/>
            <w:tcMar>
              <w:top w:w="80" w:type="dxa"/>
              <w:start w:w="100" w:type="dxa"/>
              <w:bottom w:w="80" w:type="dxa"/>
              <w:end w:w="100" w:type="dxa"/>
            </w:tcMar>
            <w:shd w:fill="F4F6F7"/>
          </w:tcPr>
          <w:p>
            <w:pPr>
              <w:spacing w:after="0"/>
            </w:pPr>
            <w:r>
              <w:rPr>
                <w:rFonts w:ascii="Calibri" w:hAnsi="Calibri"/>
                <w:sz w:val="18"/>
              </w:rPr>
              <w:t>Required for first-time package/model downloads and online W&amp;B</w:t>
            </w:r>
          </w:p>
        </w:tc>
      </w:tr>
    </w:tbl>
    <w:p>
      <w:pPr>
        <w:spacing w:after="0"/>
      </w:pPr>
    </w:p>
    <w:p>
      <w:r>
        <w:t>The project uses two mutually exclusive PyTorch extras:</w:t>
      </w:r>
    </w:p>
    <w:p>
      <w:pPr>
        <w:pStyle w:val="ListBullet"/>
      </w:pPr>
      <w:r>
        <w:rPr>
          <w:rFonts w:ascii="Consolas" w:hAnsi="Consolas"/>
          <w:color w:val="1F4D78"/>
          <w:sz w:val="18"/>
        </w:rPr>
        <w:t>cu129</w:t>
      </w:r>
      <w:r>
        <w:t xml:space="preserve"> installs the CUDA 12.9 build used by the Windows launchers.</w:t>
      </w:r>
    </w:p>
    <w:p>
      <w:pPr>
        <w:pStyle w:val="ListBullet"/>
      </w:pPr>
      <w:r>
        <w:rPr>
          <w:rFonts w:ascii="Consolas" w:hAnsi="Consolas"/>
          <w:color w:val="1F4D78"/>
          <w:sz w:val="18"/>
        </w:rPr>
        <w:t>cpu</w:t>
      </w:r>
      <w:r>
        <w:t xml:space="preserve"> installs the CPU-only build used by GitHub Actions.</w:t>
      </w:r>
    </w:p>
    <w:p>
      <w:r>
        <w:t>Never request both extras in one command.</w:t>
      </w:r>
    </w:p>
    <w:p>
      <w:bookmarkStart w:id="106" w:name="guide_sec_007"/>
      <w:pPr>
        <w:pStyle w:val="Heading2"/>
      </w:pPr>
      <w:r>
        <w:t>2.2 Install uv</w:t>
      </w:r>
      <w:bookmarkEnd w:id="106"/>
    </w:p>
    <w:p>
      <w:r>
        <w:t xml:space="preserve">Follow the official uv installation instructions at </w:t>
      </w:r>
      <w:r>
        <w:rPr>
          <w:rFonts w:ascii="Consolas" w:hAnsi="Consolas"/>
          <w:color w:val="1F4D78"/>
          <w:sz w:val="18"/>
        </w:rPr>
        <w:t>https://docs.astral.sh/uv/</w:t>
      </w:r>
      <w:r>
        <w:t>. After installation, open a new PowerShell window and verify:</w:t>
      </w:r>
    </w:p>
    <w:p>
      <w:pPr>
        <w:pStyle w:val="CodeBlock"/>
        <w:shd w:fill="F4F6F7"/>
        <w:pBdr>
          <w:left w:val="single" w:sz="18" w:space="8" w:color="C9D3DD"/>
        </w:pBdr>
      </w:pPr>
      <w:r>
        <w:rPr>
          <w:rFonts w:ascii="Consolas" w:hAnsi="Consolas"/>
          <w:sz w:val="17"/>
        </w:rPr>
        <w:t>uv --version</w:t>
      </w:r>
    </w:p>
    <w:p>
      <w:r>
        <w:t xml:space="preserve">If PowerShell cannot find </w:t>
      </w:r>
      <w:r>
        <w:rPr>
          <w:rFonts w:ascii="Consolas" w:hAnsi="Consolas"/>
          <w:color w:val="1F4D78"/>
          <w:sz w:val="18"/>
        </w:rPr>
        <w:t>uv</w:t>
      </w:r>
      <w:r>
        <w:t>, close and reopen the terminal so the updated PATH is loaded.</w:t>
      </w:r>
    </w:p>
    <w:p>
      <w:bookmarkStart w:id="107" w:name="guide_sec_008"/>
      <w:pPr>
        <w:pStyle w:val="Heading2"/>
      </w:pPr>
      <w:r>
        <w:t>2.3 Open the project directory</w:t>
      </w:r>
      <w:bookmarkEnd w:id="107"/>
    </w:p>
    <w:p>
      <w:r>
        <w:t>Every manual command in this guide assumes PowerShell is in the repository root:</w:t>
      </w:r>
    </w:p>
    <w:p>
      <w:pPr>
        <w:pStyle w:val="CodeBlock"/>
        <w:shd w:fill="F4F6F7"/>
        <w:pBdr>
          <w:left w:val="single" w:sz="18" w:space="8" w:color="C9D3DD"/>
        </w:pBdr>
      </w:pPr>
      <w:r>
        <w:rPr>
          <w:rFonts w:ascii="Consolas" w:hAnsi="Consolas"/>
          <w:sz w:val="17"/>
        </w:rPr>
        <w:t>Set-Location "C:\LLMs and Scripts\LLM_Learning_Material\fine-tune-models"</w:t>
      </w:r>
      <w:r>
        <w:br/>
      </w:r>
      <w:r>
        <w:rPr>
          <w:rFonts w:ascii="Consolas" w:hAnsi="Consolas"/>
          <w:sz w:val="17"/>
        </w:rPr>
        <w:t>Get-Location</w:t>
      </w:r>
    </w:p>
    <w:p>
      <w:r>
        <w:t xml:space="preserve">For a future GitHub clone, replace that path with the directory where you cloned the repository. The prompt should end in </w:t>
      </w:r>
      <w:r>
        <w:rPr>
          <w:rFonts w:ascii="Consolas" w:hAnsi="Consolas"/>
          <w:color w:val="1F4D78"/>
          <w:sz w:val="18"/>
        </w:rPr>
        <w:t>fine-tune-models</w:t>
      </w:r>
      <w:r>
        <w:t xml:space="preserve"> or your final repository name.</w:t>
      </w:r>
    </w:p>
    <w:p>
      <w:bookmarkStart w:id="108" w:name="guide_sec_009"/>
      <w:pPr>
        <w:pStyle w:val="Heading2"/>
      </w:pPr>
      <w:r>
        <w:t>2.4 Recommended RTX 5070 setup</w:t>
      </w:r>
      <w:bookmarkEnd w:id="108"/>
    </w:p>
    <w:p>
      <w:r>
        <w:t>The setup script selects Python 3.12, installs developer tools, installs the CUDA profile, and runs the hardware doctor:</w:t>
      </w:r>
    </w:p>
    <w:p>
      <w:pPr>
        <w:pStyle w:val="CodeBlock"/>
        <w:shd w:fill="F4F6F7"/>
        <w:pBdr>
          <w:left w:val="single" w:sz="18" w:space="8" w:color="C9D3DD"/>
        </w:pBdr>
      </w:pPr>
      <w:r>
        <w:rPr>
          <w:rFonts w:ascii="Consolas" w:hAnsi="Consolas"/>
          <w:sz w:val="17"/>
        </w:rPr>
        <w:t>.\setup.ps1</w:t>
      </w:r>
    </w:p>
    <w:p>
      <w:r>
        <w:t>The equivalent visible commands are:</w:t>
      </w:r>
    </w:p>
    <w:p>
      <w:pPr>
        <w:pStyle w:val="CodeBlock"/>
        <w:shd w:fill="F4F6F7"/>
        <w:pBdr>
          <w:left w:val="single" w:sz="18" w:space="8" w:color="C9D3DD"/>
        </w:pBdr>
      </w:pPr>
      <w:r>
        <w:rPr>
          <w:rFonts w:ascii="Consolas" w:hAnsi="Consolas"/>
          <w:sz w:val="17"/>
        </w:rPr>
        <w:t>uv sync --python 3.12 --extra dev --extra cu129</w:t>
      </w:r>
      <w:r>
        <w:br/>
      </w:r>
      <w:r>
        <w:rPr>
          <w:rFonts w:ascii="Consolas" w:hAnsi="Consolas"/>
          <w:sz w:val="17"/>
        </w:rPr>
        <w:t>uv run --extra cu129 contractlab doctor</w:t>
      </w:r>
    </w:p>
    <w:p>
      <w:r>
        <w:t xml:space="preserve">A healthy GPU report should show </w:t>
      </w:r>
      <w:r>
        <w:rPr>
          <w:rFonts w:ascii="Consolas" w:hAnsi="Consolas"/>
          <w:color w:val="1F4D78"/>
          <w:sz w:val="18"/>
        </w:rPr>
        <w:t>cuda_available: true</w:t>
      </w:r>
      <w:r>
        <w:t>, the NVIDIA device name, and approximately 12 GB of device memory. A PyTorch version containing a CUDA suffix is expected.</w:t>
      </w:r>
    </w:p>
    <w:p>
      <w:bookmarkStart w:id="109" w:name="guide_sec_010"/>
      <w:pPr>
        <w:pStyle w:val="Heading2"/>
      </w:pPr>
      <w:r>
        <w:t>2.5 CPU-only setup</w:t>
      </w:r>
      <w:bookmarkEnd w:id="109"/>
    </w:p>
    <w:p>
      <w:r>
        <w:t>Use this profile on machines without a compatible NVIDIA GPU and in CI:</w:t>
      </w:r>
    </w:p>
    <w:p>
      <w:pPr>
        <w:pStyle w:val="CodeBlock"/>
        <w:shd w:fill="F4F6F7"/>
        <w:pBdr>
          <w:left w:val="single" w:sz="18" w:space="8" w:color="C9D3DD"/>
        </w:pBdr>
      </w:pPr>
      <w:r>
        <w:rPr>
          <w:rFonts w:ascii="Consolas" w:hAnsi="Consolas"/>
          <w:sz w:val="17"/>
        </w:rPr>
        <w:t>uv sync --python 3.12 --extra dev --extra cpu</w:t>
      </w:r>
      <w:r>
        <w:br/>
      </w:r>
      <w:r>
        <w:rPr>
          <w:rFonts w:ascii="Consolas" w:hAnsi="Consolas"/>
          <w:sz w:val="17"/>
        </w:rPr>
        <w:t>uv run --extra cpu contractlab doctor</w:t>
      </w:r>
    </w:p>
    <w:p>
      <w:r>
        <w:t xml:space="preserve">The report should show </w:t>
      </w:r>
      <w:r>
        <w:rPr>
          <w:rFonts w:ascii="Consolas" w:hAnsi="Consolas"/>
          <w:color w:val="1F4D78"/>
          <w:sz w:val="18"/>
        </w:rPr>
        <w:t>cuda_available: false</w:t>
      </w:r>
      <w:r>
        <w:t>. The app still runs, but a Transformer training experiment can be substantially slower.</w:t>
      </w:r>
    </w:p>
    <w:p>
      <w:bookmarkStart w:id="110" w:name="guide_sec_011"/>
      <w:pPr>
        <w:pStyle w:val="Heading2"/>
      </w:pPr>
      <w:r>
        <w:t>2.6 Activate the environment only when helpful</w:t>
      </w:r>
      <w:bookmarkEnd w:id="110"/>
    </w:p>
    <w:p>
      <w:r>
        <w:rPr>
          <w:rFonts w:ascii="Consolas" w:hAnsi="Consolas"/>
          <w:color w:val="1F4D78"/>
          <w:sz w:val="18"/>
        </w:rPr>
        <w:t>uv run</w:t>
      </w:r>
      <w:r>
        <w:t xml:space="preserve"> automatically selects the project environment, so activation is not required. If you want a conventional interactive shell:</w:t>
      </w:r>
    </w:p>
    <w:p>
      <w:pPr>
        <w:pStyle w:val="CodeBlock"/>
        <w:shd w:fill="F4F6F7"/>
        <w:pBdr>
          <w:left w:val="single" w:sz="18" w:space="8" w:color="C9D3DD"/>
        </w:pBdr>
      </w:pPr>
      <w:r>
        <w:rPr>
          <w:rFonts w:ascii="Consolas" w:hAnsi="Consolas"/>
          <w:sz w:val="17"/>
        </w:rPr>
        <w:t>.\.venv\Scripts\Activate.ps1</w:t>
      </w:r>
      <w:r>
        <w:br/>
      </w:r>
      <w:r>
        <w:rPr>
          <w:rFonts w:ascii="Consolas" w:hAnsi="Consolas"/>
          <w:sz w:val="17"/>
        </w:rPr>
        <w:t>python --version</w:t>
      </w:r>
    </w:p>
    <w:p>
      <w:r>
        <w:t xml:space="preserve">Exit it later with </w:t>
      </w:r>
      <w:r>
        <w:rPr>
          <w:rFonts w:ascii="Consolas" w:hAnsi="Consolas"/>
          <w:color w:val="1F4D78"/>
          <w:sz w:val="18"/>
        </w:rPr>
        <w:t>deactivate</w:t>
      </w:r>
      <w:r>
        <w:t xml:space="preserve">. Continue to include </w:t>
      </w:r>
      <w:r>
        <w:rPr>
          <w:rFonts w:ascii="Consolas" w:hAnsi="Consolas"/>
          <w:color w:val="1F4D78"/>
          <w:sz w:val="18"/>
        </w:rPr>
        <w:t>--extra cu129</w:t>
      </w:r>
      <w:r>
        <w:t xml:space="preserve"> or </w:t>
      </w:r>
      <w:r>
        <w:rPr>
          <w:rFonts w:ascii="Consolas" w:hAnsi="Consolas"/>
          <w:color w:val="1F4D78"/>
          <w:sz w:val="18"/>
        </w:rPr>
        <w:t>--extra cpu</w:t>
      </w:r>
      <w:r>
        <w:t xml:space="preserve"> on </w:t>
      </w:r>
      <w:r>
        <w:rPr>
          <w:rFonts w:ascii="Consolas" w:hAnsi="Consolas"/>
          <w:color w:val="1F4D78"/>
          <w:sz w:val="18"/>
        </w:rPr>
        <w:t>uv run</w:t>
      </w:r>
      <w:r>
        <w:t xml:space="preserve"> commands so uv preserves the intended PyTorch build.</w:t>
      </w:r>
    </w:p>
    <w:p>
      <w:bookmarkStart w:id="111" w:name="guide_sec_012"/>
      <w:pPr>
        <w:pStyle w:val="Heading1"/>
      </w:pPr>
      <w:r>
        <w:t>3. Starting and stopping AI-Enabled Contracts Lab</w:t>
      </w:r>
      <w:bookmarkEnd w:id="111"/>
    </w:p>
    <w:p>
      <w:bookmarkStart w:id="112" w:name="guide_sec_013"/>
      <w:pPr>
        <w:pStyle w:val="Heading2"/>
      </w:pPr>
      <w:r>
        <w:t>3.1 Simplest launch</w:t>
      </w:r>
      <w:bookmarkEnd w:id="112"/>
    </w:p>
    <w:p>
      <w:r>
        <w:t>Double-click:</w:t>
      </w:r>
    </w:p>
    <w:p>
      <w:pPr>
        <w:pStyle w:val="CodeBlock"/>
        <w:shd w:fill="F4F6F7"/>
        <w:pBdr>
          <w:left w:val="single" w:sz="18" w:space="8" w:color="C9D3DD"/>
        </w:pBdr>
      </w:pPr>
      <w:r>
        <w:rPr>
          <w:rFonts w:ascii="Consolas" w:hAnsi="Consolas"/>
          <w:sz w:val="17"/>
        </w:rPr>
        <w:t>run-ai-enabled-contracts-lab.bat</w:t>
      </w:r>
    </w:p>
    <w:p>
      <w:r>
        <w:t xml:space="preserve">The batch file is saved in the repository root beside </w:t>
      </w:r>
      <w:r>
        <w:rPr>
          <w:rFonts w:ascii="Consolas" w:hAnsi="Consolas"/>
          <w:color w:val="1F4D78"/>
          <w:sz w:val="18"/>
        </w:rPr>
        <w:t>streamlit_app.py</w:t>
      </w:r>
      <w:r>
        <w:t>. It checks whether the app is already healthy, opens the existing instance if possible, or starts Streamlit on:</w:t>
      </w:r>
    </w:p>
    <w:p>
      <w:pPr>
        <w:pStyle w:val="CodeBlock"/>
        <w:shd w:fill="F4F6F7"/>
        <w:pBdr>
          <w:left w:val="single" w:sz="18" w:space="8" w:color="C9D3DD"/>
        </w:pBdr>
      </w:pPr>
      <w:r>
        <w:rPr>
          <w:rFonts w:ascii="Consolas" w:hAnsi="Consolas"/>
          <w:sz w:val="17"/>
        </w:rPr>
        <w:t>http://localhost:8501</w:t>
      </w:r>
    </w:p>
    <w:p>
      <w:r>
        <w:t xml:space="preserve">Keep the command window open. Press </w:t>
      </w:r>
      <w:r>
        <w:rPr>
          <w:rFonts w:ascii="Consolas" w:hAnsi="Consolas"/>
          <w:color w:val="1F4D78"/>
          <w:sz w:val="18"/>
        </w:rPr>
        <w:t>Ctrl+C</w:t>
      </w:r>
      <w:r>
        <w:t xml:space="preserve"> in that window to stop the server.</w:t>
      </w:r>
    </w:p>
    <w:p>
      <w:bookmarkStart w:id="113" w:name="guide_sec_014"/>
      <w:pPr>
        <w:pStyle w:val="Heading2"/>
      </w:pPr>
      <w:r>
        <w:t>3.2 Launch from PowerShell</w:t>
      </w:r>
      <w:bookmarkEnd w:id="113"/>
    </w:p>
    <w:p>
      <w:pPr>
        <w:pStyle w:val="CodeBlock"/>
        <w:shd w:fill="F4F6F7"/>
        <w:pBdr>
          <w:left w:val="single" w:sz="18" w:space="8" w:color="C9D3DD"/>
        </w:pBdr>
      </w:pPr>
      <w:r>
        <w:rPr>
          <w:rFonts w:ascii="Consolas" w:hAnsi="Consolas"/>
          <w:sz w:val="17"/>
        </w:rPr>
        <w:t>.\run.ps1</w:t>
      </w:r>
    </w:p>
    <w:p>
      <w:r>
        <w:t>The script prints the URL and starts the same CUDA-profile command used by the batch launcher.</w:t>
      </w:r>
    </w:p>
    <w:p>
      <w:bookmarkStart w:id="114" w:name="guide_sec_015"/>
      <w:pPr>
        <w:pStyle w:val="Heading2"/>
      </w:pPr>
      <w:r>
        <w:t>3.3 Run the application command manually</w:t>
      </w:r>
      <w:bookmarkEnd w:id="114"/>
    </w:p>
    <w:p>
      <w:r>
        <w:t>RTX 5070/CUDA profile:</w:t>
      </w:r>
    </w:p>
    <w:p>
      <w:pPr>
        <w:pStyle w:val="CodeBlock"/>
        <w:shd w:fill="F4F6F7"/>
        <w:pBdr>
          <w:left w:val="single" w:sz="18" w:space="8" w:color="C9D3DD"/>
        </w:pBdr>
      </w:pPr>
      <w:r>
        <w:rPr>
          <w:rFonts w:ascii="Consolas" w:hAnsi="Consolas"/>
          <w:sz w:val="17"/>
        </w:rPr>
        <w:t>uv run --extra cu129 streamlit run streamlit_app.py --server.address=localhost --server.port=8501</w:t>
      </w:r>
    </w:p>
    <w:p>
      <w:r>
        <w:t>CPU profile:</w:t>
      </w:r>
    </w:p>
    <w:p>
      <w:pPr>
        <w:pStyle w:val="CodeBlock"/>
        <w:shd w:fill="F4F6F7"/>
        <w:pBdr>
          <w:left w:val="single" w:sz="18" w:space="8" w:color="C9D3DD"/>
        </w:pBdr>
      </w:pPr>
      <w:r>
        <w:rPr>
          <w:rFonts w:ascii="Consolas" w:hAnsi="Consolas"/>
          <w:sz w:val="17"/>
        </w:rPr>
        <w:t>uv run --extra cpu streamlit run streamlit_app.py --server.address=localhost --server.port=8501</w:t>
      </w:r>
    </w:p>
    <w:p>
      <w:r>
        <w:t xml:space="preserve">Open </w:t>
      </w:r>
      <w:r>
        <w:rPr>
          <w:rFonts w:ascii="Consolas" w:hAnsi="Consolas"/>
          <w:color w:val="1F4D78"/>
          <w:sz w:val="18"/>
        </w:rPr>
        <w:t>http://localhost:8501</w:t>
      </w:r>
      <w:r>
        <w:t xml:space="preserve"> if the browser does not open automatically.</w:t>
      </w:r>
    </w:p>
    <w:p>
      <w:bookmarkStart w:id="115" w:name="guide_sec_016"/>
      <w:pPr>
        <w:pStyle w:val="Heading2"/>
      </w:pPr>
      <w:r>
        <w:t>3.4 Health check and clean shutdown</w:t>
      </w:r>
      <w:bookmarkEnd w:id="115"/>
    </w:p>
    <w:p>
      <w:r>
        <w:t>In a second PowerShell window:</w:t>
      </w:r>
    </w:p>
    <w:p>
      <w:pPr>
        <w:pStyle w:val="CodeBlock"/>
        <w:shd w:fill="F4F6F7"/>
        <w:pBdr>
          <w:left w:val="single" w:sz="18" w:space="8" w:color="C9D3DD"/>
        </w:pBdr>
      </w:pPr>
      <w:r>
        <w:rPr>
          <w:rFonts w:ascii="Consolas" w:hAnsi="Consolas"/>
          <w:sz w:val="17"/>
        </w:rPr>
        <w:t>Invoke-WebRequest -UseBasicParsing http://localhost:8501/_stcore/health</w:t>
      </w:r>
    </w:p>
    <w:p>
      <w:r>
        <w:t xml:space="preserve">Status code 200 means Streamlit is healthy. Stop with </w:t>
      </w:r>
      <w:r>
        <w:rPr>
          <w:rFonts w:ascii="Consolas" w:hAnsi="Consolas"/>
          <w:color w:val="1F4D78"/>
          <w:sz w:val="18"/>
        </w:rPr>
        <w:t>Ctrl+C</w:t>
      </w:r>
      <w:r>
        <w:t xml:space="preserve"> in the original server window. If a previous process still owns port 8501, close its terminal or identify it with:</w:t>
      </w:r>
    </w:p>
    <w:p>
      <w:pPr>
        <w:pStyle w:val="CodeBlock"/>
        <w:shd w:fill="F4F6F7"/>
        <w:pBdr>
          <w:left w:val="single" w:sz="18" w:space="8" w:color="C9D3DD"/>
        </w:pBdr>
      </w:pPr>
      <w:r>
        <w:rPr>
          <w:rFonts w:ascii="Consolas" w:hAnsi="Consolas"/>
          <w:sz w:val="17"/>
        </w:rPr>
        <w:t>Get-NetTCPConnection -LocalPort 8501 -ErrorAction SilentlyContinue</w:t>
      </w:r>
    </w:p>
    <w:p>
      <w:r>
        <w:t>Do not terminate a process until you verify that it belongs to AI-Enabled Contracts Lab.</w:t>
      </w:r>
    </w:p>
    <w:p>
      <w:bookmarkStart w:id="116" w:name="guide_sec_017"/>
      <w:pPr>
        <w:pStyle w:val="Heading1"/>
      </w:pPr>
      <w:r>
        <w:t>4. Workbench tour</w:t>
      </w:r>
      <w:bookmarkEnd w:id="116"/>
    </w:p>
    <w:p>
      <w:r>
        <w:t>The navigation sidebar moves between pages. Streamlit reruns the active page after most widget changes; this is normal. Long training work is launched in a separate background process so it can continue while the page refreshes.</w:t>
      </w:r>
    </w:p>
    <w:p>
      <w:bookmarkStart w:id="117" w:name="guide_sec_018"/>
      <w:pPr>
        <w:pStyle w:val="Heading2"/>
      </w:pPr>
      <w:r>
        <w:t>4.1 Home</w:t>
      </w:r>
      <w:bookmarkEnd w:id="117"/>
    </w:p>
    <w:p>
      <w:r>
        <w:t>Home explains the recommended path and the six assistant capabilities. Use it to confirm the project scope and to return to the learning sequence. No training is started from this page.</w:t>
      </w:r>
    </w:p>
    <w:p>
      <w:bookmarkStart w:id="118" w:name="guide_sec_019"/>
      <w:pPr>
        <w:pStyle w:val="Heading2"/>
      </w:pPr>
      <w:r>
        <w:t>4.2 Guided classifier course</w:t>
      </w:r>
      <w:bookmarkEnd w:id="118"/>
    </w:p>
    <w:p>
      <w:r>
        <w:t>The Guided Classifier Course contains ten complete lessons in pipeline order, from task framing through responsible hybrid integration. Every lesson includes:</w:t>
      </w:r>
    </w:p>
    <w:p>
      <w:pPr>
        <w:pStyle w:val="ListBullet"/>
      </w:pPr>
      <w:r>
        <w:t>a learning outcome and explanation of why the topic matters;</w:t>
      </w:r>
    </w:p>
    <w:p>
      <w:pPr>
        <w:pStyle w:val="ListBullet"/>
      </w:pPr>
      <w:r>
        <w:t>core concepts and the relevant mathematical relationship;</w:t>
      </w:r>
    </w:p>
    <w:p>
      <w:pPr>
        <w:pStyle w:val="ListBullet"/>
      </w:pPr>
      <w:r>
        <w:t>a four-step workflow;</w:t>
      </w:r>
    </w:p>
    <w:p>
      <w:pPr>
        <w:pStyle w:val="ListBullet"/>
      </w:pPr>
      <w:r>
        <w:t>the exact project source file and function or class when applicable;</w:t>
      </w:r>
    </w:p>
    <w:p>
      <w:pPr>
        <w:pStyle w:val="ListBullet"/>
      </w:pPr>
      <w:r>
        <w:t>a guided experiment;</w:t>
      </w:r>
    </w:p>
    <w:p>
      <w:pPr>
        <w:pStyle w:val="ListBullet"/>
      </w:pPr>
      <w:r>
        <w:t>self-check questions; and</w:t>
      </w:r>
    </w:p>
    <w:p>
      <w:pPr>
        <w:pStyle w:val="ListBullet"/>
      </w:pPr>
      <w:r>
        <w:t>a concrete completion deliverable.</w:t>
      </w:r>
    </w:p>
    <w:p>
      <w:r>
        <w:t xml:space="preserve">Use the outline, lesson selector, and previous/next controls to navigate. Completion state and experiment notes are saved locally in </w:t>
      </w:r>
      <w:r>
        <w:rPr>
          <w:rFonts w:ascii="Consolas" w:hAnsi="Consolas"/>
          <w:color w:val="1F4D78"/>
          <w:sz w:val="18"/>
        </w:rPr>
        <w:t>artifacts/course_progress.json</w:t>
      </w:r>
      <w:r>
        <w:t xml:space="preserve">, which is excluded from Git. </w:t>
      </w:r>
      <w:r>
        <w:rPr>
          <w:b/>
        </w:rPr>
        <w:t>Download all course notes</w:t>
      </w:r>
      <w:r>
        <w:t xml:space="preserve"> creates a Markdown learning portfolio. Mark a lesson complete only after producing its stated evidence; completion is a study record, not a model-quality claim.</w:t>
      </w:r>
    </w:p>
    <w:p>
      <w:r>
        <w:t>Do not rush past the splitting lesson. A randomly split clause dataset may place language from the same source contract in training and test data, creating an unrealistically optimistic score. The final lesson traces classifier top-k hypotheses through abstention, independent issue spotting, jurisdiction routing, structured generation, audit metadata, and human review.</w:t>
      </w:r>
    </w:p>
    <w:p>
      <w:bookmarkStart w:id="119" w:name="guide_sec_020"/>
      <w:pPr>
        <w:pStyle w:val="Heading2"/>
      </w:pPr>
      <w:r>
        <w:t>4.3 Dataset lab</w:t>
      </w:r>
      <w:bookmarkEnd w:id="119"/>
    </w:p>
    <w:p>
      <w:r>
        <w:t>Dataset Lab supports synthetic examples, audited project datasets, uploads, and official CUAD conversion. It shows schema validation, label counts, row inspection, provenance, and a contract-grouped split preview.</w:t>
      </w:r>
    </w:p>
    <w:p>
      <w:r>
        <w:t>The lower taxonomy browser is a knowledge layer: choose one of ten legal domains, then a contract type, to see its definition, aliases, usual clauses, clause definitions, and review questions. Download the combined JSON when you want to inspect or extend the same records in code. Save an active training dataset only after reviewing text, labels, contract IDs, source, and license.</w:t>
      </w:r>
    </w:p>
    <w:p>
      <w:bookmarkStart w:id="120" w:name="guide_sec_021"/>
      <w:pPr>
        <w:pStyle w:val="Heading2"/>
      </w:pPr>
      <w:r>
        <w:t>4.4 Model lab</w:t>
      </w:r>
      <w:bookmarkEnd w:id="120"/>
    </w:p>
    <w:p>
      <w:r>
        <w:t xml:space="preserve">Model Lab compares open Hugging Face presets and links their upstream cards. Start with DistilBERT to learn the mechanics. Use </w:t>
      </w:r>
      <w:r>
        <w:rPr>
          <w:rFonts w:ascii="Consolas" w:hAnsi="Consolas"/>
          <w:color w:val="1F4D78"/>
          <w:sz w:val="18"/>
        </w:rPr>
        <w:t>nlpaueb/bert-base-uncased-contracts</w:t>
      </w:r>
      <w:r>
        <w:t xml:space="preserve"> for the stronger Contra experiment: its encoder was pretrained on US contract language, but it is larger and inherits the upstream CC BY-SA 4.0 license. Model choice does not remove the need for label definitions, representative examples, and held-out evaluation.</w:t>
      </w:r>
    </w:p>
    <w:p>
      <w:bookmarkStart w:id="121" w:name="guide_sec_022"/>
      <w:pPr>
        <w:pStyle w:val="Heading2"/>
      </w:pPr>
      <w:r>
        <w:t>4.5 Train</w:t>
      </w:r>
      <w:bookmarkEnd w:id="121"/>
    </w:p>
    <w:p>
      <w:r>
        <w:t xml:space="preserve">Train creates a </w:t>
      </w:r>
      <w:r>
        <w:rPr>
          <w:rFonts w:ascii="Consolas" w:hAnsi="Consolas"/>
          <w:color w:val="1F4D78"/>
          <w:sz w:val="18"/>
        </w:rPr>
        <w:t>TrainingConfig</w:t>
      </w:r>
      <w:r>
        <w:t xml:space="preserve">, saves it under </w:t>
      </w:r>
      <w:r>
        <w:rPr>
          <w:rFonts w:ascii="Consolas" w:hAnsi="Consolas"/>
          <w:color w:val="1F4D78"/>
          <w:sz w:val="18"/>
        </w:rPr>
        <w:t>artifacts/configs/</w:t>
      </w:r>
      <w:r>
        <w:t>, and launches a background process. Controls include epochs, learning rate, batch sizes, gradient accumulation, maximum length, precision, freezing, W&amp;B mode, and imbalance strategy.</w:t>
      </w:r>
    </w:p>
    <w:p>
      <w:r>
        <w:t xml:space="preserve">Use standard cross-entropy for a transparent baseline. Class-weighted cross-entropy gives rare labels more influence; focal loss emphasizes hard examples through </w:t>
      </w:r>
      <w:r>
        <w:rPr>
          <w:rFonts w:ascii="Consolas" w:hAnsi="Consolas"/>
          <w:color w:val="1F4D78"/>
          <w:sz w:val="18"/>
        </w:rPr>
        <w:t>focal_gamma</w:t>
      </w:r>
      <w:r>
        <w:t>. These can improve rare-class recall but can also reduce performance on common labels, so compare on an unchanged held-out split.</w:t>
      </w:r>
    </w:p>
    <w:p>
      <w:bookmarkStart w:id="122" w:name="guide_sec_023"/>
      <w:pPr>
        <w:pStyle w:val="Heading2"/>
      </w:pPr>
      <w:r>
        <w:t>4.6 Evaluate</w:t>
      </w:r>
      <w:bookmarkEnd w:id="122"/>
    </w:p>
    <w:p>
      <w:r>
        <w:t xml:space="preserve">Evaluate displays aggregate and per-label metrics, a confusion matrix, and individual predictions. The evaluation chat answers questions about the saved run rather than generating unsupported legal prose. Click </w:t>
      </w:r>
      <w:r>
        <w:rPr>
          <w:b/>
        </w:rPr>
        <w:t>Analyze this run</w:t>
      </w:r>
      <w:r>
        <w:t xml:space="preserve"> to explain the accuracy/macro-F1 gap, zero-F1 labels, weakest classes, common confusions, and a defensible next experiment. Prediction scores are not calibrated probabilities.</w:t>
      </w:r>
    </w:p>
    <w:p>
      <w:bookmarkStart w:id="123" w:name="guide_sec_024"/>
      <w:pPr>
        <w:pStyle w:val="Heading2"/>
      </w:pPr>
      <w:r>
        <w:t>4.7 Contract chat</w:t>
      </w:r>
      <w:bookmarkEnd w:id="123"/>
    </w:p>
    <w:p>
      <w:r>
        <w:t xml:space="preserve">Contract Chat is the general-purpose, multi-turn contract workspace. It can answer general contract questions without a document, work from pasted text, or accept optional attachments from the </w:t>
      </w:r>
      <w:r>
        <w:rPr>
          <w:rFonts w:ascii="Consolas" w:hAnsi="Consolas"/>
          <w:color w:val="1F4D78"/>
          <w:sz w:val="18"/>
        </w:rPr>
        <w:t>+</w:t>
      </w:r>
      <w:r>
        <w:t xml:space="preserve"> control built into the chat composer. Supported documents are copied into a conversation- scoped local workspace, extracted safely, and available to later follow-up questions. Archives are inspected in memory rather than unpacked onto disk.</w:t>
      </w:r>
    </w:p>
    <w:p>
      <w:r>
        <w:t xml:space="preserve">The conversation is scrollable and remains available after every answer, so a user can ask clarifying or follow-up questions in the same way as a modern chat application. </w:t>
      </w:r>
      <w:r>
        <w:rPr>
          <w:b/>
        </w:rPr>
        <w:t>Clear chat</w:t>
      </w:r>
      <w:r>
        <w:t xml:space="preserve"> starts a fresh message history while preserving workspace documents; removing a document is a separate deliberate action. The Local Workspace appears beneath the conversation for pasted text, document inspection, and file management.</w:t>
      </w:r>
    </w:p>
    <w:p>
      <w:r>
        <w:t xml:space="preserve">Response mode may be </w:t>
      </w:r>
      <w:r>
        <w:rPr>
          <w:b/>
        </w:rPr>
        <w:t>Auto</w:t>
      </w:r>
      <w:r>
        <w:t xml:space="preserve">, </w:t>
      </w:r>
      <w:r>
        <w:rPr>
          <w:b/>
        </w:rPr>
        <w:t>Review and analyze</w:t>
      </w:r>
      <w:r>
        <w:t xml:space="preserve">, or </w:t>
      </w:r>
      <w:r>
        <w:rPr>
          <w:b/>
        </w:rPr>
        <w:t>Draft complete contract</w:t>
      </w:r>
      <w:r>
        <w:t>. When the user asks to draft, rewrite, improve, or add missing clauses, the drafting path returns the actual complete proposed agreement in the chat and matching Word (</w:t>
      </w:r>
      <w:r>
        <w:rPr>
          <w:rFonts w:ascii="Consolas" w:hAnsi="Consolas"/>
          <w:color w:val="1F4D78"/>
          <w:sz w:val="18"/>
        </w:rPr>
        <w:t>.docx</w:t>
      </w:r>
      <w:r>
        <w:t>) and plain-text (</w:t>
      </w:r>
      <w:r>
        <w:rPr>
          <w:rFonts w:ascii="Consolas" w:hAnsi="Consolas"/>
          <w:color w:val="1F4D78"/>
          <w:sz w:val="18"/>
        </w:rPr>
        <w:t>.txt</w:t>
      </w:r>
      <w:r>
        <w:t>) files. It preserves supplied terms, uses bracketed placeholders for unknown terms, records assumptions and negotiation choices, and marks jurisdiction-dependent language for verification. A malformed or truncated local-model response falls back to a source-preserving deterministic drafter so that the editable artifacts still contain a complete instrument rather than only recommendations.</w:t>
      </w:r>
    </w:p>
    <w:p>
      <w:r>
        <w:t>Conversations, uploaded originals, extracted text, and generated files are local artifacts and must never be committed to Git. Clear chat and workspace removal are privacy controls, not a substitute for disk encryption, access control, retention policy, or professional confidentiality review.</w:t>
      </w:r>
    </w:p>
    <w:p>
      <w:bookmarkStart w:id="124" w:name="guide_sec_025"/>
      <w:pPr>
        <w:pStyle w:val="Heading2"/>
      </w:pPr>
      <w:r>
        <w:t>4.8 Contract assistant</w:t>
      </w:r>
      <w:bookmarkEnd w:id="124"/>
    </w:p>
    <w:p>
      <w:r>
        <w:t>Contract Assistant is the more structured document-review demonstration. It accepts pasted text or TXT, PDF, and DOCX files, classifies passages, identifies a likely contract type, compares the document with taxonomy concepts, and answers with cited passage IDs. It combines Contra predictions with transparent definitions and keyword matching when classifier confidence is low or the requested concept falls outside the CUAD label space.</w:t>
      </w:r>
    </w:p>
    <w:p>
      <w:r>
        <w:t>A concept reported as not detected means the educational matcher found no clear supporting text; it does not prove that a provision is legally required, absent, deficient, enforceable, or unenforceable. Verify every cited passage and every governing-law assumption.</w:t>
      </w:r>
    </w:p>
    <w:p>
      <w:bookmarkStart w:id="125" w:name="guide_sec_026"/>
      <w:pPr>
        <w:pStyle w:val="Heading2"/>
      </w:pPr>
      <w:r>
        <w:t>4.9 Experiments</w:t>
      </w:r>
      <w:bookmarkEnd w:id="125"/>
    </w:p>
    <w:p>
      <w:r>
        <w:t>Experiments lists local runs and saved metrics. When W&amp;B was enabled, it also provides the corresponding tracking context. Local artifacts remain the reproducibility source of truth.</w:t>
      </w:r>
    </w:p>
    <w:p>
      <w:bookmarkStart w:id="126" w:name="guide_sec_027"/>
      <w:pPr>
        <w:pStyle w:val="Heading2"/>
      </w:pPr>
      <w:r>
        <w:t>4.10 Code lab</w:t>
      </w:r>
      <w:bookmarkEnd w:id="126"/>
    </w:p>
    <w:p>
      <w:r>
        <w:t xml:space="preserve">Code Lab has three surfaces. </w:t>
      </w:r>
      <w:r>
        <w:rPr>
          <w:b/>
        </w:rPr>
        <w:t>Experiment export</w:t>
      </w:r>
      <w:r>
        <w:t xml:space="preserve"> displays implementation files and generates an editable script, Jupyter notebook, and JSON configuration. </w:t>
      </w:r>
      <w:r>
        <w:rPr>
          <w:b/>
        </w:rPr>
        <w:t>Private GitHub release</w:t>
      </w:r>
      <w:r>
        <w:t xml:space="preserve"> provides the review, test, commit, and private repository commands. </w:t>
      </w:r>
      <w:r>
        <w:rPr>
          <w:b/>
        </w:rPr>
        <w:t>Private Hugging Face release</w:t>
      </w:r>
      <w:r>
        <w:t xml:space="preserve"> prepares Contra v2, displays its measured limitations, and provides exact private-upload commands for </w:t>
      </w:r>
      <w:r>
        <w:rPr>
          <w:rFonts w:ascii="Consolas" w:hAnsi="Consolas"/>
          <w:color w:val="1F4D78"/>
          <w:sz w:val="18"/>
        </w:rPr>
        <w:t>rjaloudi/contra-contracts-bert-cuad-clause-classifier</w:t>
      </w:r>
      <w:r>
        <w:t>.</w:t>
      </w:r>
    </w:p>
    <w:p>
      <w:r>
        <w:t>Code Lab never requests or stores GitHub or Hugging Face tokens. Authenticate with the official CLIs in a terminal, inspect every staged or prepared file, and treat private repositories as review boundaries rather than proof of quality.</w:t>
      </w:r>
    </w:p>
    <w:p>
      <w:bookmarkStart w:id="127" w:name="guide_sec_028"/>
      <w:pPr>
        <w:pStyle w:val="Heading2"/>
      </w:pPr>
      <w:r>
        <w:t>4.11 Settings</w:t>
      </w:r>
      <w:bookmarkEnd w:id="127"/>
    </w:p>
    <w:p>
      <w:r>
        <w:t xml:space="preserve">Settings changes the visual palette without changing models or data. Legal Blue is the default. Parchment, Tropical, Sunset, Forest, and Midnight demonstrate bright and dark viewing preferences. The selection is saved locally in </w:t>
      </w:r>
      <w:r>
        <w:rPr>
          <w:rFonts w:ascii="Consolas" w:hAnsi="Consolas"/>
          <w:color w:val="1F4D78"/>
          <w:sz w:val="18"/>
        </w:rPr>
        <w:t>artifacts/preferences.json</w:t>
      </w:r>
      <w:r>
        <w:t>. Theme CSS affects presentation only and is never an input feature to training or evaluation.</w:t>
      </w:r>
    </w:p>
    <w:p>
      <w:bookmarkStart w:id="128" w:name="guide_sec_029"/>
      <w:pPr>
        <w:pStyle w:val="Heading1"/>
      </w:pPr>
      <w:r>
        <w:t>5. First guided classifier experiment</w:t>
      </w:r>
      <w:bookmarkEnd w:id="128"/>
    </w:p>
    <w:p>
      <w:r>
        <w:t>This sequence teaches every stage of the classifier training process while keeping the first run manageable.</w:t>
      </w:r>
    </w:p>
    <w:p>
      <w:bookmarkStart w:id="129" w:name="guide_sec_030"/>
      <w:pPr>
        <w:pStyle w:val="Heading2"/>
      </w:pPr>
      <w:r>
        <w:t>5.1 Confirm the environment</w:t>
      </w:r>
      <w:bookmarkEnd w:id="129"/>
    </w:p>
    <w:p>
      <w:r>
        <w:t>From the repository root:</w:t>
      </w:r>
    </w:p>
    <w:p>
      <w:pPr>
        <w:pStyle w:val="CodeBlock"/>
        <w:shd w:fill="F4F6F7"/>
        <w:pBdr>
          <w:left w:val="single" w:sz="18" w:space="8" w:color="C9D3DD"/>
        </w:pBdr>
      </w:pPr>
      <w:r>
        <w:rPr>
          <w:rFonts w:ascii="Consolas" w:hAnsi="Consolas"/>
          <w:sz w:val="17"/>
        </w:rPr>
        <w:t>.\doctor.ps1</w:t>
      </w:r>
    </w:p>
    <w:p>
      <w:r>
        <w:t xml:space="preserve">If CUDA is unavailable on the target GPU, review the driver, confirm that the </w:t>
      </w:r>
      <w:r>
        <w:rPr>
          <w:rFonts w:ascii="Consolas" w:hAnsi="Consolas"/>
          <w:color w:val="1F4D78"/>
          <w:sz w:val="18"/>
        </w:rPr>
        <w:t>cu129</w:t>
      </w:r>
      <w:r>
        <w:t xml:space="preserve"> extra was selected, and rerun </w:t>
      </w:r>
      <w:r>
        <w:rPr>
          <w:rFonts w:ascii="Consolas" w:hAnsi="Consolas"/>
          <w:color w:val="1F4D78"/>
          <w:sz w:val="18"/>
        </w:rPr>
        <w:t>uv sync</w:t>
      </w:r>
      <w:r>
        <w:t xml:space="preserve"> before training.</w:t>
      </w:r>
    </w:p>
    <w:p>
      <w:bookmarkStart w:id="130" w:name="guide_sec_031"/>
      <w:pPr>
        <w:pStyle w:val="Heading2"/>
      </w:pPr>
      <w:r>
        <w:t>5.2 Study the first lessons</w:t>
      </w:r>
      <w:bookmarkEnd w:id="130"/>
    </w:p>
    <w:p>
      <w:r>
        <w:t>Open Learn and complete at least the lessons on task framing, provenance, grouped splitting, tokenization, model loading, and the optimization loop. Write down the input unit, label set, evaluation unit, and intended user. Those four choices define what the model actually learns.</w:t>
      </w:r>
    </w:p>
    <w:p>
      <w:bookmarkStart w:id="131" w:name="guide_sec_032"/>
      <w:pPr>
        <w:pStyle w:val="Heading2"/>
      </w:pPr>
      <w:r>
        <w:t>5.3 Prepare the synthetic dataset</w:t>
      </w:r>
      <w:bookmarkEnd w:id="131"/>
    </w:p>
    <w:p>
      <w:r>
        <w:t xml:space="preserve">Open Dataset lab and choose </w:t>
      </w:r>
      <w:r>
        <w:rPr>
          <w:b/>
        </w:rPr>
        <w:t>Built-in synthetic</w:t>
      </w:r>
      <w:r>
        <w:t>. Inspect several rows. Confirm that:</w:t>
      </w:r>
    </w:p>
    <w:p>
      <w:pPr>
        <w:pStyle w:val="ListBullet"/>
      </w:pPr>
      <w:r>
        <w:rPr>
          <w:rFonts w:ascii="Consolas" w:hAnsi="Consolas"/>
          <w:color w:val="1F4D78"/>
          <w:sz w:val="18"/>
        </w:rPr>
        <w:t>text</w:t>
      </w:r>
      <w:r>
        <w:t xml:space="preserve"> contains one clause-like passage;</w:t>
      </w:r>
    </w:p>
    <w:p>
      <w:pPr>
        <w:pStyle w:val="ListBullet"/>
      </w:pPr>
      <w:r>
        <w:rPr>
          <w:rFonts w:ascii="Consolas" w:hAnsi="Consolas"/>
          <w:color w:val="1F4D78"/>
          <w:sz w:val="18"/>
        </w:rPr>
        <w:t>label</w:t>
      </w:r>
      <w:r>
        <w:t xml:space="preserve"> is the target class;</w:t>
      </w:r>
    </w:p>
    <w:p>
      <w:pPr>
        <w:pStyle w:val="ListBullet"/>
      </w:pPr>
      <w:r>
        <w:rPr>
          <w:rFonts w:ascii="Consolas" w:hAnsi="Consolas"/>
          <w:color w:val="1F4D78"/>
          <w:sz w:val="18"/>
        </w:rPr>
        <w:t>contract_id</w:t>
      </w:r>
      <w:r>
        <w:t xml:space="preserve"> groups passages from the same synthetic agreement;</w:t>
      </w:r>
    </w:p>
    <w:p>
      <w:pPr>
        <w:pStyle w:val="ListBullet"/>
      </w:pPr>
      <w:r>
        <w:rPr>
          <w:rFonts w:ascii="Consolas" w:hAnsi="Consolas"/>
          <w:color w:val="1F4D78"/>
          <w:sz w:val="18"/>
        </w:rPr>
        <w:t>source</w:t>
      </w:r>
      <w:r>
        <w:t xml:space="preserve"> identifies the generator; and</w:t>
      </w:r>
    </w:p>
    <w:p>
      <w:pPr>
        <w:pStyle w:val="ListBullet"/>
      </w:pPr>
      <w:r>
        <w:rPr>
          <w:rFonts w:ascii="Consolas" w:hAnsi="Consolas"/>
          <w:color w:val="1F4D78"/>
          <w:sz w:val="18"/>
        </w:rPr>
        <w:t>license</w:t>
      </w:r>
      <w:r>
        <w:t xml:space="preserve"> is MIT.</w:t>
      </w:r>
    </w:p>
    <w:p>
      <w:r>
        <w:t xml:space="preserve">Review the split preview. No </w:t>
      </w:r>
      <w:r>
        <w:rPr>
          <w:rFonts w:ascii="Consolas" w:hAnsi="Consolas"/>
          <w:color w:val="1F4D78"/>
          <w:sz w:val="18"/>
        </w:rPr>
        <w:t>contract_id</w:t>
      </w:r>
      <w:r>
        <w:t xml:space="preserve"> should appear in more than one split. Save the dataset as the active dataset when the validation panel is acceptable.</w:t>
      </w:r>
    </w:p>
    <w:p>
      <w:bookmarkStart w:id="132" w:name="guide_sec_033"/>
      <w:pPr>
        <w:pStyle w:val="Heading2"/>
      </w:pPr>
      <w:r>
        <w:t>5.4 Choose a model</w:t>
      </w:r>
      <w:bookmarkEnd w:id="132"/>
    </w:p>
    <w:p>
      <w:r>
        <w:t xml:space="preserve">Open Model lab and select </w:t>
      </w:r>
      <w:r>
        <w:rPr>
          <w:rFonts w:ascii="Consolas" w:hAnsi="Consolas"/>
          <w:color w:val="1F4D78"/>
          <w:sz w:val="18"/>
        </w:rPr>
        <w:t>distilbert/distilbert-base-uncased</w:t>
      </w:r>
      <w:r>
        <w:t>. Read its model card before using it beyond this project. Keep the first run at maximum length 256. Longer sequences use more VRAM and compute.</w:t>
      </w:r>
    </w:p>
    <w:p>
      <w:bookmarkStart w:id="133" w:name="guide_sec_034"/>
      <w:pPr>
        <w:pStyle w:val="Heading2"/>
      </w:pPr>
      <w:r>
        <w:t>5.5 Configure a learning run</w:t>
      </w:r>
      <w:bookmarkEnd w:id="133"/>
    </w:p>
    <w:p>
      <w:r>
        <w:t>Open Train and begin with:</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232"/>
            <w:vAlign w:val="center"/>
            <w:tcMar>
              <w:top w:w="80" w:type="dxa"/>
              <w:start w:w="100" w:type="dxa"/>
              <w:bottom w:w="80" w:type="dxa"/>
              <w:end w:w="100" w:type="dxa"/>
            </w:tcMar>
            <w:shd w:fill="2E74B5"/>
          </w:tcPr>
          <w:p>
            <w:pPr>
              <w:spacing w:after="0"/>
            </w:pPr>
            <w:r>
              <w:rPr>
                <w:rFonts w:ascii="Calibri" w:hAnsi="Calibri"/>
                <w:b/>
                <w:color w:val="FFFFFF"/>
                <w:sz w:val="17"/>
              </w:rPr>
              <w:t>Setting</w:t>
            </w:r>
          </w:p>
        </w:tc>
        <w:tc>
          <w:tcPr>
            <w:tcW w:type="dxa" w:w="2232"/>
            <w:vAlign w:val="center"/>
            <w:tcMar>
              <w:top w:w="80" w:type="dxa"/>
              <w:start w:w="100" w:type="dxa"/>
              <w:bottom w:w="80" w:type="dxa"/>
              <w:end w:w="100" w:type="dxa"/>
            </w:tcMar>
            <w:shd w:fill="2E74B5"/>
          </w:tcPr>
          <w:p>
            <w:pPr>
              <w:spacing w:after="0"/>
            </w:pPr>
            <w:r>
              <w:rPr>
                <w:rFonts w:ascii="Calibri" w:hAnsi="Calibri"/>
                <w:b/>
                <w:color w:val="FFFFFF"/>
                <w:sz w:val="17"/>
              </w:rPr>
              <w:t>First learning run</w:t>
            </w:r>
          </w:p>
        </w:tc>
        <w:tc>
          <w:tcPr>
            <w:tcW w:type="dxa" w:w="4896"/>
            <w:vAlign w:val="center"/>
            <w:tcMar>
              <w:top w:w="80" w:type="dxa"/>
              <w:start w:w="100" w:type="dxa"/>
              <w:bottom w:w="80" w:type="dxa"/>
              <w:end w:w="100" w:type="dxa"/>
            </w:tcMar>
            <w:shd w:fill="2E74B5"/>
          </w:tcPr>
          <w:p>
            <w:pPr>
              <w:spacing w:after="0"/>
            </w:pPr>
            <w:r>
              <w:rPr>
                <w:rFonts w:ascii="Calibri" w:hAnsi="Calibri"/>
                <w:b/>
                <w:color w:val="FFFFFF"/>
                <w:sz w:val="17"/>
              </w:rPr>
              <w:t>Why</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sz w:val="17"/>
              </w:rPr>
              <w:t>Epochs</w:t>
            </w:r>
          </w:p>
        </w:tc>
        <w:tc>
          <w:tcPr>
            <w:tcW w:type="dxa" w:w="2232"/>
            <w:vAlign w:val="center"/>
            <w:tcMar>
              <w:top w:w="80" w:type="dxa"/>
              <w:start w:w="100" w:type="dxa"/>
              <w:bottom w:w="80" w:type="dxa"/>
              <w:end w:w="100" w:type="dxa"/>
            </w:tcMar>
            <w:shd w:fill="FFFFFF"/>
          </w:tcPr>
          <w:p>
            <w:pPr>
              <w:spacing w:after="0"/>
            </w:pPr>
            <w:r>
              <w:rPr>
                <w:rFonts w:ascii="Calibri" w:hAnsi="Calibri"/>
                <w:sz w:val="17"/>
              </w:rPr>
              <w:t>3</w:t>
            </w:r>
          </w:p>
        </w:tc>
        <w:tc>
          <w:tcPr>
            <w:tcW w:type="dxa" w:w="4896"/>
            <w:vAlign w:val="center"/>
            <w:tcMar>
              <w:top w:w="80" w:type="dxa"/>
              <w:start w:w="100" w:type="dxa"/>
              <w:bottom w:w="80" w:type="dxa"/>
              <w:end w:w="100" w:type="dxa"/>
            </w:tcMar>
            <w:shd w:fill="FFFFFF"/>
          </w:tcPr>
          <w:p>
            <w:pPr>
              <w:spacing w:after="0"/>
            </w:pPr>
            <w:r>
              <w:rPr>
                <w:rFonts w:ascii="Calibri" w:hAnsi="Calibri"/>
                <w:sz w:val="17"/>
              </w:rPr>
              <w:t>Enough to observe learning without a long run</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sz w:val="17"/>
              </w:rPr>
              <w:t>Learning rate</w:t>
            </w:r>
          </w:p>
        </w:tc>
        <w:tc>
          <w:tcPr>
            <w:tcW w:type="dxa" w:w="2232"/>
            <w:vAlign w:val="center"/>
            <w:tcMar>
              <w:top w:w="80" w:type="dxa"/>
              <w:start w:w="100" w:type="dxa"/>
              <w:bottom w:w="80" w:type="dxa"/>
              <w:end w:w="100" w:type="dxa"/>
            </w:tcMar>
            <w:shd w:fill="F4F6F7"/>
          </w:tcPr>
          <w:p>
            <w:pPr>
              <w:spacing w:after="0"/>
            </w:pPr>
            <w:r>
              <w:rPr>
                <w:rFonts w:ascii="Calibri" w:hAnsi="Calibri"/>
                <w:sz w:val="17"/>
              </w:rPr>
              <w:t>0.00002</w:t>
            </w:r>
          </w:p>
        </w:tc>
        <w:tc>
          <w:tcPr>
            <w:tcW w:type="dxa" w:w="4896"/>
            <w:vAlign w:val="center"/>
            <w:tcMar>
              <w:top w:w="80" w:type="dxa"/>
              <w:start w:w="100" w:type="dxa"/>
              <w:bottom w:w="80" w:type="dxa"/>
              <w:end w:w="100" w:type="dxa"/>
            </w:tcMar>
            <w:shd w:fill="F4F6F7"/>
          </w:tcPr>
          <w:p>
            <w:pPr>
              <w:spacing w:after="0"/>
            </w:pPr>
            <w:r>
              <w:rPr>
                <w:rFonts w:ascii="Calibri" w:hAnsi="Calibri"/>
                <w:sz w:val="17"/>
              </w:rPr>
              <w:t>Common encoder fine-tuning starting point</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sz w:val="17"/>
              </w:rPr>
              <w:t>Train batch size</w:t>
            </w:r>
          </w:p>
        </w:tc>
        <w:tc>
          <w:tcPr>
            <w:tcW w:type="dxa" w:w="2232"/>
            <w:vAlign w:val="center"/>
            <w:tcMar>
              <w:top w:w="80" w:type="dxa"/>
              <w:start w:w="100" w:type="dxa"/>
              <w:bottom w:w="80" w:type="dxa"/>
              <w:end w:w="100" w:type="dxa"/>
            </w:tcMar>
            <w:shd w:fill="FFFFFF"/>
          </w:tcPr>
          <w:p>
            <w:pPr>
              <w:spacing w:after="0"/>
            </w:pPr>
            <w:r>
              <w:rPr>
                <w:rFonts w:ascii="Calibri" w:hAnsi="Calibri"/>
                <w:sz w:val="17"/>
              </w:rPr>
              <w:t>8</w:t>
            </w:r>
          </w:p>
        </w:tc>
        <w:tc>
          <w:tcPr>
            <w:tcW w:type="dxa" w:w="4896"/>
            <w:vAlign w:val="center"/>
            <w:tcMar>
              <w:top w:w="80" w:type="dxa"/>
              <w:start w:w="100" w:type="dxa"/>
              <w:bottom w:w="80" w:type="dxa"/>
              <w:end w:w="100" w:type="dxa"/>
            </w:tcMar>
            <w:shd w:fill="FFFFFF"/>
          </w:tcPr>
          <w:p>
            <w:pPr>
              <w:spacing w:after="0"/>
            </w:pPr>
            <w:r>
              <w:rPr>
                <w:rFonts w:ascii="Calibri" w:hAnsi="Calibri"/>
                <w:sz w:val="17"/>
              </w:rPr>
              <w:t>Appropriate starting point for 12 GB VRAM</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sz w:val="17"/>
              </w:rPr>
              <w:t>Eval batch size</w:t>
            </w:r>
          </w:p>
        </w:tc>
        <w:tc>
          <w:tcPr>
            <w:tcW w:type="dxa" w:w="2232"/>
            <w:vAlign w:val="center"/>
            <w:tcMar>
              <w:top w:w="80" w:type="dxa"/>
              <w:start w:w="100" w:type="dxa"/>
              <w:bottom w:w="80" w:type="dxa"/>
              <w:end w:w="100" w:type="dxa"/>
            </w:tcMar>
            <w:shd w:fill="F4F6F7"/>
          </w:tcPr>
          <w:p>
            <w:pPr>
              <w:spacing w:after="0"/>
            </w:pPr>
            <w:r>
              <w:rPr>
                <w:rFonts w:ascii="Calibri" w:hAnsi="Calibri"/>
                <w:sz w:val="17"/>
              </w:rPr>
              <w:t>16</w:t>
            </w:r>
          </w:p>
        </w:tc>
        <w:tc>
          <w:tcPr>
            <w:tcW w:type="dxa" w:w="4896"/>
            <w:vAlign w:val="center"/>
            <w:tcMar>
              <w:top w:w="80" w:type="dxa"/>
              <w:start w:w="100" w:type="dxa"/>
              <w:bottom w:w="80" w:type="dxa"/>
              <w:end w:w="100" w:type="dxa"/>
            </w:tcMar>
            <w:shd w:fill="F4F6F7"/>
          </w:tcPr>
          <w:p>
            <w:pPr>
              <w:spacing w:after="0"/>
            </w:pPr>
            <w:r>
              <w:rPr>
                <w:rFonts w:ascii="Calibri" w:hAnsi="Calibri"/>
                <w:sz w:val="17"/>
              </w:rPr>
              <w:t>No backward pass, so evaluation can often be larger</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sz w:val="17"/>
              </w:rPr>
              <w:t>Gradient accumulation</w:t>
            </w:r>
          </w:p>
        </w:tc>
        <w:tc>
          <w:tcPr>
            <w:tcW w:type="dxa" w:w="2232"/>
            <w:vAlign w:val="center"/>
            <w:tcMar>
              <w:top w:w="80" w:type="dxa"/>
              <w:start w:w="100" w:type="dxa"/>
              <w:bottom w:w="80" w:type="dxa"/>
              <w:end w:w="100" w:type="dxa"/>
            </w:tcMar>
            <w:shd w:fill="FFFFFF"/>
          </w:tcPr>
          <w:p>
            <w:pPr>
              <w:spacing w:after="0"/>
            </w:pPr>
            <w:r>
              <w:rPr>
                <w:rFonts w:ascii="Calibri" w:hAnsi="Calibri"/>
                <w:sz w:val="17"/>
              </w:rPr>
              <w:t>2</w:t>
            </w:r>
          </w:p>
        </w:tc>
        <w:tc>
          <w:tcPr>
            <w:tcW w:type="dxa" w:w="4896"/>
            <w:vAlign w:val="center"/>
            <w:tcMar>
              <w:top w:w="80" w:type="dxa"/>
              <w:start w:w="100" w:type="dxa"/>
              <w:bottom w:w="80" w:type="dxa"/>
              <w:end w:w="100" w:type="dxa"/>
            </w:tcMar>
            <w:shd w:fill="FFFFFF"/>
          </w:tcPr>
          <w:p>
            <w:pPr>
              <w:spacing w:after="0"/>
            </w:pPr>
            <w:r>
              <w:rPr>
                <w:rFonts w:ascii="Calibri" w:hAnsi="Calibri"/>
                <w:sz w:val="17"/>
              </w:rPr>
              <w:t>Effective train batch of 16</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sz w:val="17"/>
              </w:rPr>
              <w:t>Maximum length</w:t>
            </w:r>
          </w:p>
        </w:tc>
        <w:tc>
          <w:tcPr>
            <w:tcW w:type="dxa" w:w="2232"/>
            <w:vAlign w:val="center"/>
            <w:tcMar>
              <w:top w:w="80" w:type="dxa"/>
              <w:start w:w="100" w:type="dxa"/>
              <w:bottom w:w="80" w:type="dxa"/>
              <w:end w:w="100" w:type="dxa"/>
            </w:tcMar>
            <w:shd w:fill="F4F6F7"/>
          </w:tcPr>
          <w:p>
            <w:pPr>
              <w:spacing w:after="0"/>
            </w:pPr>
            <w:r>
              <w:rPr>
                <w:rFonts w:ascii="Calibri" w:hAnsi="Calibri"/>
                <w:sz w:val="17"/>
              </w:rPr>
              <w:t>256</w:t>
            </w:r>
          </w:p>
        </w:tc>
        <w:tc>
          <w:tcPr>
            <w:tcW w:type="dxa" w:w="4896"/>
            <w:vAlign w:val="center"/>
            <w:tcMar>
              <w:top w:w="80" w:type="dxa"/>
              <w:start w:w="100" w:type="dxa"/>
              <w:bottom w:w="80" w:type="dxa"/>
              <w:end w:w="100" w:type="dxa"/>
            </w:tcMar>
            <w:shd w:fill="F4F6F7"/>
          </w:tcPr>
          <w:p>
            <w:pPr>
              <w:spacing w:after="0"/>
            </w:pPr>
            <w:r>
              <w:rPr>
                <w:rFonts w:ascii="Calibri" w:hAnsi="Calibri"/>
                <w:sz w:val="17"/>
              </w:rPr>
              <w:t>Balances clause coverage and memory</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sz w:val="17"/>
              </w:rPr>
              <w:t>Weight decay</w:t>
            </w:r>
          </w:p>
        </w:tc>
        <w:tc>
          <w:tcPr>
            <w:tcW w:type="dxa" w:w="2232"/>
            <w:vAlign w:val="center"/>
            <w:tcMar>
              <w:top w:w="80" w:type="dxa"/>
              <w:start w:w="100" w:type="dxa"/>
              <w:bottom w:w="80" w:type="dxa"/>
              <w:end w:w="100" w:type="dxa"/>
            </w:tcMar>
            <w:shd w:fill="FFFFFF"/>
          </w:tcPr>
          <w:p>
            <w:pPr>
              <w:spacing w:after="0"/>
            </w:pPr>
            <w:r>
              <w:rPr>
                <w:rFonts w:ascii="Calibri" w:hAnsi="Calibri"/>
                <w:sz w:val="17"/>
              </w:rPr>
              <w:t>0.01</w:t>
            </w:r>
          </w:p>
        </w:tc>
        <w:tc>
          <w:tcPr>
            <w:tcW w:type="dxa" w:w="4896"/>
            <w:vAlign w:val="center"/>
            <w:tcMar>
              <w:top w:w="80" w:type="dxa"/>
              <w:start w:w="100" w:type="dxa"/>
              <w:bottom w:w="80" w:type="dxa"/>
              <w:end w:w="100" w:type="dxa"/>
            </w:tcMar>
            <w:shd w:fill="FFFFFF"/>
          </w:tcPr>
          <w:p>
            <w:pPr>
              <w:spacing w:after="0"/>
            </w:pPr>
            <w:r>
              <w:rPr>
                <w:rFonts w:ascii="Calibri" w:hAnsi="Calibri"/>
                <w:sz w:val="17"/>
              </w:rPr>
              <w:t>Mild regularization</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sz w:val="17"/>
              </w:rPr>
              <w:t>Warmup ratio</w:t>
            </w:r>
          </w:p>
        </w:tc>
        <w:tc>
          <w:tcPr>
            <w:tcW w:type="dxa" w:w="2232"/>
            <w:vAlign w:val="center"/>
            <w:tcMar>
              <w:top w:w="80" w:type="dxa"/>
              <w:start w:w="100" w:type="dxa"/>
              <w:bottom w:w="80" w:type="dxa"/>
              <w:end w:w="100" w:type="dxa"/>
            </w:tcMar>
            <w:shd w:fill="F4F6F7"/>
          </w:tcPr>
          <w:p>
            <w:pPr>
              <w:spacing w:after="0"/>
            </w:pPr>
            <w:r>
              <w:rPr>
                <w:rFonts w:ascii="Calibri" w:hAnsi="Calibri"/>
                <w:sz w:val="17"/>
              </w:rPr>
              <w:t>0.1</w:t>
            </w:r>
          </w:p>
        </w:tc>
        <w:tc>
          <w:tcPr>
            <w:tcW w:type="dxa" w:w="4896"/>
            <w:vAlign w:val="center"/>
            <w:tcMar>
              <w:top w:w="80" w:type="dxa"/>
              <w:start w:w="100" w:type="dxa"/>
              <w:bottom w:w="80" w:type="dxa"/>
              <w:end w:w="100" w:type="dxa"/>
            </w:tcMar>
            <w:shd w:fill="F4F6F7"/>
          </w:tcPr>
          <w:p>
            <w:pPr>
              <w:spacing w:after="0"/>
            </w:pPr>
            <w:r>
              <w:rPr>
                <w:rFonts w:ascii="Calibri" w:hAnsi="Calibri"/>
                <w:sz w:val="17"/>
              </w:rPr>
              <w:t>Gradual early learning-rate increase</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sz w:val="17"/>
              </w:rPr>
              <w:t>Max gradient norm</w:t>
            </w:r>
          </w:p>
        </w:tc>
        <w:tc>
          <w:tcPr>
            <w:tcW w:type="dxa" w:w="2232"/>
            <w:vAlign w:val="center"/>
            <w:tcMar>
              <w:top w:w="80" w:type="dxa"/>
              <w:start w:w="100" w:type="dxa"/>
              <w:bottom w:w="80" w:type="dxa"/>
              <w:end w:w="100" w:type="dxa"/>
            </w:tcMar>
            <w:shd w:fill="FFFFFF"/>
          </w:tcPr>
          <w:p>
            <w:pPr>
              <w:spacing w:after="0"/>
            </w:pPr>
            <w:r>
              <w:rPr>
                <w:rFonts w:ascii="Calibri" w:hAnsi="Calibri"/>
                <w:sz w:val="17"/>
              </w:rPr>
              <w:t>1.0</w:t>
            </w:r>
          </w:p>
        </w:tc>
        <w:tc>
          <w:tcPr>
            <w:tcW w:type="dxa" w:w="4896"/>
            <w:vAlign w:val="center"/>
            <w:tcMar>
              <w:top w:w="80" w:type="dxa"/>
              <w:start w:w="100" w:type="dxa"/>
              <w:bottom w:w="80" w:type="dxa"/>
              <w:end w:w="100" w:type="dxa"/>
            </w:tcMar>
            <w:shd w:fill="FFFFFF"/>
          </w:tcPr>
          <w:p>
            <w:pPr>
              <w:spacing w:after="0"/>
            </w:pPr>
            <w:r>
              <w:rPr>
                <w:rFonts w:ascii="Calibri" w:hAnsi="Calibri"/>
                <w:sz w:val="17"/>
              </w:rPr>
              <w:t>Clips unusually large gradients</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sz w:val="17"/>
              </w:rPr>
              <w:t>Precision</w:t>
            </w:r>
          </w:p>
        </w:tc>
        <w:tc>
          <w:tcPr>
            <w:tcW w:type="dxa" w:w="2232"/>
            <w:vAlign w:val="center"/>
            <w:tcMar>
              <w:top w:w="80" w:type="dxa"/>
              <w:start w:w="100" w:type="dxa"/>
              <w:bottom w:w="80" w:type="dxa"/>
              <w:end w:w="100" w:type="dxa"/>
            </w:tcMar>
            <w:shd w:fill="F4F6F7"/>
          </w:tcPr>
          <w:p>
            <w:pPr>
              <w:spacing w:after="0"/>
            </w:pPr>
            <w:r>
              <w:rPr>
                <w:rFonts w:ascii="Calibri" w:hAnsi="Calibri"/>
                <w:sz w:val="17"/>
              </w:rPr>
              <w:t>auto</w:t>
            </w:r>
          </w:p>
        </w:tc>
        <w:tc>
          <w:tcPr>
            <w:tcW w:type="dxa" w:w="4896"/>
            <w:vAlign w:val="center"/>
            <w:tcMar>
              <w:top w:w="80" w:type="dxa"/>
              <w:start w:w="100" w:type="dxa"/>
              <w:bottom w:w="80" w:type="dxa"/>
              <w:end w:w="100" w:type="dxa"/>
            </w:tcMar>
            <w:shd w:fill="F4F6F7"/>
          </w:tcPr>
          <w:p>
            <w:pPr>
              <w:spacing w:after="0"/>
            </w:pPr>
            <w:r>
              <w:rPr>
                <w:rFonts w:ascii="Calibri" w:hAnsi="Calibri"/>
                <w:sz w:val="17"/>
              </w:rPr>
              <w:t>Chooses supported mixed precision on CUDA</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sz w:val="17"/>
              </w:rPr>
              <w:t>Freeze encoder</w:t>
            </w:r>
          </w:p>
        </w:tc>
        <w:tc>
          <w:tcPr>
            <w:tcW w:type="dxa" w:w="2232"/>
            <w:vAlign w:val="center"/>
            <w:tcMar>
              <w:top w:w="80" w:type="dxa"/>
              <w:start w:w="100" w:type="dxa"/>
              <w:bottom w:w="80" w:type="dxa"/>
              <w:end w:w="100" w:type="dxa"/>
            </w:tcMar>
            <w:shd w:fill="FFFFFF"/>
          </w:tcPr>
          <w:p>
            <w:pPr>
              <w:spacing w:after="0"/>
            </w:pPr>
            <w:r>
              <w:rPr>
                <w:rFonts w:ascii="Calibri" w:hAnsi="Calibri"/>
                <w:sz w:val="17"/>
              </w:rPr>
              <w:t>false</w:t>
            </w:r>
          </w:p>
        </w:tc>
        <w:tc>
          <w:tcPr>
            <w:tcW w:type="dxa" w:w="4896"/>
            <w:vAlign w:val="center"/>
            <w:tcMar>
              <w:top w:w="80" w:type="dxa"/>
              <w:start w:w="100" w:type="dxa"/>
              <w:bottom w:w="80" w:type="dxa"/>
              <w:end w:w="100" w:type="dxa"/>
            </w:tcMar>
            <w:shd w:fill="FFFFFF"/>
          </w:tcPr>
          <w:p>
            <w:pPr>
              <w:spacing w:after="0"/>
            </w:pPr>
            <w:r>
              <w:rPr>
                <w:rFonts w:ascii="Calibri" w:hAnsi="Calibri"/>
                <w:sz w:val="17"/>
              </w:rPr>
              <w:t>Fine-tunes the encoder and classifier</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sz w:val="17"/>
              </w:rPr>
              <w:t>W&amp;B mode</w:t>
            </w:r>
          </w:p>
        </w:tc>
        <w:tc>
          <w:tcPr>
            <w:tcW w:type="dxa" w:w="2232"/>
            <w:vAlign w:val="center"/>
            <w:tcMar>
              <w:top w:w="80" w:type="dxa"/>
              <w:start w:w="100" w:type="dxa"/>
              <w:bottom w:w="80" w:type="dxa"/>
              <w:end w:w="100" w:type="dxa"/>
            </w:tcMar>
            <w:shd w:fill="F4F6F7"/>
          </w:tcPr>
          <w:p>
            <w:pPr>
              <w:spacing w:after="0"/>
            </w:pPr>
            <w:r>
              <w:rPr>
                <w:rFonts w:ascii="Calibri" w:hAnsi="Calibri"/>
                <w:sz w:val="17"/>
              </w:rPr>
              <w:t>disabled</w:t>
            </w:r>
          </w:p>
        </w:tc>
        <w:tc>
          <w:tcPr>
            <w:tcW w:type="dxa" w:w="4896"/>
            <w:vAlign w:val="center"/>
            <w:tcMar>
              <w:top w:w="80" w:type="dxa"/>
              <w:start w:w="100" w:type="dxa"/>
              <w:bottom w:w="80" w:type="dxa"/>
              <w:end w:w="100" w:type="dxa"/>
            </w:tcMar>
            <w:shd w:fill="F4F6F7"/>
          </w:tcPr>
          <w:p>
            <w:pPr>
              <w:spacing w:after="0"/>
            </w:pPr>
            <w:r>
              <w:rPr>
                <w:rFonts w:ascii="Calibri" w:hAnsi="Calibri"/>
                <w:sz w:val="17"/>
              </w:rPr>
              <w:t>Establish a local baseline first</w:t>
            </w:r>
          </w:p>
        </w:tc>
      </w:tr>
    </w:tbl>
    <w:p>
      <w:pPr>
        <w:spacing w:after="0"/>
      </w:pPr>
    </w:p>
    <w:p>
      <w:r>
        <w:t xml:space="preserve">Name the run clearly, for example </w:t>
      </w:r>
      <w:r>
        <w:rPr>
          <w:rFonts w:ascii="Consolas" w:hAnsi="Consolas"/>
          <w:color w:val="1F4D78"/>
          <w:sz w:val="18"/>
        </w:rPr>
        <w:t>distilbert-synthetic-baseline</w:t>
      </w:r>
      <w:r>
        <w:t>, then start training. The first model load can download files from Hugging Face.</w:t>
      </w:r>
    </w:p>
    <w:p>
      <w:bookmarkStart w:id="134" w:name="guide_sec_035"/>
      <w:pPr>
        <w:pStyle w:val="Heading2"/>
      </w:pPr>
      <w:r>
        <w:t>5.6 Watch the training process</w:t>
      </w:r>
      <w:bookmarkEnd w:id="134"/>
    </w:p>
    <w:p>
      <w:r>
        <w:t>Observe training loss, validation loss, macro F1, epoch progress, and device information. The loop performs these steps:</w:t>
      </w:r>
    </w:p>
    <w:p>
      <w:pPr>
        <w:pStyle w:val="ListNumber"/>
        <w:numPr>
          <w:ilvl w:val="0"/>
          <w:numId w:val="10"/>
        </w:numPr>
      </w:pPr>
      <w:r>
        <w:t>tokenize a batch;</w:t>
      </w:r>
    </w:p>
    <w:p>
      <w:pPr>
        <w:pStyle w:val="ListNumber"/>
        <w:numPr>
          <w:ilvl w:val="0"/>
          <w:numId w:val="10"/>
        </w:numPr>
      </w:pPr>
      <w:r>
        <w:t>move tensors to the selected device;</w:t>
      </w:r>
    </w:p>
    <w:p>
      <w:pPr>
        <w:pStyle w:val="ListNumber"/>
        <w:numPr>
          <w:ilvl w:val="0"/>
          <w:numId w:val="10"/>
        </w:numPr>
      </w:pPr>
      <w:r>
        <w:t>run the model forward;</w:t>
      </w:r>
    </w:p>
    <w:p>
      <w:pPr>
        <w:pStyle w:val="ListNumber"/>
        <w:numPr>
          <w:ilvl w:val="0"/>
          <w:numId w:val="10"/>
        </w:numPr>
      </w:pPr>
      <w:r>
        <w:t>divide loss for gradient accumulation;</w:t>
      </w:r>
    </w:p>
    <w:p>
      <w:pPr>
        <w:pStyle w:val="ListNumber"/>
        <w:numPr>
          <w:ilvl w:val="0"/>
          <w:numId w:val="10"/>
        </w:numPr>
      </w:pPr>
      <w:r>
        <w:t>backpropagate;</w:t>
      </w:r>
    </w:p>
    <w:p>
      <w:pPr>
        <w:pStyle w:val="ListNumber"/>
        <w:numPr>
          <w:ilvl w:val="0"/>
          <w:numId w:val="10"/>
        </w:numPr>
      </w:pPr>
      <w:r>
        <w:t>clip gradients when an optimizer step is due;</w:t>
      </w:r>
    </w:p>
    <w:p>
      <w:pPr>
        <w:pStyle w:val="ListNumber"/>
        <w:numPr>
          <w:ilvl w:val="0"/>
          <w:numId w:val="10"/>
        </w:numPr>
      </w:pPr>
      <w:r>
        <w:t>update parameters with AdamW;</w:t>
      </w:r>
    </w:p>
    <w:p>
      <w:pPr>
        <w:pStyle w:val="ListNumber"/>
        <w:numPr>
          <w:ilvl w:val="0"/>
          <w:numId w:val="10"/>
        </w:numPr>
      </w:pPr>
      <w:r>
        <w:t>advance the learning-rate scheduler;</w:t>
      </w:r>
    </w:p>
    <w:p>
      <w:pPr>
        <w:pStyle w:val="ListNumber"/>
        <w:numPr>
          <w:ilvl w:val="0"/>
          <w:numId w:val="10"/>
        </w:numPr>
      </w:pPr>
      <w:r>
        <w:t>evaluate on validation data; and</w:t>
      </w:r>
    </w:p>
    <w:p>
      <w:pPr>
        <w:pStyle w:val="ListNumber"/>
        <w:numPr>
          <w:ilvl w:val="0"/>
          <w:numId w:val="10"/>
        </w:numPr>
      </w:pPr>
      <w:r>
        <w:t>save the best checkpoint.</w:t>
      </w:r>
    </w:p>
    <w:p>
      <w:r>
        <w:t>Do not compare runs unless their dataset split, label mapping, seed, and metric definitions are consistent.</w:t>
      </w:r>
    </w:p>
    <w:p>
      <w:bookmarkStart w:id="135" w:name="guide_sec_036"/>
      <w:pPr>
        <w:pStyle w:val="Heading2"/>
      </w:pPr>
      <w:r>
        <w:t>5.7 Evaluate and record observations</w:t>
      </w:r>
      <w:bookmarkEnd w:id="135"/>
    </w:p>
    <w:p>
      <w:r>
        <w:t>After the status becomes complete, open Evaluate and answer:</w:t>
      </w:r>
    </w:p>
    <w:p>
      <w:pPr>
        <w:pStyle w:val="ListBullet"/>
      </w:pPr>
      <w:r>
        <w:t>Which labels have the lowest recall?</w:t>
      </w:r>
    </w:p>
    <w:p>
      <w:pPr>
        <w:pStyle w:val="ListBullet"/>
      </w:pPr>
      <w:r>
        <w:t>Which label pairs are most often confused?</w:t>
      </w:r>
    </w:p>
    <w:p>
      <w:pPr>
        <w:pStyle w:val="ListBullet"/>
      </w:pPr>
      <w:r>
        <w:t>Are errors caused by wording, truncation, ambiguous labels, or limited data?</w:t>
      </w:r>
    </w:p>
    <w:p>
      <w:pPr>
        <w:pStyle w:val="ListBullet"/>
      </w:pPr>
      <w:r>
        <w:t>Does macro F1 tell a different story than overall accuracy?</w:t>
      </w:r>
    </w:p>
    <w:p>
      <w:pPr>
        <w:pStyle w:val="ListBullet"/>
      </w:pPr>
      <w:r>
        <w:t>What single controlled change should the next run test?</w:t>
      </w:r>
    </w:p>
    <w:p>
      <w:r>
        <w:t>Then open Assistant, load the completed checkpoint, and try synthetic or non-confidential contract text. Verify every cited passage.</w:t>
      </w:r>
    </w:p>
    <w:p>
      <w:bookmarkStart w:id="136" w:name="guide_sec_037"/>
      <w:pPr>
        <w:pStyle w:val="Heading1"/>
      </w:pPr>
      <w:r>
        <w:t>6. Dataset design and validation</w:t>
      </w:r>
      <w:bookmarkEnd w:id="136"/>
    </w:p>
    <w:p>
      <w:bookmarkStart w:id="137" w:name="guide_sec_038"/>
      <w:pPr>
        <w:pStyle w:val="Heading2"/>
      </w:pPr>
      <w:r>
        <w:t>6.1 Required schema</w:t>
      </w:r>
      <w:bookmarkEnd w:id="137"/>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232"/>
            <w:vAlign w:val="center"/>
            <w:tcMar>
              <w:top w:w="80" w:type="dxa"/>
              <w:start w:w="100" w:type="dxa"/>
              <w:bottom w:w="80" w:type="dxa"/>
              <w:end w:w="100" w:type="dxa"/>
            </w:tcMar>
            <w:shd w:fill="2E74B5"/>
          </w:tcPr>
          <w:p>
            <w:pPr>
              <w:spacing w:after="0"/>
            </w:pPr>
            <w:r>
              <w:rPr>
                <w:rFonts w:ascii="Calibri" w:hAnsi="Calibri"/>
                <w:b/>
                <w:color w:val="FFFFFF"/>
                <w:sz w:val="17"/>
              </w:rPr>
              <w:t>Column</w:t>
            </w:r>
          </w:p>
        </w:tc>
        <w:tc>
          <w:tcPr>
            <w:tcW w:type="dxa" w:w="2232"/>
            <w:vAlign w:val="center"/>
            <w:tcMar>
              <w:top w:w="80" w:type="dxa"/>
              <w:start w:w="100" w:type="dxa"/>
              <w:bottom w:w="80" w:type="dxa"/>
              <w:end w:w="100" w:type="dxa"/>
            </w:tcMar>
            <w:shd w:fill="2E74B5"/>
          </w:tcPr>
          <w:p>
            <w:pPr>
              <w:spacing w:after="0"/>
            </w:pPr>
            <w:r>
              <w:rPr>
                <w:rFonts w:ascii="Calibri" w:hAnsi="Calibri"/>
                <w:b/>
                <w:color w:val="FFFFFF"/>
                <w:sz w:val="17"/>
              </w:rPr>
              <w:t>Requirement</w:t>
            </w:r>
          </w:p>
        </w:tc>
        <w:tc>
          <w:tcPr>
            <w:tcW w:type="dxa" w:w="4896"/>
            <w:vAlign w:val="center"/>
            <w:tcMar>
              <w:top w:w="80" w:type="dxa"/>
              <w:start w:w="100" w:type="dxa"/>
              <w:bottom w:w="80" w:type="dxa"/>
              <w:end w:w="100" w:type="dxa"/>
            </w:tcMar>
            <w:shd w:fill="2E74B5"/>
          </w:tcPr>
          <w:p>
            <w:pPr>
              <w:spacing w:after="0"/>
            </w:pPr>
            <w:r>
              <w:rPr>
                <w:rFonts w:ascii="Calibri" w:hAnsi="Calibri"/>
                <w:b/>
                <w:color w:val="FFFFFF"/>
                <w:sz w:val="17"/>
              </w:rPr>
              <w:t>Meaning</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color w:val="1F4D78"/>
                <w:sz w:val="17"/>
              </w:rPr>
              <w:t>text</w:t>
            </w:r>
          </w:p>
        </w:tc>
        <w:tc>
          <w:tcPr>
            <w:tcW w:type="dxa" w:w="2232"/>
            <w:vAlign w:val="center"/>
            <w:tcMar>
              <w:top w:w="80" w:type="dxa"/>
              <w:start w:w="100" w:type="dxa"/>
              <w:bottom w:w="80" w:type="dxa"/>
              <w:end w:w="100" w:type="dxa"/>
            </w:tcMar>
            <w:shd w:fill="FFFFFF"/>
          </w:tcPr>
          <w:p>
            <w:pPr>
              <w:spacing w:after="0"/>
            </w:pPr>
            <w:r>
              <w:rPr>
                <w:rFonts w:ascii="Calibri" w:hAnsi="Calibri"/>
                <w:sz w:val="17"/>
              </w:rPr>
              <w:t>Required</w:t>
            </w:r>
          </w:p>
        </w:tc>
        <w:tc>
          <w:tcPr>
            <w:tcW w:type="dxa" w:w="4896"/>
            <w:vAlign w:val="center"/>
            <w:tcMar>
              <w:top w:w="80" w:type="dxa"/>
              <w:start w:w="100" w:type="dxa"/>
              <w:bottom w:w="80" w:type="dxa"/>
              <w:end w:w="100" w:type="dxa"/>
            </w:tcMar>
            <w:shd w:fill="FFFFFF"/>
          </w:tcPr>
          <w:p>
            <w:pPr>
              <w:spacing w:after="0"/>
            </w:pPr>
            <w:r>
              <w:rPr>
                <w:rFonts w:ascii="Calibri" w:hAnsi="Calibri"/>
                <w:sz w:val="17"/>
              </w:rPr>
              <w:t>One clause or passage to classify</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color w:val="1F4D78"/>
                <w:sz w:val="17"/>
              </w:rPr>
              <w:t>label</w:t>
            </w:r>
          </w:p>
        </w:tc>
        <w:tc>
          <w:tcPr>
            <w:tcW w:type="dxa" w:w="2232"/>
            <w:vAlign w:val="center"/>
            <w:tcMar>
              <w:top w:w="80" w:type="dxa"/>
              <w:start w:w="100" w:type="dxa"/>
              <w:bottom w:w="80" w:type="dxa"/>
              <w:end w:w="100" w:type="dxa"/>
            </w:tcMar>
            <w:shd w:fill="F4F6F7"/>
          </w:tcPr>
          <w:p>
            <w:pPr>
              <w:spacing w:after="0"/>
            </w:pPr>
            <w:r>
              <w:rPr>
                <w:rFonts w:ascii="Calibri" w:hAnsi="Calibri"/>
                <w:sz w:val="17"/>
              </w:rPr>
              <w:t>Required</w:t>
            </w:r>
          </w:p>
        </w:tc>
        <w:tc>
          <w:tcPr>
            <w:tcW w:type="dxa" w:w="4896"/>
            <w:vAlign w:val="center"/>
            <w:tcMar>
              <w:top w:w="80" w:type="dxa"/>
              <w:start w:w="100" w:type="dxa"/>
              <w:bottom w:w="80" w:type="dxa"/>
              <w:end w:w="100" w:type="dxa"/>
            </w:tcMar>
            <w:shd w:fill="F4F6F7"/>
          </w:tcPr>
          <w:p>
            <w:pPr>
              <w:spacing w:after="0"/>
            </w:pPr>
            <w:r>
              <w:rPr>
                <w:rFonts w:ascii="Calibri" w:hAnsi="Calibri"/>
                <w:sz w:val="17"/>
              </w:rPr>
              <w:t>Target clause category</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color w:val="1F4D78"/>
                <w:sz w:val="17"/>
              </w:rPr>
              <w:t>contract_id</w:t>
            </w:r>
          </w:p>
        </w:tc>
        <w:tc>
          <w:tcPr>
            <w:tcW w:type="dxa" w:w="2232"/>
            <w:vAlign w:val="center"/>
            <w:tcMar>
              <w:top w:w="80" w:type="dxa"/>
              <w:start w:w="100" w:type="dxa"/>
              <w:bottom w:w="80" w:type="dxa"/>
              <w:end w:w="100" w:type="dxa"/>
            </w:tcMar>
            <w:shd w:fill="FFFFFF"/>
          </w:tcPr>
          <w:p>
            <w:pPr>
              <w:spacing w:after="0"/>
            </w:pPr>
            <w:r>
              <w:rPr>
                <w:rFonts w:ascii="Calibri" w:hAnsi="Calibri"/>
                <w:sz w:val="17"/>
              </w:rPr>
              <w:t>Strongly recommended</w:t>
            </w:r>
          </w:p>
        </w:tc>
        <w:tc>
          <w:tcPr>
            <w:tcW w:type="dxa" w:w="4896"/>
            <w:vAlign w:val="center"/>
            <w:tcMar>
              <w:top w:w="80" w:type="dxa"/>
              <w:start w:w="100" w:type="dxa"/>
              <w:bottom w:w="80" w:type="dxa"/>
              <w:end w:w="100" w:type="dxa"/>
            </w:tcMar>
            <w:shd w:fill="FFFFFF"/>
          </w:tcPr>
          <w:p>
            <w:pPr>
              <w:spacing w:after="0"/>
            </w:pPr>
            <w:r>
              <w:rPr>
                <w:rFonts w:ascii="Calibri" w:hAnsi="Calibri"/>
                <w:sz w:val="17"/>
              </w:rPr>
              <w:t>Source-document grouping key</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color w:val="1F4D78"/>
                <w:sz w:val="17"/>
              </w:rPr>
              <w:t>source</w:t>
            </w:r>
          </w:p>
        </w:tc>
        <w:tc>
          <w:tcPr>
            <w:tcW w:type="dxa" w:w="2232"/>
            <w:vAlign w:val="center"/>
            <w:tcMar>
              <w:top w:w="80" w:type="dxa"/>
              <w:start w:w="100" w:type="dxa"/>
              <w:bottom w:w="80" w:type="dxa"/>
              <w:end w:w="100" w:type="dxa"/>
            </w:tcMar>
            <w:shd w:fill="F4F6F7"/>
          </w:tcPr>
          <w:p>
            <w:pPr>
              <w:spacing w:after="0"/>
            </w:pPr>
            <w:r>
              <w:rPr>
                <w:rFonts w:ascii="Calibri" w:hAnsi="Calibri"/>
                <w:sz w:val="17"/>
              </w:rPr>
              <w:t>Recommended</w:t>
            </w:r>
          </w:p>
        </w:tc>
        <w:tc>
          <w:tcPr>
            <w:tcW w:type="dxa" w:w="4896"/>
            <w:vAlign w:val="center"/>
            <w:tcMar>
              <w:top w:w="80" w:type="dxa"/>
              <w:start w:w="100" w:type="dxa"/>
              <w:bottom w:w="80" w:type="dxa"/>
              <w:end w:w="100" w:type="dxa"/>
            </w:tcMar>
            <w:shd w:fill="F4F6F7"/>
          </w:tcPr>
          <w:p>
            <w:pPr>
              <w:spacing w:after="0"/>
            </w:pPr>
            <w:r>
              <w:rPr>
                <w:rFonts w:ascii="Calibri" w:hAnsi="Calibri"/>
                <w:sz w:val="17"/>
              </w:rPr>
              <w:t>Provenance or collection description</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color w:val="1F4D78"/>
                <w:sz w:val="17"/>
              </w:rPr>
              <w:t>license</w:t>
            </w:r>
          </w:p>
        </w:tc>
        <w:tc>
          <w:tcPr>
            <w:tcW w:type="dxa" w:w="2232"/>
            <w:vAlign w:val="center"/>
            <w:tcMar>
              <w:top w:w="80" w:type="dxa"/>
              <w:start w:w="100" w:type="dxa"/>
              <w:bottom w:w="80" w:type="dxa"/>
              <w:end w:w="100" w:type="dxa"/>
            </w:tcMar>
            <w:shd w:fill="FFFFFF"/>
          </w:tcPr>
          <w:p>
            <w:pPr>
              <w:spacing w:after="0"/>
            </w:pPr>
            <w:r>
              <w:rPr>
                <w:rFonts w:ascii="Calibri" w:hAnsi="Calibri"/>
                <w:sz w:val="17"/>
              </w:rPr>
              <w:t>Recommended</w:t>
            </w:r>
          </w:p>
        </w:tc>
        <w:tc>
          <w:tcPr>
            <w:tcW w:type="dxa" w:w="4896"/>
            <w:vAlign w:val="center"/>
            <w:tcMar>
              <w:top w:w="80" w:type="dxa"/>
              <w:start w:w="100" w:type="dxa"/>
              <w:bottom w:w="80" w:type="dxa"/>
              <w:end w:w="100" w:type="dxa"/>
            </w:tcMar>
            <w:shd w:fill="FFFFFF"/>
          </w:tcPr>
          <w:p>
            <w:pPr>
              <w:spacing w:after="0"/>
            </w:pPr>
            <w:r>
              <w:rPr>
                <w:rFonts w:ascii="Calibri" w:hAnsi="Calibri"/>
                <w:sz w:val="17"/>
              </w:rPr>
              <w:t>Redistribution terms or private designation</w:t>
            </w:r>
          </w:p>
        </w:tc>
      </w:tr>
    </w:tbl>
    <w:p>
      <w:pPr>
        <w:spacing w:after="0"/>
      </w:pPr>
    </w:p>
    <w:p>
      <w:r>
        <w:t>CSV should be UTF-8 encoded with a header row. JSONL should contain one JSON object per line with the same field names.</w:t>
      </w:r>
    </w:p>
    <w:p>
      <w:bookmarkStart w:id="138" w:name="guide_sec_039"/>
      <w:pPr>
        <w:pStyle w:val="Heading2"/>
      </w:pPr>
      <w:r>
        <w:t>6.2 Grouped splitting</w:t>
      </w:r>
      <w:bookmarkEnd w:id="138"/>
    </w:p>
    <w:p>
      <w:r>
        <w:t xml:space="preserve">AI-Enabled Contracts Lab splits unique </w:t>
      </w:r>
      <w:r>
        <w:rPr>
          <w:rFonts w:ascii="Consolas" w:hAnsi="Consolas"/>
          <w:color w:val="1F4D78"/>
          <w:sz w:val="18"/>
        </w:rPr>
        <w:t>contract_id</w:t>
      </w:r>
      <w:r>
        <w:t xml:space="preserve"> values, then assigns all rows from each contract to one partition. At least three distinct IDs are required. The default ratios are approximately 70 percent training, 15 percent validation, and 15 percent test, subject to whole-contract grouping.</w:t>
      </w:r>
    </w:p>
    <w:p>
      <w:r>
        <w:t>Training data updates parameters. Validation data selects the best checkpoint and guides experiment choices. Test data estimates final performance and should not be repeatedly used to tune decisions.</w:t>
      </w:r>
    </w:p>
    <w:p>
      <w:bookmarkStart w:id="139" w:name="guide_sec_040"/>
      <w:pPr>
        <w:pStyle w:val="Heading2"/>
      </w:pPr>
      <w:r>
        <w:t>6.3 Label quality</w:t>
      </w:r>
      <w:bookmarkEnd w:id="139"/>
    </w:p>
    <w:p>
      <w:r>
        <w:t>Write a labeling guide before scaling annotation. Define positive and negative examples, overlapping concepts, how to handle multi-purpose clauses, and when an annotator should abstain. If experts disagree systematically, the model cannot learn a stable target without a policy for that ambiguity.</w:t>
      </w:r>
    </w:p>
    <w:p>
      <w:bookmarkStart w:id="140" w:name="guide_sec_041"/>
      <w:pPr>
        <w:pStyle w:val="Heading2"/>
      </w:pPr>
      <w:r>
        <w:t>6.4 The five dataset families in this project</w:t>
      </w:r>
      <w:bookmarkEnd w:id="140"/>
    </w:p>
    <w:p>
      <w:r>
        <w:t>Dataset Lab now distinguishes files by learning purpose:</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232"/>
            <w:vAlign w:val="center"/>
            <w:tcMar>
              <w:top w:w="80" w:type="dxa"/>
              <w:start w:w="100" w:type="dxa"/>
              <w:bottom w:w="80" w:type="dxa"/>
              <w:end w:w="100" w:type="dxa"/>
            </w:tcMar>
            <w:shd w:fill="2E74B5"/>
          </w:tcPr>
          <w:p>
            <w:pPr>
              <w:spacing w:after="0"/>
            </w:pPr>
            <w:r>
              <w:rPr>
                <w:rFonts w:ascii="Calibri" w:hAnsi="Calibri"/>
                <w:b/>
                <w:color w:val="FFFFFF"/>
                <w:sz w:val="17"/>
              </w:rPr>
              <w:t>Dataset</w:t>
            </w:r>
          </w:p>
        </w:tc>
        <w:tc>
          <w:tcPr>
            <w:tcW w:type="dxa" w:w="2232"/>
            <w:vAlign w:val="center"/>
            <w:tcMar>
              <w:top w:w="80" w:type="dxa"/>
              <w:start w:w="100" w:type="dxa"/>
              <w:bottom w:w="80" w:type="dxa"/>
              <w:end w:w="100" w:type="dxa"/>
            </w:tcMar>
            <w:shd w:fill="2E74B5"/>
          </w:tcPr>
          <w:p>
            <w:pPr>
              <w:spacing w:after="0"/>
            </w:pPr>
            <w:r>
              <w:rPr>
                <w:rFonts w:ascii="Calibri" w:hAnsi="Calibri"/>
                <w:b/>
                <w:color w:val="FFFFFF"/>
                <w:sz w:val="17"/>
              </w:rPr>
              <w:t>Purpose</w:t>
            </w:r>
          </w:p>
        </w:tc>
        <w:tc>
          <w:tcPr>
            <w:tcW w:type="dxa" w:w="4896"/>
            <w:vAlign w:val="center"/>
            <w:tcMar>
              <w:top w:w="80" w:type="dxa"/>
              <w:start w:w="100" w:type="dxa"/>
              <w:bottom w:w="80" w:type="dxa"/>
              <w:end w:w="100" w:type="dxa"/>
            </w:tcMar>
            <w:shd w:fill="2E74B5"/>
          </w:tcPr>
          <w:p>
            <w:pPr>
              <w:spacing w:after="0"/>
            </w:pPr>
            <w:r>
              <w:rPr>
                <w:rFonts w:ascii="Calibri" w:hAnsi="Calibri"/>
                <w:b/>
                <w:color w:val="FFFFFF"/>
                <w:sz w:val="17"/>
              </w:rPr>
              <w:t>Current use</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sz w:val="17"/>
              </w:rPr>
              <w:t>Built-in synthetic clauses</w:t>
            </w:r>
          </w:p>
        </w:tc>
        <w:tc>
          <w:tcPr>
            <w:tcW w:type="dxa" w:w="2232"/>
            <w:vAlign w:val="center"/>
            <w:tcMar>
              <w:top w:w="80" w:type="dxa"/>
              <w:start w:w="100" w:type="dxa"/>
              <w:bottom w:w="80" w:type="dxa"/>
              <w:end w:w="100" w:type="dxa"/>
            </w:tcMar>
            <w:shd w:fill="FFFFFF"/>
          </w:tcPr>
          <w:p>
            <w:pPr>
              <w:spacing w:after="0"/>
            </w:pPr>
            <w:r>
              <w:rPr>
                <w:rFonts w:ascii="Calibri" w:hAnsi="Calibri"/>
                <w:sz w:val="17"/>
              </w:rPr>
              <w:t>Fast, balanced classifier lesson</w:t>
            </w:r>
          </w:p>
        </w:tc>
        <w:tc>
          <w:tcPr>
            <w:tcW w:type="dxa" w:w="4896"/>
            <w:vAlign w:val="center"/>
            <w:tcMar>
              <w:top w:w="80" w:type="dxa"/>
              <w:start w:w="100" w:type="dxa"/>
              <w:bottom w:w="80" w:type="dxa"/>
              <w:end w:w="100" w:type="dxa"/>
            </w:tcMar>
            <w:shd w:fill="FFFFFF"/>
          </w:tcPr>
          <w:p>
            <w:pPr>
              <w:spacing w:after="0"/>
            </w:pPr>
            <w:r>
              <w:rPr>
                <w:rFonts w:ascii="Calibri" w:hAnsi="Calibri"/>
                <w:sz w:val="17"/>
              </w:rPr>
              <w:t>Recommended first run</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color w:val="1F4D78"/>
                <w:sz w:val="17"/>
              </w:rPr>
              <w:t>datasets/cuad_classifier_sample.csv</w:t>
            </w:r>
          </w:p>
        </w:tc>
        <w:tc>
          <w:tcPr>
            <w:tcW w:type="dxa" w:w="2232"/>
            <w:vAlign w:val="center"/>
            <w:tcMar>
              <w:top w:w="80" w:type="dxa"/>
              <w:start w:w="100" w:type="dxa"/>
              <w:bottom w:w="80" w:type="dxa"/>
              <w:end w:w="100" w:type="dxa"/>
            </w:tcMar>
            <w:shd w:fill="F4F6F7"/>
          </w:tcPr>
          <w:p>
            <w:pPr>
              <w:spacing w:after="0"/>
            </w:pPr>
            <w:r>
              <w:rPr>
                <w:rFonts w:ascii="Calibri" w:hAnsi="Calibri"/>
                <w:sz w:val="17"/>
              </w:rPr>
              <w:t>Small real-text classifier lesson</w:t>
            </w:r>
          </w:p>
        </w:tc>
        <w:tc>
          <w:tcPr>
            <w:tcW w:type="dxa" w:w="4896"/>
            <w:vAlign w:val="center"/>
            <w:tcMar>
              <w:top w:w="80" w:type="dxa"/>
              <w:start w:w="100" w:type="dxa"/>
              <w:bottom w:w="80" w:type="dxa"/>
              <w:end w:w="100" w:type="dxa"/>
            </w:tcMar>
            <w:shd w:fill="F4F6F7"/>
          </w:tcPr>
          <w:p>
            <w:pPr>
              <w:spacing w:after="0"/>
            </w:pPr>
            <w:r>
              <w:rPr>
                <w:rFonts w:ascii="Calibri" w:hAnsi="Calibri"/>
                <w:sz w:val="17"/>
              </w:rPr>
              <w:t>75 rows, 25 labels, 68 contracts</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sz w:val="17"/>
              </w:rPr>
              <w:t xml:space="preserve">Local </w:t>
            </w:r>
            <w:r>
              <w:rPr>
                <w:rFonts w:ascii="Calibri" w:hAnsi="Calibri"/>
                <w:color w:val="1F4D78"/>
                <w:sz w:val="17"/>
              </w:rPr>
              <w:t>train.jsonl</w:t>
            </w:r>
            <w:r>
              <w:rPr>
                <w:rFonts w:ascii="Calibri" w:hAnsi="Calibri"/>
                <w:sz w:val="17"/>
              </w:rPr>
              <w:t xml:space="preserve">, </w:t>
            </w:r>
            <w:r>
              <w:rPr>
                <w:rFonts w:ascii="Calibri" w:hAnsi="Calibri"/>
                <w:color w:val="1F4D78"/>
                <w:sz w:val="17"/>
              </w:rPr>
              <w:t>val.jsonl</w:t>
            </w:r>
            <w:r>
              <w:rPr>
                <w:rFonts w:ascii="Calibri" w:hAnsi="Calibri"/>
                <w:sz w:val="17"/>
              </w:rPr>
              <w:t xml:space="preserve">, and </w:t>
            </w:r>
            <w:r>
              <w:rPr>
                <w:rFonts w:ascii="Calibri" w:hAnsi="Calibri"/>
                <w:color w:val="1F4D78"/>
                <w:sz w:val="17"/>
              </w:rPr>
              <w:t>test.jsonl</w:t>
            </w:r>
            <w:r>
              <w:rPr>
                <w:rFonts w:ascii="Calibri" w:hAnsi="Calibri"/>
                <w:sz w:val="17"/>
              </w:rPr>
              <w:t xml:space="preserve"> exports</w:t>
            </w:r>
          </w:p>
        </w:tc>
        <w:tc>
          <w:tcPr>
            <w:tcW w:type="dxa" w:w="2232"/>
            <w:vAlign w:val="center"/>
            <w:tcMar>
              <w:top w:w="80" w:type="dxa"/>
              <w:start w:w="100" w:type="dxa"/>
              <w:bottom w:w="80" w:type="dxa"/>
              <w:end w:w="100" w:type="dxa"/>
            </w:tcMar>
            <w:shd w:fill="FFFFFF"/>
          </w:tcPr>
          <w:p>
            <w:pPr>
              <w:spacing w:after="0"/>
            </w:pPr>
            <w:r>
              <w:rPr>
                <w:rFonts w:ascii="Calibri" w:hAnsi="Calibri"/>
                <w:sz w:val="17"/>
              </w:rPr>
              <w:t>Four-task instruction/chat research</w:t>
            </w:r>
          </w:p>
        </w:tc>
        <w:tc>
          <w:tcPr>
            <w:tcW w:type="dxa" w:w="4896"/>
            <w:vAlign w:val="center"/>
            <w:tcMar>
              <w:top w:w="80" w:type="dxa"/>
              <w:start w:w="100" w:type="dxa"/>
              <w:bottom w:w="80" w:type="dxa"/>
              <w:end w:w="100" w:type="dxa"/>
            </w:tcMar>
            <w:shd w:fill="FFFFFF"/>
          </w:tcPr>
          <w:p>
            <w:pPr>
              <w:spacing w:after="0"/>
            </w:pPr>
            <w:r>
              <w:rPr>
                <w:rFonts w:ascii="Calibri" w:hAnsi="Calibri"/>
                <w:sz w:val="17"/>
              </w:rPr>
              <w:t>Convert the grounded clause-QA rows before classifier training</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sz w:val="17"/>
              </w:rPr>
              <w:t>Official CUAD</w:t>
            </w:r>
          </w:p>
        </w:tc>
        <w:tc>
          <w:tcPr>
            <w:tcW w:type="dxa" w:w="2232"/>
            <w:vAlign w:val="center"/>
            <w:tcMar>
              <w:top w:w="80" w:type="dxa"/>
              <w:start w:w="100" w:type="dxa"/>
              <w:bottom w:w="80" w:type="dxa"/>
              <w:end w:w="100" w:type="dxa"/>
            </w:tcMar>
            <w:shd w:fill="F4F6F7"/>
          </w:tcPr>
          <w:p>
            <w:pPr>
              <w:spacing w:after="0"/>
            </w:pPr>
            <w:r>
              <w:rPr>
                <w:rFonts w:ascii="Calibri" w:hAnsi="Calibri"/>
                <w:sz w:val="17"/>
              </w:rPr>
              <w:t>Full reproducible third-party source</w:t>
            </w:r>
          </w:p>
        </w:tc>
        <w:tc>
          <w:tcPr>
            <w:tcW w:type="dxa" w:w="4896"/>
            <w:vAlign w:val="center"/>
            <w:tcMar>
              <w:top w:w="80" w:type="dxa"/>
              <w:start w:w="100" w:type="dxa"/>
              <w:bottom w:w="80" w:type="dxa"/>
              <w:end w:w="100" w:type="dxa"/>
            </w:tcMar>
            <w:shd w:fill="F4F6F7"/>
          </w:tcPr>
          <w:p>
            <w:pPr>
              <w:spacing w:after="0"/>
            </w:pPr>
            <w:r>
              <w:rPr>
                <w:rFonts w:ascii="Calibri" w:hAnsi="Calibri"/>
                <w:sz w:val="17"/>
              </w:rPr>
              <w:t>Download and convert on demand</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sz w:val="17"/>
              </w:rPr>
              <w:t>Local synthetic 396-label corpus</w:t>
            </w:r>
          </w:p>
        </w:tc>
        <w:tc>
          <w:tcPr>
            <w:tcW w:type="dxa" w:w="2232"/>
            <w:vAlign w:val="center"/>
            <w:tcMar>
              <w:top w:w="80" w:type="dxa"/>
              <w:start w:w="100" w:type="dxa"/>
              <w:bottom w:w="80" w:type="dxa"/>
              <w:end w:w="100" w:type="dxa"/>
            </w:tcMar>
            <w:shd w:fill="FFFFFF"/>
          </w:tcPr>
          <w:p>
            <w:pPr>
              <w:spacing w:after="0"/>
            </w:pPr>
            <w:r>
              <w:rPr>
                <w:rFonts w:ascii="Calibri" w:hAnsi="Calibri"/>
                <w:sz w:val="17"/>
              </w:rPr>
              <w:t>Broad experimental vocabulary pretraining</w:t>
            </w:r>
          </w:p>
        </w:tc>
        <w:tc>
          <w:tcPr>
            <w:tcW w:type="dxa" w:w="4896"/>
            <w:vAlign w:val="center"/>
            <w:tcMar>
              <w:top w:w="80" w:type="dxa"/>
              <w:start w:w="100" w:type="dxa"/>
              <w:bottom w:w="80" w:type="dxa"/>
              <w:end w:w="100" w:type="dxa"/>
            </w:tcMar>
            <w:shd w:fill="FFFFFF"/>
          </w:tcPr>
          <w:p>
            <w:pPr>
              <w:spacing w:after="0"/>
            </w:pPr>
            <w:r>
              <w:rPr>
                <w:rFonts w:ascii="Calibri" w:hAnsi="Calibri"/>
                <w:sz w:val="17"/>
              </w:rPr>
              <w:t>39,600 rows, 396 labels, 21 categories; opt-in and local-only</w:t>
            </w:r>
          </w:p>
        </w:tc>
      </w:tr>
    </w:tbl>
    <w:p>
      <w:pPr>
        <w:spacing w:after="0"/>
      </w:pPr>
    </w:p>
    <w:p>
      <w:r>
        <w:t xml:space="preserve">The large local JSONL files contain 18,008 instruction examples: clause extraction, clause question answering, contract-type identification, and missing-clause audit. They are suitable inputs for a future generative-model phase, not direct inputs to the current multiclass encoder classifier. The classifier expects one clause span in </w:t>
      </w:r>
      <w:r>
        <w:rPr>
          <w:rFonts w:ascii="Consolas" w:hAnsi="Consolas"/>
          <w:color w:val="1F4D78"/>
          <w:sz w:val="18"/>
        </w:rPr>
        <w:t>text</w:t>
      </w:r>
      <w:r>
        <w:t xml:space="preserve"> and one category in </w:t>
      </w:r>
      <w:r>
        <w:rPr>
          <w:rFonts w:ascii="Consolas" w:hAnsi="Consolas"/>
          <w:color w:val="1F4D78"/>
          <w:sz w:val="18"/>
        </w:rPr>
        <w:t>label</w:t>
      </w:r>
      <w:r>
        <w:t>.</w:t>
      </w:r>
    </w:p>
    <w:p>
      <w:r>
        <w:t>The audited local split contains 408 training contracts, 51 validation contracts, and 51 test contracts. AI-Enabled Contracts Lab verifies that no contract title occurs in more than one source split.</w:t>
      </w:r>
    </w:p>
    <w:p>
      <w:r>
        <w:t>The synthetic 396-label corpus is intentionally a separate classifier task. Only 13 label names exactly overlap the 41-label CUAD task after normalization, so combining the rows into Contra's existing classifier head would silently change the meaning of the benchmark. The corpus can broaden vocabulary and support staged pretraining experiments, but it cannot by itself prove better performance on real contracts.</w:t>
      </w:r>
    </w:p>
    <w:p>
      <w:r>
        <w:t>The August 2026 audit found 15,730 duplicate-text rows, 3,680 exact texts crossing the supplied partitions, and target-label wording in 73.48 percent of rows. For held-out examples, 93.38 percent had at least 0.80 TF-IDF similarity to a same-label training example. The application therefore ignores the supplied row split for evaluation and derives template-group identifiers before performing its normal grouped split. This reduces obvious leakage; it does not turn synthetic templates into an independent legal benchmark.</w:t>
      </w:r>
    </w:p>
    <w:p>
      <w:bookmarkStart w:id="141" w:name="guide_sec_042"/>
      <w:pPr>
        <w:pStyle w:val="Heading2"/>
      </w:pPr>
      <w:r>
        <w:t>6.5 Use the project datasets in Dataset Lab</w:t>
      </w:r>
      <w:bookmarkEnd w:id="141"/>
    </w:p>
    <w:p>
      <w:r>
        <w:t xml:space="preserve">Open </w:t>
      </w:r>
      <w:r>
        <w:rPr>
          <w:b/>
        </w:rPr>
        <w:t>Dataset lab</w:t>
      </w:r>
      <w:r>
        <w:t xml:space="preserve"> and select </w:t>
      </w:r>
      <w:r>
        <w:rPr>
          <w:b/>
        </w:rPr>
        <w:t>Project datasets</w:t>
      </w:r>
      <w:r>
        <w:t>. The catalog shows purpose, row count, source-contract count, license, status, availability, and local file size without opening every large JSONL file on each Streamlit rerun.</w:t>
      </w:r>
    </w:p>
    <w:p>
      <w:r>
        <w:t>For the short learning path:</w:t>
      </w:r>
    </w:p>
    <w:p>
      <w:pPr>
        <w:pStyle w:val="ListNumber"/>
        <w:numPr>
          <w:ilvl w:val="0"/>
          <w:numId w:val="11"/>
        </w:numPr>
      </w:pPr>
      <w:r>
        <w:t xml:space="preserve">Click </w:t>
      </w:r>
      <w:r>
        <w:rPr>
          <w:b/>
        </w:rPr>
        <w:t>Use the public CUAD classifier sample</w:t>
      </w:r>
      <w:r>
        <w:t>.</w:t>
      </w:r>
    </w:p>
    <w:p>
      <w:pPr>
        <w:pStyle w:val="ListNumber"/>
        <w:numPr>
          <w:ilvl w:val="0"/>
          <w:numId w:val="11"/>
        </w:numPr>
      </w:pPr>
      <w:r>
        <w:t>Read every validation warning; the sample is intentionally small and imbalanced, so some labels have too few examples for reliable evaluation.</w:t>
      </w:r>
    </w:p>
    <w:p>
      <w:pPr>
        <w:pStyle w:val="ListNumber"/>
        <w:numPr>
          <w:ilvl w:val="0"/>
          <w:numId w:val="11"/>
        </w:numPr>
      </w:pPr>
      <w:r>
        <w:t>Inspect the label chart and individual rows.</w:t>
      </w:r>
    </w:p>
    <w:p>
      <w:pPr>
        <w:pStyle w:val="ListNumber"/>
        <w:numPr>
          <w:ilvl w:val="0"/>
          <w:numId w:val="11"/>
        </w:numPr>
      </w:pPr>
      <w:r>
        <w:t xml:space="preserve">Confirm the leakage preview reports zero shared </w:t>
      </w:r>
      <w:r>
        <w:rPr>
          <w:rFonts w:ascii="Consolas" w:hAnsi="Consolas"/>
          <w:color w:val="1F4D78"/>
          <w:sz w:val="18"/>
        </w:rPr>
        <w:t>contract_id</w:t>
      </w:r>
      <w:r>
        <w:t xml:space="preserve"> values.</w:t>
      </w:r>
    </w:p>
    <w:p>
      <w:pPr>
        <w:pStyle w:val="ListNumber"/>
        <w:numPr>
          <w:ilvl w:val="0"/>
          <w:numId w:val="11"/>
        </w:numPr>
      </w:pPr>
      <w:r>
        <w:t>Continue to Model lab and Train only as an educational experiment.</w:t>
      </w:r>
    </w:p>
    <w:p>
      <w:r>
        <w:t>For the fuller local path:</w:t>
      </w:r>
    </w:p>
    <w:p>
      <w:pPr>
        <w:pStyle w:val="ListNumber"/>
        <w:numPr>
          <w:ilvl w:val="0"/>
          <w:numId w:val="12"/>
        </w:numPr>
      </w:pPr>
      <w:r>
        <w:t xml:space="preserve">Click </w:t>
      </w:r>
      <w:r>
        <w:rPr>
          <w:b/>
        </w:rPr>
        <w:t>Build classifier data from the local instruction splits</w:t>
      </w:r>
      <w:r>
        <w:t>.</w:t>
      </w:r>
    </w:p>
    <w:p>
      <w:pPr>
        <w:pStyle w:val="ListNumber"/>
        <w:numPr>
          <w:ilvl w:val="0"/>
          <w:numId w:val="12"/>
        </w:numPr>
      </w:pPr>
      <w:r>
        <w:t xml:space="preserve">Wait while the application reads the three files, selects grounded </w:t>
      </w:r>
      <w:r>
        <w:rPr>
          <w:rFonts w:ascii="Consolas" w:hAnsi="Consolas"/>
          <w:color w:val="1F4D78"/>
          <w:sz w:val="18"/>
        </w:rPr>
        <w:t>clause_qa</w:t>
      </w:r>
      <w:r>
        <w:t xml:space="preserve"> targets, removes exact duplicates, and checks source-contract overlap.</w:t>
      </w:r>
    </w:p>
    <w:p>
      <w:pPr>
        <w:pStyle w:val="ListNumber"/>
        <w:numPr>
          <w:ilvl w:val="0"/>
          <w:numId w:val="12"/>
        </w:numPr>
      </w:pPr>
      <w:r>
        <w:t xml:space="preserve">Click </w:t>
      </w:r>
      <w:r>
        <w:rPr>
          <w:b/>
        </w:rPr>
        <w:t>Use the converted local CUAD classifier data</w:t>
      </w:r>
      <w:r>
        <w:t>.</w:t>
      </w:r>
    </w:p>
    <w:p>
      <w:pPr>
        <w:pStyle w:val="ListNumber"/>
        <w:numPr>
          <w:ilvl w:val="0"/>
          <w:numId w:val="12"/>
        </w:numPr>
      </w:pPr>
      <w:r>
        <w:t>Inspect the resulting 6,702 rows, 510 contracts, and 41 labels.</w:t>
      </w:r>
    </w:p>
    <w:p>
      <w:pPr>
        <w:pStyle w:val="ListNumber"/>
        <w:numPr>
          <w:ilvl w:val="0"/>
          <w:numId w:val="12"/>
        </w:numPr>
      </w:pPr>
      <w:r>
        <w:t>Review the grouped split preview before training.</w:t>
      </w:r>
    </w:p>
    <w:p>
      <w:r>
        <w:t xml:space="preserve">The converted file and its metadata are stored under </w:t>
      </w:r>
      <w:r>
        <w:rPr>
          <w:rFonts w:ascii="Consolas" w:hAnsi="Consolas"/>
          <w:color w:val="1F4D78"/>
          <w:sz w:val="18"/>
        </w:rPr>
        <w:t>data/curated/</w:t>
      </w:r>
      <w:r>
        <w:t xml:space="preserve">, which is ignored by Git. The </w:t>
      </w:r>
      <w:r>
        <w:rPr>
          <w:rFonts w:ascii="Consolas" w:hAnsi="Consolas"/>
          <w:color w:val="1F4D78"/>
          <w:sz w:val="18"/>
        </w:rPr>
        <w:t>original_split</w:t>
      </w:r>
      <w:r>
        <w:t xml:space="preserve"> column is retained as an audit trail. The current workbench still creates its own grouped 70/15/15 split from </w:t>
      </w:r>
      <w:r>
        <w:rPr>
          <w:rFonts w:ascii="Consolas" w:hAnsi="Consolas"/>
          <w:color w:val="1F4D78"/>
          <w:sz w:val="18"/>
        </w:rPr>
        <w:t>contract_id</w:t>
      </w:r>
      <w:r>
        <w:t xml:space="preserve"> when training.</w:t>
      </w:r>
    </w:p>
    <w:p>
      <w:r>
        <w:t>For the 396-label experimental path:</w:t>
      </w:r>
    </w:p>
    <w:p>
      <w:pPr>
        <w:pStyle w:val="ListNumber"/>
        <w:numPr>
          <w:ilvl w:val="0"/>
          <w:numId w:val="13"/>
        </w:numPr>
      </w:pPr>
      <w:r>
        <w:t xml:space="preserve">Choose </w:t>
      </w:r>
      <w:r>
        <w:rPr>
          <w:b/>
        </w:rPr>
        <w:t>Project datasets</w:t>
      </w:r>
      <w:r>
        <w:t xml:space="preserve"> and expand </w:t>
      </w:r>
      <w:r>
        <w:rPr>
          <w:b/>
        </w:rPr>
        <w:t>Experimental: synthetic 396-label corpus</w:t>
      </w:r>
      <w:r>
        <w:t>.</w:t>
      </w:r>
    </w:p>
    <w:p>
      <w:pPr>
        <w:pStyle w:val="ListNumber"/>
        <w:numPr>
          <w:ilvl w:val="0"/>
          <w:numId w:val="13"/>
        </w:numPr>
      </w:pPr>
      <w:r>
        <w:t>Review the audit metrics and acknowledge that the data is synthetic.</w:t>
      </w:r>
    </w:p>
    <w:p>
      <w:pPr>
        <w:pStyle w:val="ListNumber"/>
        <w:numPr>
          <w:ilvl w:val="0"/>
          <w:numId w:val="13"/>
        </w:numPr>
      </w:pPr>
      <w:r>
        <w:t xml:space="preserve">Click </w:t>
      </w:r>
      <w:r>
        <w:rPr>
          <w:b/>
        </w:rPr>
        <w:t>Use all 396 experimental labels</w:t>
      </w:r>
      <w:r>
        <w:t>.</w:t>
      </w:r>
    </w:p>
    <w:p>
      <w:pPr>
        <w:pStyle w:val="ListNumber"/>
        <w:numPr>
          <w:ilvl w:val="0"/>
          <w:numId w:val="13"/>
        </w:numPr>
      </w:pPr>
      <w:r>
        <w:t>Confirm the active dataset reports 39,600 examples and 396 labels.</w:t>
      </w:r>
    </w:p>
    <w:p>
      <w:pPr>
        <w:pStyle w:val="ListNumber"/>
        <w:numPr>
          <w:ilvl w:val="0"/>
          <w:numId w:val="13"/>
        </w:numPr>
      </w:pPr>
      <w:r>
        <w:t xml:space="preserve">Use </w:t>
      </w:r>
      <w:r>
        <w:rPr>
          <w:b/>
        </w:rPr>
        <w:t>Active label catalog</w:t>
      </w:r>
      <w:r>
        <w:t xml:space="preserve"> to filter the supplied label names and clause</w:t>
      </w:r>
    </w:p>
    <w:p>
      <w:r>
        <w:t>names by any of the 21 categories.</w:t>
      </w:r>
    </w:p>
    <w:p>
      <w:pPr>
        <w:pStyle w:val="ListNumber"/>
        <w:numPr>
          <w:ilvl w:val="0"/>
          <w:numId w:val="14"/>
        </w:numPr>
      </w:pPr>
      <w:r>
        <w:t>Review the fresh grouped-split preview. With the default seed, all 396 labels</w:t>
      </w:r>
    </w:p>
    <w:p>
      <w:r>
        <w:t>are represented in training; some labels are absent from the smaller validation and test partitions because template groups remain indivisible.</w:t>
      </w:r>
    </w:p>
    <w:p>
      <w:pPr>
        <w:pStyle w:val="ListNumber"/>
        <w:numPr>
          <w:ilvl w:val="0"/>
          <w:numId w:val="15"/>
        </w:numPr>
      </w:pPr>
      <w:r>
        <w:t>Train this as its own run. Do not compare its synthetic test accuracy directly</w:t>
      </w:r>
    </w:p>
    <w:p>
      <w:r>
        <w:t>with Contra's 41-label CUAD macro F1.</w:t>
      </w:r>
    </w:p>
    <w:p>
      <w:r>
        <w:t>The initial load computes stable template fingerprints and can take several seconds. Streamlit caches the prepared frame with a bounded cache and invalidates it when the source file changes. The raw CSV, duplicate directory, and ZIP are Git-ignored until generation provenance and redistribution rights are supplied. The audit summary remains public at datasets/synthetic_396_audit.json.</w:t>
      </w:r>
    </w:p>
    <w:p>
      <w:bookmarkStart w:id="142" w:name="guide_sec_043"/>
      <w:pPr>
        <w:pStyle w:val="Heading2"/>
      </w:pPr>
      <w:r>
        <w:t>6.6 Run the project conversion manually</w:t>
      </w:r>
      <w:bookmarkEnd w:id="142"/>
    </w:p>
    <w:p>
      <w:r>
        <w:t>From the repository root, build or rebuild the public learning sample:</w:t>
      </w:r>
    </w:p>
    <w:p>
      <w:pPr>
        <w:pStyle w:val="CodeBlock"/>
        <w:shd w:fill="F4F6F7"/>
        <w:pBdr>
          <w:left w:val="single" w:sz="18" w:space="8" w:color="C9D3DD"/>
        </w:pBdr>
      </w:pPr>
      <w:r>
        <w:rPr>
          <w:rFonts w:ascii="Consolas" w:hAnsi="Consolas"/>
          <w:sz w:val="17"/>
        </w:rPr>
        <w:t>.\.venv\Scripts\python.exe datasets\prepare_project_datasets.py --mode sample</w:t>
      </w:r>
    </w:p>
    <w:p>
      <w:r>
        <w:t>Build the full local classifier dataset:</w:t>
      </w:r>
    </w:p>
    <w:p>
      <w:pPr>
        <w:pStyle w:val="CodeBlock"/>
        <w:shd w:fill="F4F6F7"/>
        <w:pBdr>
          <w:left w:val="single" w:sz="18" w:space="8" w:color="C9D3DD"/>
        </w:pBdr>
      </w:pPr>
      <w:r>
        <w:rPr>
          <w:rFonts w:ascii="Consolas" w:hAnsi="Consolas"/>
          <w:sz w:val="17"/>
        </w:rPr>
        <w:t>.\.venv\Scripts\python.exe datasets\prepare_project_datasets.py --mode local</w:t>
      </w:r>
    </w:p>
    <w:p>
      <w:r>
        <w:t xml:space="preserve">The converter uses only the assistant target from records whose task is </w:t>
      </w:r>
      <w:r>
        <w:rPr>
          <w:rFonts w:ascii="Consolas" w:hAnsi="Consolas"/>
          <w:color w:val="1F4D78"/>
          <w:sz w:val="18"/>
        </w:rPr>
        <w:t>clause_qa</w:t>
      </w:r>
      <w:r>
        <w:t xml:space="preserve">. Those targets are verbatim positive answer spans grounded in CUAD annotations. It does not use the generated extraction prose, missing-clause lists, or contract-type responses as classifier clauses. It carries </w:t>
      </w:r>
      <w:r>
        <w:rPr>
          <w:rFonts w:ascii="Consolas" w:hAnsi="Consolas"/>
          <w:color w:val="1F4D78"/>
          <w:sz w:val="18"/>
        </w:rPr>
        <w:t>meta.contract_title</w:t>
      </w:r>
      <w:r>
        <w:t xml:space="preserve"> into </w:t>
      </w:r>
      <w:r>
        <w:rPr>
          <w:rFonts w:ascii="Consolas" w:hAnsi="Consolas"/>
          <w:color w:val="1F4D78"/>
          <w:sz w:val="18"/>
        </w:rPr>
        <w:t>contract_id</w:t>
      </w:r>
      <w:r>
        <w:t xml:space="preserve">, carries </w:t>
      </w:r>
      <w:r>
        <w:rPr>
          <w:rFonts w:ascii="Consolas" w:hAnsi="Consolas"/>
          <w:color w:val="1F4D78"/>
          <w:sz w:val="18"/>
        </w:rPr>
        <w:t>meta.category</w:t>
      </w:r>
      <w:r>
        <w:t xml:space="preserve"> into </w:t>
      </w:r>
      <w:r>
        <w:rPr>
          <w:rFonts w:ascii="Consolas" w:hAnsi="Consolas"/>
          <w:color w:val="1F4D78"/>
          <w:sz w:val="18"/>
        </w:rPr>
        <w:t>label</w:t>
      </w:r>
      <w:r>
        <w:t>, writes CUAD attribution and CC BY 4.0 on every row, and fails if one contract appears in two named input splits.</w:t>
      </w:r>
    </w:p>
    <w:p>
      <w:r>
        <w:t>Inspect the results:</w:t>
      </w:r>
    </w:p>
    <w:p>
      <w:pPr>
        <w:pStyle w:val="CodeBlock"/>
        <w:shd w:fill="F4F6F7"/>
        <w:pBdr>
          <w:left w:val="single" w:sz="18" w:space="8" w:color="C9D3DD"/>
        </w:pBdr>
      </w:pPr>
      <w:r>
        <w:rPr>
          <w:rFonts w:ascii="Consolas" w:hAnsi="Consolas"/>
          <w:sz w:val="17"/>
        </w:rPr>
        <w:t>Import-Csv datasets\cuad_classifier_sample.csv | Select-Object -First 5</w:t>
      </w:r>
      <w:r>
        <w:br/>
      </w:r>
      <w:r>
        <w:rPr>
          <w:rFonts w:ascii="Consolas" w:hAnsi="Consolas"/>
          <w:sz w:val="17"/>
        </w:rPr>
        <w:t>Get-Content datasets\cuad_classifier_sample.metadata.json</w:t>
      </w:r>
      <w:r>
        <w:br/>
      </w:r>
      <w:r>
        <w:rPr>
          <w:rFonts w:ascii="Consolas" w:hAnsi="Consolas"/>
          <w:sz w:val="17"/>
        </w:rPr>
        <w:t>Import-Csv data\curated\cuad_local_classifier.csv |</w:t>
      </w:r>
      <w:r>
        <w:br/>
      </w:r>
      <w:r>
        <w:rPr>
          <w:rFonts w:ascii="Consolas" w:hAnsi="Consolas"/>
          <w:sz w:val="17"/>
        </w:rPr>
        <w:t xml:space="preserve">  Group-Object label |</w:t>
      </w:r>
      <w:r>
        <w:br/>
      </w:r>
      <w:r>
        <w:rPr>
          <w:rFonts w:ascii="Consolas" w:hAnsi="Consolas"/>
          <w:sz w:val="17"/>
        </w:rPr>
        <w:t xml:space="preserve">  Sort-Object Count -Descending |</w:t>
      </w:r>
      <w:r>
        <w:br/>
      </w:r>
      <w:r>
        <w:rPr>
          <w:rFonts w:ascii="Consolas" w:hAnsi="Consolas"/>
          <w:sz w:val="17"/>
        </w:rPr>
        <w:t xml:space="preserve">  Select-Object -First 10 Count, Name</w:t>
      </w:r>
      <w:r>
        <w:br/>
      </w:r>
      <w:r>
        <w:rPr>
          <w:rFonts w:ascii="Consolas" w:hAnsi="Consolas"/>
          <w:sz w:val="17"/>
        </w:rPr>
        <w:t>Get-Content data\curated\cuad_local_classifier.metadata.json</w:t>
      </w:r>
    </w:p>
    <w:p>
      <w:r>
        <w:t xml:space="preserve">The supported conversion logic is in </w:t>
      </w:r>
      <w:r>
        <w:rPr>
          <w:rFonts w:ascii="Consolas" w:hAnsi="Consolas"/>
          <w:color w:val="1F4D78"/>
          <w:sz w:val="18"/>
        </w:rPr>
        <w:t>contractlab/data.py</w:t>
      </w:r>
      <w:r>
        <w:t xml:space="preserve">; the small script in </w:t>
      </w:r>
      <w:r>
        <w:rPr>
          <w:rFonts w:ascii="Consolas" w:hAnsi="Consolas"/>
          <w:color w:val="1F4D78"/>
          <w:sz w:val="18"/>
        </w:rPr>
        <w:t>datasets/prepare_project_datasets.py</w:t>
      </w:r>
      <w:r>
        <w:t xml:space="preserve"> is a readable command-line wrapper. The earlier </w:t>
      </w:r>
      <w:r>
        <w:rPr>
          <w:rFonts w:ascii="Consolas" w:hAnsi="Consolas"/>
          <w:color w:val="1F4D78"/>
          <w:sz w:val="18"/>
        </w:rPr>
        <w:t>cuad_pipeline.py</w:t>
      </w:r>
      <w:r>
        <w:t xml:space="preserve">, </w:t>
      </w:r>
      <w:r>
        <w:rPr>
          <w:rFonts w:ascii="Consolas" w:hAnsi="Consolas"/>
          <w:color w:val="1F4D78"/>
          <w:sz w:val="18"/>
        </w:rPr>
        <w:t>split_dataset.py</w:t>
      </w:r>
      <w:r>
        <w:t xml:space="preserve">, and </w:t>
      </w:r>
      <w:r>
        <w:rPr>
          <w:rFonts w:ascii="Consolas" w:hAnsi="Consolas"/>
          <w:color w:val="1F4D78"/>
          <w:sz w:val="18"/>
        </w:rPr>
        <w:t>distill_tasks.py</w:t>
      </w:r>
      <w:r>
        <w:t xml:space="preserve"> files remain research references. The current classifier does not call a model provider and does not require an Anthropic API key.</w:t>
      </w:r>
    </w:p>
    <w:p>
      <w:bookmarkStart w:id="143" w:name="guide_sec_044"/>
      <w:pPr>
        <w:pStyle w:val="Heading2"/>
      </w:pPr>
      <w:r>
        <w:t>6.7 Download and prepare official CUAD</w:t>
      </w:r>
      <w:bookmarkEnd w:id="143"/>
    </w:p>
    <w:p>
      <w:r>
        <w:t>CUAD's official GitHub repository is:</w:t>
      </w:r>
    </w:p>
    <w:p>
      <w:pPr>
        <w:pStyle w:val="CodeBlock"/>
        <w:shd w:fill="F4F6F7"/>
        <w:pBdr>
          <w:left w:val="single" w:sz="18" w:space="8" w:color="C9D3DD"/>
        </w:pBdr>
      </w:pPr>
      <w:r>
        <w:rPr>
          <w:rFonts w:ascii="Consolas" w:hAnsi="Consolas"/>
          <w:sz w:val="17"/>
        </w:rPr>
        <w:t>https://github.com/The-Atticus-Project/cuad</w:t>
      </w:r>
    </w:p>
    <w:p>
      <w:r>
        <w:t xml:space="preserve">The repository contains the dataset archive, category descriptions, benchmark code, and supporting material. The application downloads </w:t>
      </w:r>
      <w:r>
        <w:rPr>
          <w:rFonts w:ascii="Consolas" w:hAnsi="Consolas"/>
          <w:color w:val="1F4D78"/>
          <w:sz w:val="18"/>
        </w:rPr>
        <w:t>data.zip</w:t>
      </w:r>
      <w:r>
        <w:t xml:space="preserve"> directly from that official repository and reads </w:t>
      </w:r>
      <w:r>
        <w:rPr>
          <w:rFonts w:ascii="Consolas" w:hAnsi="Consolas"/>
          <w:color w:val="1F4D78"/>
          <w:sz w:val="18"/>
        </w:rPr>
        <w:t>CUADv1.json</w:t>
      </w:r>
      <w:r>
        <w:t>:</w:t>
      </w:r>
    </w:p>
    <w:p>
      <w:pPr>
        <w:pStyle w:val="CodeBlock"/>
        <w:shd w:fill="F4F6F7"/>
        <w:pBdr>
          <w:left w:val="single" w:sz="18" w:space="8" w:color="C9D3DD"/>
        </w:pBdr>
      </w:pPr>
      <w:r>
        <w:rPr>
          <w:rFonts w:ascii="Consolas" w:hAnsi="Consolas"/>
          <w:sz w:val="17"/>
        </w:rPr>
        <w:t>uv run --extra cu129 contractlab prepare-cuad --output data/curated/cuad_clauses.csv</w:t>
      </w:r>
    </w:p>
    <w:p>
      <w:r>
        <w:t>For a smaller learning conversion:</w:t>
      </w:r>
    </w:p>
    <w:p>
      <w:pPr>
        <w:pStyle w:val="CodeBlock"/>
        <w:shd w:fill="F4F6F7"/>
        <w:pBdr>
          <w:left w:val="single" w:sz="18" w:space="8" w:color="C9D3DD"/>
        </w:pBdr>
      </w:pPr>
      <w:r>
        <w:rPr>
          <w:rFonts w:ascii="Consolas" w:hAnsi="Consolas"/>
          <w:sz w:val="17"/>
        </w:rPr>
        <w:t>uv run --extra cu129 contractlab prepare-cuad --output data/curated/cuad_sample.csv --max-rows 500</w:t>
      </w:r>
    </w:p>
    <w:p>
      <w:r>
        <w:t xml:space="preserve">In the UI, choose </w:t>
      </w:r>
      <w:r>
        <w:rPr>
          <w:b/>
        </w:rPr>
        <w:t>Official CUAD</w:t>
      </w:r>
      <w:r>
        <w:t xml:space="preserve">, set the maximum number of spans, and click </w:t>
      </w:r>
      <w:r>
        <w:rPr>
          <w:b/>
        </w:rPr>
        <w:t>Download and prepare CUAD</w:t>
      </w:r>
      <w:r>
        <w:t>. The command writes a CSV and a neighboring metadata JSON file containing the source repository, archive URL, dataset-card reference, license, and transformation description. This direct archive path avoids CUAD's legacy Hugging Face loading script, which is not supported by Datasets 5.x. Internet access is required only for this download path.</w:t>
      </w:r>
    </w:p>
    <w:p>
      <w:r>
        <w:t>CUAD v1 contains 510 commercial contracts, more than 13,000 expert annotations, and 41 review categories. The dataset card declares CC BY 4.0, but also warns that the creators make no representations or warranties concerning the license status of the underlying EDGAR contracts. Preserve attribution, document your transformation, and review the current source terms before redistribution.</w:t>
      </w:r>
    </w:p>
    <w:p>
      <w:bookmarkStart w:id="144" w:name="guide_sec_045"/>
      <w:pPr>
        <w:pStyle w:val="Heading2"/>
      </w:pPr>
      <w:r>
        <w:t>6.8 Use the verified clauses.csv and taxonomy definitions</w:t>
      </w:r>
      <w:bookmarkEnd w:id="144"/>
    </w:p>
    <w:p>
      <w:r>
        <w:t xml:space="preserve">The published </w:t>
      </w:r>
      <w:r>
        <w:rPr>
          <w:rFonts w:ascii="Consolas" w:hAnsi="Consolas"/>
          <w:color w:val="1F4D78"/>
          <w:sz w:val="18"/>
        </w:rPr>
        <w:t>datasets/clauses.csv</w:t>
      </w:r>
      <w:r>
        <w:t xml:space="preserve"> contains 6,702 grounded positive CUAD answer spans, 510 source contracts, and all 41 CUAD labels. Unlike the earlier unverified two-column file, every row includes </w:t>
      </w:r>
      <w:r>
        <w:rPr>
          <w:rFonts w:ascii="Consolas" w:hAnsi="Consolas"/>
          <w:color w:val="1F4D78"/>
          <w:sz w:val="18"/>
        </w:rPr>
        <w:t>contract_id</w:t>
      </w:r>
      <w:r>
        <w:t>, source, license, original task, and original split metadata. The earlier file is quarantined locally and is not included in the public repository.</w:t>
      </w:r>
    </w:p>
    <w:p>
      <w:r>
        <w:t xml:space="preserve">Use the verified file directly in the UI by choosing </w:t>
      </w:r>
      <w:r>
        <w:rPr>
          <w:b/>
        </w:rPr>
        <w:t>Project datasets</w:t>
      </w:r>
      <w:r>
        <w:t>, or load it manually:</w:t>
      </w:r>
    </w:p>
    <w:p>
      <w:pPr>
        <w:pStyle w:val="CodeBlock"/>
        <w:shd w:fill="F4F6F7"/>
        <w:pBdr>
          <w:left w:val="single" w:sz="18" w:space="8" w:color="C9D3DD"/>
        </w:pBdr>
      </w:pPr>
      <w:r>
        <w:rPr>
          <w:rFonts w:ascii="Consolas" w:hAnsi="Consolas"/>
          <w:sz w:val="17"/>
        </w:rPr>
        <w:t>.\.venv\Scripts\python.exe -m contractlab.cli train --config artifacts\configs\YOUR_CONFIG.json</w:t>
      </w:r>
    </w:p>
    <w:p>
      <w:r>
        <w:t xml:space="preserve">The definitions dataset is separate because a taxonomy is knowledge, while </w:t>
      </w:r>
      <w:r>
        <w:rPr>
          <w:rFonts w:ascii="Consolas" w:hAnsi="Consolas"/>
          <w:color w:val="1F4D78"/>
          <w:sz w:val="18"/>
        </w:rPr>
        <w:t>clauses.csv</w:t>
      </w:r>
      <w:r>
        <w:t xml:space="preserve"> is supervised training evidence. Open Dataset Lab and scroll to </w:t>
      </w:r>
      <w:r>
        <w:rPr>
          <w:b/>
        </w:rPr>
        <w:t>Contract taxonomy and definitions</w:t>
      </w:r>
      <w:r>
        <w:t>. Select a domain and contract type to see its plain-language definition, aliases, typical clauses, and review questions.</w:t>
      </w:r>
    </w:p>
    <w:p>
      <w:r>
        <w:t>The same information is available to code:</w:t>
      </w:r>
    </w:p>
    <w:p>
      <w:pPr>
        <w:pStyle w:val="CodeBlock"/>
        <w:shd w:fill="F4F6F7"/>
        <w:pBdr>
          <w:left w:val="single" w:sz="18" w:space="8" w:color="C9D3DD"/>
        </w:pBdr>
      </w:pPr>
      <w:r>
        <w:rPr>
          <w:rFonts w:ascii="Consolas" w:hAnsi="Consolas"/>
          <w:sz w:val="17"/>
        </w:rPr>
        <w:t>.\.venv\Scripts\python.exe datasets\build_contract_taxonomy.py</w:t>
      </w:r>
      <w:r>
        <w:br/>
      </w:r>
      <w:r>
        <w:rPr>
          <w:rFonts w:ascii="Consolas" w:hAnsi="Consolas"/>
          <w:sz w:val="17"/>
        </w:rPr>
        <w:t>Get-Content datasets\contract_taxonomy.json -TotalCount 40</w:t>
      </w:r>
      <w:r>
        <w:br/>
      </w:r>
      <w:r>
        <w:rPr>
          <w:rFonts w:ascii="Consolas" w:hAnsi="Consolas"/>
          <w:sz w:val="17"/>
        </w:rPr>
        <w:t>Get-Content datasets\taxonomy\clause_definitions.jsonl -TotalCount 3</w:t>
      </w:r>
    </w:p>
    <w:p>
      <w:r>
        <w:t>The combined file contains 10 domains, 47 contract types, and 45 clause definitions. Edit the JSONL source records, rebuild, and run the tests whenever you extend it. Definitions help retrieval, explanations, and dataset design; they do not by themselves teach the classifier to recognize every concept. Recognition still requires representative labeled examples.</w:t>
      </w:r>
    </w:p>
    <w:p>
      <w:r>
        <w:t>ContractNLI is the recommended optional NDA research extension. It contains 607 NDAs, 17 fixed hypotheses, three decision states, and evidence spans. It is not bundled because downloading requires explicit acceptance of the official terms. Review and accept them yourself at https://stanfordnlp.github.io/contract-nli/ before placing a copy in an ignored local data directory.</w:t>
      </w:r>
    </w:p>
    <w:p>
      <w:bookmarkStart w:id="145" w:name="guide_sec_046"/>
      <w:pPr>
        <w:pStyle w:val="Heading2"/>
      </w:pPr>
      <w:r>
        <w:t>6.9 Data that must not enter Git</w:t>
      </w:r>
      <w:bookmarkEnd w:id="145"/>
    </w:p>
    <w:p>
      <w:r>
        <w:t xml:space="preserve">Keep real contracts, private annotations, exported customer data, active datasets, checkpoints, W&amp;B files, and credentials outside version control. The repository ignores common local locations, but </w:t>
      </w:r>
      <w:r>
        <w:rPr>
          <w:rFonts w:ascii="Consolas" w:hAnsi="Consolas"/>
          <w:color w:val="1F4D78"/>
          <w:sz w:val="18"/>
        </w:rPr>
        <w:t>.gitignore</w:t>
      </w:r>
      <w:r>
        <w:t xml:space="preserve"> is not a security control. Inspect staged files and Git history before publishing.</w:t>
      </w:r>
    </w:p>
    <w:p>
      <w:bookmarkStart w:id="146" w:name="guide_sec_047"/>
      <w:pPr>
        <w:pStyle w:val="Heading2"/>
      </w:pPr>
      <w:r>
        <w:t>6.10 Add future datasets safely</w:t>
      </w:r>
      <w:bookmarkEnd w:id="146"/>
    </w:p>
    <w:p>
      <w:r>
        <w:t>Treat every new dataset as a registered source, not as anonymous extra rows. Keep the raw file local first, then record:</w:t>
      </w:r>
    </w:p>
    <w:p>
      <w:pPr>
        <w:pStyle w:val="ListBullet"/>
      </w:pPr>
      <w:r>
        <w:t>dataset name, author or generator, and creation date;</w:t>
      </w:r>
    </w:p>
    <w:p>
      <w:pPr>
        <w:pStyle w:val="ListBullet"/>
      </w:pPr>
      <w:r>
        <w:t>source URLs or source-file lineage;</w:t>
      </w:r>
    </w:p>
    <w:p>
      <w:pPr>
        <w:pStyle w:val="ListBullet"/>
      </w:pPr>
      <w:r>
        <w:t>license and redistribution permission;</w:t>
      </w:r>
    </w:p>
    <w:p>
      <w:pPr>
        <w:pStyle w:val="ListBullet"/>
      </w:pPr>
      <w:r>
        <w:t>task type, schema, label definitions, and label-to-existing-label mappings;</w:t>
      </w:r>
    </w:p>
    <w:p>
      <w:pPr>
        <w:pStyle w:val="ListBullet"/>
      </w:pPr>
      <w:r>
        <w:t>row, label, document, duplicate, and null counts;</w:t>
      </w:r>
    </w:p>
    <w:p>
      <w:pPr>
        <w:pStyle w:val="ListBullet"/>
      </w:pPr>
      <w:r>
        <w:t>split method and a stable document or template grouping key;</w:t>
      </w:r>
    </w:p>
    <w:p>
      <w:pPr>
        <w:pStyle w:val="ListBullet"/>
      </w:pPr>
      <w:r>
        <w:t>exact and near-duplicate leakage results; and</w:t>
      </w:r>
    </w:p>
    <w:p>
      <w:pPr>
        <w:pStyle w:val="ListBullet"/>
      </w:pPr>
      <w:r>
        <w:t>intended role: pretraining, fine-tuning, validation, independent test, retrieval,</w:t>
      </w:r>
    </w:p>
    <w:p>
      <w:r>
        <w:t>definitions, or chat/instruction learning.</w:t>
      </w:r>
    </w:p>
    <w:p>
      <w:r>
        <w:t>Add a lightweight entry to datasets/dataset_catalog.json and a separate audit JSON. Large or rights-unclear raw files should remain ignored; the public repo can include their metadata, acquisition instructions, and transformation code. Never merge label spaces only because names look similar. Create a reviewed mapping table, preserve original labels, and keep unchanged real-contract holdouts for comparison.</w:t>
      </w:r>
    </w:p>
    <w:p>
      <w:bookmarkStart w:id="147" w:name="guide_sec_048"/>
      <w:pPr>
        <w:pStyle w:val="Heading2"/>
      </w:pPr>
      <w:r>
        <w:t>6.11 Use the 560,000-example multidomain bundle</w:t>
      </w:r>
      <w:bookmarkEnd w:id="147"/>
    </w:p>
    <w:p>
      <w:r>
        <w:t>The local legal_multidomain_all_fields_bundle.zip contains 28 nested ZIP files. Each domain archive has 20,000 examples, 40 labels, three JSONL partitions, a combined CSV and JSONL, a label map, and a limitations README. Across the bundle, there are 448,000 training examples, 56,000 validation examples, 56,000 test examples, 1,120 domain-label assignments, and 1,111 unique label names.</w:t>
      </w:r>
    </w:p>
    <w:p>
      <w:r>
        <w:t>This is a general-law experiment rather than a contract-clause expansion. It covers domains including torts, evidence, criminal law, constitutional law, family law, intellectual property, employment, tax, health, and administrative law. Keep its classifier head separate from Contra. Nine label names occur in multiple domains, so preparation converts every target to domain::label. For example, Copyright_Law::FAIR_USE and another domain's FAIR_USE remain distinct.</w:t>
      </w:r>
    </w:p>
    <w:p>
      <w:pPr>
        <w:pStyle w:val="Heading3"/>
      </w:pPr>
      <w:r>
        <w:t>6.11.1 Audit before training</w:t>
      </w:r>
    </w:p>
    <w:p>
      <w:r>
        <w:t>The structural audit verified all 560,000 IDs, all 28 label maps, all counts, one consistent 15-field schema, no nulls, and intact nested ZIP files. The content audit found:</w:t>
      </w:r>
    </w:p>
    <w:p>
      <w:pPr>
        <w:pStyle w:val="ListBullet"/>
      </w:pPr>
      <w:r>
        <w:t>227,261 unique texts and 332,739 duplicate-text rows;</w:t>
      </w:r>
    </w:p>
    <w:p>
      <w:pPr>
        <w:pStyle w:val="ListBullet"/>
      </w:pPr>
      <w:r>
        <w:t>54,696 exact texts crossing declared train, validation, or test partitions;</w:t>
      </w:r>
    </w:p>
    <w:p>
      <w:pPr>
        <w:pStyle w:val="ListBullet"/>
      </w:pPr>
      <w:r>
        <w:t>293,246 rows participating in exact cross-split text reuse;</w:t>
      </w:r>
    </w:p>
    <w:p>
      <w:pPr>
        <w:pStyle w:val="ListBullet"/>
      </w:pPr>
      <w:r>
        <w:t>158 normalized template families, 145 of which cross partitions;</w:t>
      </w:r>
    </w:p>
    <w:p>
      <w:pPr>
        <w:pStyle w:val="ListBullet"/>
      </w:pPr>
      <w:r>
        <w:t>559,968 rows participating in cross-split template families; and</w:t>
      </w:r>
    </w:p>
    <w:p>
      <w:pPr>
        <w:pStyle w:val="ListBullet"/>
      </w:pPr>
      <w:r>
        <w:t>the target label phrase inside 100 percent of input texts.</w:t>
      </w:r>
    </w:p>
    <w:p>
      <w:r>
        <w:t>These facts mean a high synthetic score can reflect answer extraction and template memorization. Record the run as Contra-Law Experimental. Do not compare its metric table directly with Contra's unchanged, real-text CUAD holdout.</w:t>
      </w:r>
    </w:p>
    <w:p>
      <w:pPr>
        <w:pStyle w:val="Heading3"/>
      </w:pPr>
      <w:r>
        <w:t>6.11.2 Prepare every example manually</w:t>
      </w:r>
    </w:p>
    <w:p>
      <w:r>
        <w:t>From the repository root:</w:t>
      </w:r>
    </w:p>
    <w:p>
      <w:r>
        <w:t>~~~powershell .\.venv\Scripts\python.exe tools\prepare_legal_multidomain.py --bundle datasets\legal_multidomain_all_fields_bundle.zip --output data\curated\legal_multidomain_classifier.csv ~~~</w:t>
      </w:r>
    </w:p>
    <w:p>
      <w:r>
        <w:t>The converter streams nested archives without extracting them. It writes 560,000 rows, retains the supplied partitions and useful metadata, and creates 1,120 domain-qualified targets. The projection is approximately 245 MB and is ignored by Git.</w:t>
      </w:r>
    </w:p>
    <w:p>
      <w:r>
        <w:t>Validate the result:</w:t>
      </w:r>
    </w:p>
    <w:p>
      <w:r>
        <w:t>~~~powershell $rows = Import-Csv data\curated\legal_multidomain_classifier.csv $rows.Count ($rows.label | Sort-Object -Unique).Count $rows | Group-Object original_split | Select-Object Name, Count ~~~</w:t>
      </w:r>
    </w:p>
    <w:p>
      <w:r>
        <w:t>Expected values are 560000 rows, 1120 labels, and partition counts of 448000 / 56000 / 56000.</w:t>
      </w:r>
    </w:p>
    <w:p>
      <w:pPr>
        <w:pStyle w:val="Heading3"/>
      </w:pPr>
      <w:r>
        <w:t>6.11.3 Run Contra-Law Experimental</w:t>
      </w:r>
    </w:p>
    <w:p>
      <w:r>
        <w:t>The public configuration uses nlpaueb/legal-bert-base-uncased, one epoch, BF16, maximum length 96, training batch 32, evaluation batch 64, dynamic batch tokenization, cross-entropy, and offline Weights &amp; Biases logging:</w:t>
      </w:r>
    </w:p>
    <w:p>
      <w:r>
        <w:t>~~~powershell .\.venv\Scripts\python.exe -m contractlab.cli train --config configs\contra-law-legalbert-1120-exp-v1.json ~~~</w:t>
      </w:r>
    </w:p>
    <w:p>
      <w:r>
        <w:t>Training uses every supplied record by setting deduplicate_examples to false and split_strategy to predefined. Those choices reproduce the supplied task; they do not fix its leakage. Dataset Lab displays the live status file under Master multidomain legal taxonomy.</w:t>
      </w:r>
    </w:p>
    <w:p>
      <w:pPr>
        <w:pStyle w:val="Heading3"/>
      </w:pPr>
      <w:r>
        <w:t>6.11.4 What all-fields means</w:t>
      </w:r>
    </w:p>
    <w:p>
      <w:r>
        <w:t>The classifier consumes text and predicts domain::label. The bundle also keeps issue, rule_summary, application, counterargument, and conclusion. A BERT sequence-classification head cannot generate those structured fields, so the classifier preparation does not concatenate them into the input. Doing so would add even more target wording and produce a misleading result.</w:t>
      </w:r>
    </w:p>
    <w:p>
      <w:r>
        <w:t>Keep the original fields for a separate retrieval or small generative-model experiment. Their repeated language is analysis scaffolding, not authoritative or current law. Ground any later legal explanation in reviewed primary sources, jurisdiction, date, and qualified human review.</w:t>
      </w:r>
    </w:p>
    <w:p>
      <w:pPr>
        <w:pStyle w:val="Heading3"/>
      </w:pPr>
      <w:r>
        <w:t>6.11.5 Publication and licensing</w:t>
      </w:r>
    </w:p>
    <w:p>
      <w:r>
        <w:t>The bundle, manifest, master taxonomy, prepared CSV, W&amp;B run, and checkpoints remain local-only. The supplied files do not state a redistribution license, generator, generation prompts, source inputs, or model version. The Git ignore rules protect these paths, and datasets/master_taxonomy_audit.json publishes only non-content audit metadata. Do not upload the raw corpus or trained weights until those rights and lineage questions are resolved.</w:t>
      </w:r>
    </w:p>
    <w:p>
      <w:bookmarkStart w:id="148" w:name="guide_sec_049"/>
      <w:pPr>
        <w:pStyle w:val="Heading1"/>
      </w:pPr>
      <w:r>
        <w:t>7. Models and training controls</w:t>
      </w:r>
      <w:bookmarkEnd w:id="148"/>
    </w:p>
    <w:p>
      <w:bookmarkStart w:id="149" w:name="guide_sec_050"/>
      <w:pPr>
        <w:pStyle w:val="Heading2"/>
      </w:pPr>
      <w:r>
        <w:t>7.1 What is being fine-tuned</w:t>
      </w:r>
      <w:bookmarkEnd w:id="149"/>
    </w:p>
    <w:p>
      <w:r>
        <w:t xml:space="preserve">The pretrained encoder already represents general language patterns. AI-Enabled Contracts Lab adds a classification head sized to the dataset label set. With </w:t>
      </w:r>
      <w:r>
        <w:rPr>
          <w:rFonts w:ascii="Consolas" w:hAnsi="Consolas"/>
          <w:color w:val="1F4D78"/>
          <w:sz w:val="18"/>
        </w:rPr>
        <w:t>freeze_encoder=false</w:t>
      </w:r>
      <w:r>
        <w:t xml:space="preserve">, gradients update both encoder and head. With </w:t>
      </w:r>
      <w:r>
        <w:rPr>
          <w:rFonts w:ascii="Consolas" w:hAnsi="Consolas"/>
          <w:color w:val="1F4D78"/>
          <w:sz w:val="18"/>
        </w:rPr>
        <w:t>freeze_encoder=true</w:t>
      </w:r>
      <w:r>
        <w:t>, only the classification head learns; this is faster and uses less memory but usually adapts less deeply.</w:t>
      </w:r>
    </w:p>
    <w:p>
      <w:bookmarkStart w:id="150" w:name="guide_sec_051"/>
      <w:pPr>
        <w:pStyle w:val="Heading2"/>
      </w:pPr>
      <w:r>
        <w:t>7.2 Tokenization and truncation</w:t>
      </w:r>
      <w:bookmarkEnd w:id="150"/>
    </w:p>
    <w:p>
      <w:r>
        <w:t xml:space="preserve">The tokenizer converts text into token IDs and an attention mask. Batches are padded to a common length. Text beyond </w:t>
      </w:r>
      <w:r>
        <w:rPr>
          <w:rFonts w:ascii="Consolas" w:hAnsi="Consolas"/>
          <w:color w:val="1F4D78"/>
          <w:sz w:val="18"/>
        </w:rPr>
        <w:t>max_length</w:t>
      </w:r>
      <w:r>
        <w:t xml:space="preserve"> is truncated, so an important clause ending may disappear. Inspect text-length distributions before raising the limit; Transformer attention cost grows quickly with sequence length.</w:t>
      </w:r>
    </w:p>
    <w:p>
      <w:bookmarkStart w:id="151" w:name="guide_sec_052"/>
      <w:pPr>
        <w:pStyle w:val="Heading2"/>
      </w:pPr>
      <w:r>
        <w:t>7.3 Effective batch size</w:t>
      </w:r>
      <w:bookmarkEnd w:id="151"/>
    </w:p>
    <w:p>
      <w:r>
        <w:t>The effective training batch is:</w:t>
      </w:r>
    </w:p>
    <w:p>
      <w:pPr>
        <w:pStyle w:val="CodeBlock"/>
        <w:shd w:fill="F4F6F7"/>
        <w:pBdr>
          <w:left w:val="single" w:sz="18" w:space="8" w:color="C9D3DD"/>
        </w:pBdr>
      </w:pPr>
      <w:r>
        <w:rPr>
          <w:rFonts w:ascii="Consolas" w:hAnsi="Consolas"/>
          <w:sz w:val="17"/>
        </w:rPr>
        <w:t>train_batch_size x gradient_accumulation_steps</w:t>
      </w:r>
    </w:p>
    <w:p>
      <w:r>
        <w:t>With batch size 8 and accumulation 2, the optimizer sees 16 examples per update. Accumulation reduces peak activation memory but does not make computation free.</w:t>
      </w:r>
    </w:p>
    <w:p>
      <w:bookmarkStart w:id="152" w:name="guide_sec_053"/>
      <w:pPr>
        <w:pStyle w:val="Heading2"/>
      </w:pPr>
      <w:r>
        <w:t>7.4 Precision</w:t>
      </w:r>
      <w:bookmarkEnd w:id="152"/>
    </w:p>
    <w:p>
      <w:r>
        <w:rPr>
          <w:rFonts w:ascii="Consolas" w:hAnsi="Consolas"/>
          <w:color w:val="1F4D78"/>
          <w:sz w:val="18"/>
        </w:rPr>
        <w:t>auto</w:t>
      </w:r>
      <w:r>
        <w:t xml:space="preserve"> chooses an appropriate mixed-precision mode on CUDA and full precision on CPU. </w:t>
      </w:r>
      <w:r>
        <w:rPr>
          <w:rFonts w:ascii="Consolas" w:hAnsi="Consolas"/>
          <w:color w:val="1F4D78"/>
          <w:sz w:val="18"/>
        </w:rPr>
        <w:t>fp16</w:t>
      </w:r>
      <w:r>
        <w:t xml:space="preserve"> reduces memory and can accelerate supported NVIDIA GPUs. </w:t>
      </w:r>
      <w:r>
        <w:rPr>
          <w:rFonts w:ascii="Consolas" w:hAnsi="Consolas"/>
          <w:color w:val="1F4D78"/>
          <w:sz w:val="18"/>
        </w:rPr>
        <w:t>bf16</w:t>
      </w:r>
      <w:r>
        <w:t xml:space="preserve"> has a wider exponent range but depends on hardware support. Use </w:t>
      </w:r>
      <w:r>
        <w:rPr>
          <w:rFonts w:ascii="Consolas" w:hAnsi="Consolas"/>
          <w:color w:val="1F4D78"/>
          <w:sz w:val="18"/>
        </w:rPr>
        <w:t>fp32</w:t>
      </w:r>
      <w:r>
        <w:t xml:space="preserve"> when diagnosing numerical instability.</w:t>
      </w:r>
    </w:p>
    <w:p>
      <w:bookmarkStart w:id="153" w:name="guide_sec_054"/>
      <w:pPr>
        <w:pStyle w:val="Heading2"/>
      </w:pPr>
      <w:r>
        <w:t>7.5 Checkpoint selection</w:t>
      </w:r>
      <w:bookmarkEnd w:id="153"/>
    </w:p>
    <w:p>
      <w:r>
        <w:t>After each epoch, AI-Enabled Contracts Lab evaluates on validation data and saves the best checkpoint. The untouched test split is evaluated after training. A best checkpoint is not proof of generalization to different organizations, drafting styles, jurisdictions, time periods, or scan quality.</w:t>
      </w:r>
    </w:p>
    <w:p>
      <w:bookmarkStart w:id="154" w:name="guide_sec_055"/>
      <w:pPr>
        <w:pStyle w:val="Heading2"/>
      </w:pPr>
      <w:r>
        <w:t>7.6 Contra v2 completed baseline</w:t>
      </w:r>
      <w:bookmarkEnd w:id="154"/>
    </w:p>
    <w:p>
      <w:r>
        <w:t xml:space="preserve">Contra is the short project name for the learned clause classifier. Contra v2 uses </w:t>
      </w:r>
      <w:r>
        <w:rPr>
          <w:rFonts w:ascii="Consolas" w:hAnsi="Consolas"/>
          <w:color w:val="1F4D78"/>
          <w:sz w:val="18"/>
        </w:rPr>
        <w:t>nlpaueb/bert-base-uncased-contracts</w:t>
      </w:r>
      <w:r>
        <w:t>, class-weighted cross-entropy, four epochs, BF16, maximum length 256, train batch 4, evaluation batch 8, and gradient accumulation 4 on the same grouped split as v1.</w:t>
      </w:r>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232"/>
            <w:vAlign w:val="center"/>
            <w:tcMar>
              <w:top w:w="80" w:type="dxa"/>
              <w:start w:w="100" w:type="dxa"/>
              <w:bottom w:w="80" w:type="dxa"/>
              <w:end w:w="100" w:type="dxa"/>
            </w:tcMar>
            <w:shd w:fill="2E74B5"/>
          </w:tcPr>
          <w:p>
            <w:pPr>
              <w:spacing w:after="0"/>
            </w:pPr>
            <w:r>
              <w:rPr>
                <w:rFonts w:ascii="Calibri" w:hAnsi="Calibri"/>
                <w:b/>
                <w:color w:val="FFFFFF"/>
                <w:sz w:val="17"/>
              </w:rPr>
              <w:t>Held-out metric</w:t>
            </w:r>
          </w:p>
        </w:tc>
        <w:tc>
          <w:tcPr>
            <w:tcW w:type="dxa" w:w="2232"/>
            <w:vAlign w:val="center"/>
            <w:tcMar>
              <w:top w:w="80" w:type="dxa"/>
              <w:start w:w="100" w:type="dxa"/>
              <w:bottom w:w="80" w:type="dxa"/>
              <w:end w:w="100" w:type="dxa"/>
            </w:tcMar>
            <w:shd w:fill="2E74B5"/>
          </w:tcPr>
          <w:p>
            <w:pPr>
              <w:spacing w:after="0"/>
            </w:pPr>
            <w:r>
              <w:rPr>
                <w:rFonts w:ascii="Calibri" w:hAnsi="Calibri"/>
                <w:b/>
                <w:color w:val="FFFFFF"/>
                <w:sz w:val="17"/>
              </w:rPr>
              <w:t>Contra v1</w:t>
            </w:r>
          </w:p>
        </w:tc>
        <w:tc>
          <w:tcPr>
            <w:tcW w:type="dxa" w:w="4896"/>
            <w:vAlign w:val="center"/>
            <w:tcMar>
              <w:top w:w="80" w:type="dxa"/>
              <w:start w:w="100" w:type="dxa"/>
              <w:bottom w:w="80" w:type="dxa"/>
              <w:end w:w="100" w:type="dxa"/>
            </w:tcMar>
            <w:shd w:fill="2E74B5"/>
          </w:tcPr>
          <w:p>
            <w:pPr>
              <w:spacing w:after="0"/>
            </w:pPr>
            <w:r>
              <w:rPr>
                <w:rFonts w:ascii="Calibri" w:hAnsi="Calibri"/>
                <w:b/>
                <w:color w:val="FFFFFF"/>
                <w:sz w:val="17"/>
              </w:rPr>
              <w:t>Contra v2</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sz w:val="17"/>
              </w:rPr>
              <w:t>Accuracy</w:t>
            </w:r>
          </w:p>
        </w:tc>
        <w:tc>
          <w:tcPr>
            <w:tcW w:type="dxa" w:w="2232"/>
            <w:vAlign w:val="center"/>
            <w:tcMar>
              <w:top w:w="80" w:type="dxa"/>
              <w:start w:w="100" w:type="dxa"/>
              <w:bottom w:w="80" w:type="dxa"/>
              <w:end w:w="100" w:type="dxa"/>
            </w:tcMar>
            <w:shd w:fill="FFFFFF"/>
          </w:tcPr>
          <w:p>
            <w:pPr>
              <w:spacing w:after="0"/>
            </w:pPr>
            <w:r>
              <w:rPr>
                <w:rFonts w:ascii="Calibri" w:hAnsi="Calibri"/>
                <w:sz w:val="17"/>
              </w:rPr>
              <w:t>0.6062</w:t>
            </w:r>
          </w:p>
        </w:tc>
        <w:tc>
          <w:tcPr>
            <w:tcW w:type="dxa" w:w="4896"/>
            <w:vAlign w:val="center"/>
            <w:tcMar>
              <w:top w:w="80" w:type="dxa"/>
              <w:start w:w="100" w:type="dxa"/>
              <w:bottom w:w="80" w:type="dxa"/>
              <w:end w:w="100" w:type="dxa"/>
            </w:tcMar>
            <w:shd w:fill="FFFFFF"/>
          </w:tcPr>
          <w:p>
            <w:pPr>
              <w:spacing w:after="0"/>
            </w:pPr>
            <w:r>
              <w:rPr>
                <w:rFonts w:ascii="Calibri" w:hAnsi="Calibri"/>
                <w:sz w:val="17"/>
              </w:rPr>
              <w:t>0.7639</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sz w:val="17"/>
              </w:rPr>
              <w:t>Macro F1</w:t>
            </w:r>
          </w:p>
        </w:tc>
        <w:tc>
          <w:tcPr>
            <w:tcW w:type="dxa" w:w="2232"/>
            <w:vAlign w:val="center"/>
            <w:tcMar>
              <w:top w:w="80" w:type="dxa"/>
              <w:start w:w="100" w:type="dxa"/>
              <w:bottom w:w="80" w:type="dxa"/>
              <w:end w:w="100" w:type="dxa"/>
            </w:tcMar>
            <w:shd w:fill="F4F6F7"/>
          </w:tcPr>
          <w:p>
            <w:pPr>
              <w:spacing w:after="0"/>
            </w:pPr>
            <w:r>
              <w:rPr>
                <w:rFonts w:ascii="Calibri" w:hAnsi="Calibri"/>
                <w:sz w:val="17"/>
              </w:rPr>
              <w:t>0.2986</w:t>
            </w:r>
          </w:p>
        </w:tc>
        <w:tc>
          <w:tcPr>
            <w:tcW w:type="dxa" w:w="4896"/>
            <w:vAlign w:val="center"/>
            <w:tcMar>
              <w:top w:w="80" w:type="dxa"/>
              <w:start w:w="100" w:type="dxa"/>
              <w:bottom w:w="80" w:type="dxa"/>
              <w:end w:w="100" w:type="dxa"/>
            </w:tcMar>
            <w:shd w:fill="F4F6F7"/>
          </w:tcPr>
          <w:p>
            <w:pPr>
              <w:spacing w:after="0"/>
            </w:pPr>
            <w:r>
              <w:rPr>
                <w:rFonts w:ascii="Calibri" w:hAnsi="Calibri"/>
                <w:sz w:val="17"/>
              </w:rPr>
              <w:t>0.6036</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sz w:val="17"/>
              </w:rPr>
              <w:t>Zero-F1 labels</w:t>
            </w:r>
          </w:p>
        </w:tc>
        <w:tc>
          <w:tcPr>
            <w:tcW w:type="dxa" w:w="2232"/>
            <w:vAlign w:val="center"/>
            <w:tcMar>
              <w:top w:w="80" w:type="dxa"/>
              <w:start w:w="100" w:type="dxa"/>
              <w:bottom w:w="80" w:type="dxa"/>
              <w:end w:w="100" w:type="dxa"/>
            </w:tcMar>
            <w:shd w:fill="FFFFFF"/>
          </w:tcPr>
          <w:p>
            <w:pPr>
              <w:spacing w:after="0"/>
            </w:pPr>
            <w:r>
              <w:rPr>
                <w:rFonts w:ascii="Calibri" w:hAnsi="Calibri"/>
                <w:sz w:val="17"/>
              </w:rPr>
              <w:t>20 of 41</w:t>
            </w:r>
          </w:p>
        </w:tc>
        <w:tc>
          <w:tcPr>
            <w:tcW w:type="dxa" w:w="4896"/>
            <w:vAlign w:val="center"/>
            <w:tcMar>
              <w:top w:w="80" w:type="dxa"/>
              <w:start w:w="100" w:type="dxa"/>
              <w:bottom w:w="80" w:type="dxa"/>
              <w:end w:w="100" w:type="dxa"/>
            </w:tcMar>
            <w:shd w:fill="FFFFFF"/>
          </w:tcPr>
          <w:p>
            <w:pPr>
              <w:spacing w:after="0"/>
            </w:pPr>
            <w:r>
              <w:rPr>
                <w:rFonts w:ascii="Calibri" w:hAnsi="Calibri"/>
                <w:sz w:val="17"/>
              </w:rPr>
              <w:t>6 of 41</w:t>
            </w:r>
          </w:p>
        </w:tc>
      </w:tr>
    </w:tbl>
    <w:p>
      <w:pPr>
        <w:spacing w:after="0"/>
      </w:pPr>
    </w:p>
    <w:p>
      <w:r>
        <w:t xml:space="preserve">The experiment nearly doubled macro F1 and reduced the number of classes with zero F1. Because base model and loss changed together, this single comparison cannot isolate which change caused how much improvement. Six very rare labels still received zero F1, so the result is a baseline rather than a finished legal system. The reviewed Hugging Face bundle is prepared locally under </w:t>
      </w:r>
      <w:r>
        <w:rPr>
          <w:rFonts w:ascii="Consolas" w:hAnsi="Consolas"/>
          <w:color w:val="1F4D78"/>
          <w:sz w:val="18"/>
        </w:rPr>
        <w:t>artifacts/huggingface/</w:t>
      </w:r>
      <w:r>
        <w:t>; uploading requires a separate authenticated review.</w:t>
      </w:r>
    </w:p>
    <w:p>
      <w:bookmarkStart w:id="155" w:name="guide_sec_056"/>
      <w:pPr>
        <w:pStyle w:val="Heading2"/>
      </w:pPr>
      <w:r>
        <w:t>7.7 CUAD's original trained models and requirements</w:t>
      </w:r>
      <w:bookmarkEnd w:id="155"/>
    </w:p>
    <w:p>
      <w:r>
        <w:t>CUAD's official repository publishes three 2021 fine-tuned checkpoints through Zenodo: RoBERTa-base at about 100 million parameters, RoBERTa-large at about 300 million, and DeBERTa-v2-xlarge at about 900 million. These are extractive question-answering models: given a CUAD category question and contract context, they select a supporting answer span. Contra is a sequence classifier: given a passage, it predicts one of 41 labels. Keep the tasks, model heads, preprocessing, and metrics separate.</w:t>
      </w:r>
    </w:p>
    <w:p>
      <w:r>
        <w:t xml:space="preserve">The CUAD README says its code was tested with Python 3.8, PyTorch 1.7, and Transformers 4.3/4.4. Those versions document the original reproduction environment. Do not downgrade this workbench to them. AI-Enabled Contracts Lab already requires Hugging Face Transformers and uses its modern </w:t>
      </w:r>
      <w:r>
        <w:rPr>
          <w:rFonts w:ascii="Consolas" w:hAnsi="Consolas"/>
          <w:color w:val="1F4D78"/>
          <w:sz w:val="18"/>
        </w:rPr>
        <w:t>AutoTokenizer</w:t>
      </w:r>
      <w:r>
        <w:t xml:space="preserve"> and </w:t>
      </w:r>
      <w:r>
        <w:rPr>
          <w:rFonts w:ascii="Consolas" w:hAnsi="Consolas"/>
          <w:color w:val="1F4D78"/>
          <w:sz w:val="18"/>
        </w:rPr>
        <w:t>AutoModelForSequenceClassification</w:t>
      </w:r>
      <w:r>
        <w:t xml:space="preserve"> APIs with the tested Python 3.12 and PyTorch environment.</w:t>
      </w:r>
    </w:p>
    <w:p>
      <w:r>
        <w:t>For this 12 GB RTX 5070, the RoBERTa-base checkpoint is the appropriate future span-extraction experiment. RoBERTa-large may fit some inference configurations but is a poor first full-fine-tuning target; DeBERTa-v2-xlarge is far beyond the project's practical full-fine-tuning budget. Download no archive until its source, terms, checksum, serialization format, and intended task are reviewed.</w:t>
      </w:r>
    </w:p>
    <w:p>
      <w:bookmarkStart w:id="156" w:name="guide_sec_057"/>
      <w:pPr>
        <w:pStyle w:val="Heading1"/>
      </w:pPr>
      <w:r>
        <w:t>8. Weights &amp; Biases</w:t>
      </w:r>
      <w:bookmarkEnd w:id="156"/>
    </w:p>
    <w:p>
      <w:r>
        <w:t>W&amp;B is optional and disabled by default. AI-Enabled Contracts Lab logs aggregate configuration and metrics, not clause text, uploaded documents, filenames, predictions, or contract content.</w:t>
      </w:r>
    </w:p>
    <w:p>
      <w:bookmarkStart w:id="157" w:name="guide_sec_058"/>
      <w:pPr>
        <w:pStyle w:val="Heading2"/>
      </w:pPr>
      <w:r>
        <w:t>8.1 Authenticate safely</w:t>
      </w:r>
      <w:bookmarkEnd w:id="157"/>
    </w:p>
    <w:p>
      <w:r>
        <w:t>The interactive command avoids placing the API key in a committed file:</w:t>
      </w:r>
    </w:p>
    <w:p>
      <w:pPr>
        <w:pStyle w:val="CodeBlock"/>
        <w:shd w:fill="F4F6F7"/>
        <w:pBdr>
          <w:left w:val="single" w:sz="18" w:space="8" w:color="C9D3DD"/>
        </w:pBdr>
      </w:pPr>
      <w:r>
        <w:rPr>
          <w:rFonts w:ascii="Consolas" w:hAnsi="Consolas"/>
          <w:sz w:val="17"/>
        </w:rPr>
        <w:t>uv run --extra cu129 wandb login</w:t>
      </w:r>
    </w:p>
    <w:p>
      <w:r>
        <w:t xml:space="preserve">You may also set </w:t>
      </w:r>
      <w:r>
        <w:rPr>
          <w:rFonts w:ascii="Consolas" w:hAnsi="Consolas"/>
          <w:color w:val="1F4D78"/>
          <w:sz w:val="18"/>
        </w:rPr>
        <w:t>WANDB_API_KEY</w:t>
      </w:r>
      <w:r>
        <w:t xml:space="preserve"> in the current shell, but remember that shell history and process inspection can expose secrets. Never paste a key into source code, a notebook cell that will be committed, </w:t>
      </w:r>
      <w:r>
        <w:rPr>
          <w:rFonts w:ascii="Consolas" w:hAnsi="Consolas"/>
          <w:color w:val="1F4D78"/>
          <w:sz w:val="18"/>
        </w:rPr>
        <w:t>.env</w:t>
      </w:r>
      <w:r>
        <w:t xml:space="preserve">, or </w:t>
      </w:r>
      <w:r>
        <w:rPr>
          <w:rFonts w:ascii="Consolas" w:hAnsi="Consolas"/>
          <w:color w:val="1F4D78"/>
          <w:sz w:val="18"/>
        </w:rPr>
        <w:t>.streamlit/secrets.toml</w:t>
      </w:r>
      <w:r>
        <w:t xml:space="preserve"> unless the file is ignored and appropriately protected.</w:t>
      </w:r>
    </w:p>
    <w:p>
      <w:bookmarkStart w:id="158" w:name="guide_sec_059"/>
      <w:pPr>
        <w:pStyle w:val="Heading2"/>
      </w:pPr>
      <w:r>
        <w:t>8.2 Modes</w:t>
      </w:r>
      <w:bookmarkEnd w:id="158"/>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880"/>
            <w:vAlign w:val="center"/>
            <w:tcMar>
              <w:top w:w="80" w:type="dxa"/>
              <w:start w:w="100" w:type="dxa"/>
              <w:bottom w:w="80" w:type="dxa"/>
              <w:end w:w="100" w:type="dxa"/>
            </w:tcMar>
            <w:shd w:fill="2E74B5"/>
          </w:tcPr>
          <w:p>
            <w:pPr>
              <w:spacing w:after="0"/>
            </w:pPr>
            <w:r>
              <w:rPr>
                <w:rFonts w:ascii="Calibri" w:hAnsi="Calibri"/>
                <w:b/>
                <w:color w:val="FFFFFF"/>
                <w:sz w:val="18"/>
              </w:rPr>
              <w:t>Mode</w:t>
            </w:r>
          </w:p>
        </w:tc>
        <w:tc>
          <w:tcPr>
            <w:tcW w:type="dxa" w:w="6480"/>
            <w:vAlign w:val="center"/>
            <w:tcMar>
              <w:top w:w="80" w:type="dxa"/>
              <w:start w:w="100" w:type="dxa"/>
              <w:bottom w:w="80" w:type="dxa"/>
              <w:end w:w="100" w:type="dxa"/>
            </w:tcMar>
            <w:shd w:fill="2E74B5"/>
          </w:tcPr>
          <w:p>
            <w:pPr>
              <w:spacing w:after="0"/>
            </w:pPr>
            <w:r>
              <w:rPr>
                <w:rFonts w:ascii="Calibri" w:hAnsi="Calibri"/>
                <w:b/>
                <w:color w:val="FFFFFF"/>
                <w:sz w:val="18"/>
              </w:rPr>
              <w:t>Behavior</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disabled</w:t>
            </w:r>
          </w:p>
        </w:tc>
        <w:tc>
          <w:tcPr>
            <w:tcW w:type="dxa" w:w="6480"/>
            <w:vAlign w:val="center"/>
            <w:tcMar>
              <w:top w:w="80" w:type="dxa"/>
              <w:start w:w="100" w:type="dxa"/>
              <w:bottom w:w="80" w:type="dxa"/>
              <w:end w:w="100" w:type="dxa"/>
            </w:tcMar>
            <w:shd w:fill="FFFFFF"/>
          </w:tcPr>
          <w:p>
            <w:pPr>
              <w:spacing w:after="0"/>
            </w:pPr>
            <w:r>
              <w:rPr>
                <w:rFonts w:ascii="Calibri" w:hAnsi="Calibri"/>
                <w:sz w:val="18"/>
              </w:rPr>
              <w:t>No W&amp;B run is created</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color w:val="1F4D78"/>
                <w:sz w:val="18"/>
              </w:rPr>
              <w:t>offline</w:t>
            </w:r>
          </w:p>
        </w:tc>
        <w:tc>
          <w:tcPr>
            <w:tcW w:type="dxa" w:w="6480"/>
            <w:vAlign w:val="center"/>
            <w:tcMar>
              <w:top w:w="80" w:type="dxa"/>
              <w:start w:w="100" w:type="dxa"/>
              <w:bottom w:w="80" w:type="dxa"/>
              <w:end w:w="100" w:type="dxa"/>
            </w:tcMar>
            <w:shd w:fill="F4F6F7"/>
          </w:tcPr>
          <w:p>
            <w:pPr>
              <w:spacing w:after="0"/>
            </w:pPr>
            <w:r>
              <w:rPr>
                <w:rFonts w:ascii="Calibri" w:hAnsi="Calibri"/>
                <w:sz w:val="18"/>
              </w:rPr>
              <w:t>Writes local W&amp;B files for later review or synchronization</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online</w:t>
            </w:r>
          </w:p>
        </w:tc>
        <w:tc>
          <w:tcPr>
            <w:tcW w:type="dxa" w:w="6480"/>
            <w:vAlign w:val="center"/>
            <w:tcMar>
              <w:top w:w="80" w:type="dxa"/>
              <w:start w:w="100" w:type="dxa"/>
              <w:bottom w:w="80" w:type="dxa"/>
              <w:end w:w="100" w:type="dxa"/>
            </w:tcMar>
            <w:shd w:fill="FFFFFF"/>
          </w:tcPr>
          <w:p>
            <w:pPr>
              <w:spacing w:after="0"/>
            </w:pPr>
            <w:r>
              <w:rPr>
                <w:rFonts w:ascii="Calibri" w:hAnsi="Calibri"/>
                <w:sz w:val="18"/>
              </w:rPr>
              <w:t>Sends allowed aggregate run information to the configured project</w:t>
            </w:r>
          </w:p>
        </w:tc>
      </w:tr>
    </w:tbl>
    <w:p>
      <w:pPr>
        <w:spacing w:after="0"/>
      </w:pPr>
    </w:p>
    <w:p>
      <w:r>
        <w:t xml:space="preserve">Start with disabled, repeat the baseline in offline mode, inspect the generated W&amp;B directory, and only then choose online mode. Use a descriptive project name such as </w:t>
      </w:r>
      <w:r>
        <w:rPr>
          <w:rFonts w:ascii="Consolas" w:hAnsi="Consolas"/>
          <w:color w:val="1F4D78"/>
          <w:sz w:val="18"/>
        </w:rPr>
        <w:t>ai-enabled-contracts-lab-learning</w:t>
      </w:r>
      <w:r>
        <w:t>.</w:t>
      </w:r>
    </w:p>
    <w:p>
      <w:bookmarkStart w:id="159" w:name="guide_sec_060"/>
      <w:pPr>
        <w:pStyle w:val="Heading2"/>
      </w:pPr>
      <w:r>
        <w:t>8.3 What to compare</w:t>
      </w:r>
      <w:bookmarkEnd w:id="159"/>
    </w:p>
    <w:p>
      <w:r>
        <w:t>Change one primary variable at a time: model, learning rate, batch strategy, maximum length, freezing, or data version. Record the hypothesis before the run. Use W&amp;B charts to compare learning curves, but confirm final findings with local artifacts and error examples.</w:t>
      </w:r>
    </w:p>
    <w:p>
      <w:bookmarkStart w:id="160" w:name="guide_sec_061"/>
      <w:pPr>
        <w:pStyle w:val="Heading1"/>
      </w:pPr>
      <w:r>
        <w:t>9. Evaluation and assistant use</w:t>
      </w:r>
      <w:bookmarkEnd w:id="160"/>
    </w:p>
    <w:p>
      <w:bookmarkStart w:id="161" w:name="guide_sec_062"/>
      <w:pPr>
        <w:pStyle w:val="Heading2"/>
      </w:pPr>
      <w:r>
        <w:t>9.1 Metric meanings</w:t>
      </w:r>
      <w:bookmarkEnd w:id="161"/>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880"/>
            <w:vAlign w:val="center"/>
            <w:tcMar>
              <w:top w:w="80" w:type="dxa"/>
              <w:start w:w="100" w:type="dxa"/>
              <w:bottom w:w="80" w:type="dxa"/>
              <w:end w:w="100" w:type="dxa"/>
            </w:tcMar>
            <w:shd w:fill="2E74B5"/>
          </w:tcPr>
          <w:p>
            <w:pPr>
              <w:spacing w:after="0"/>
            </w:pPr>
            <w:r>
              <w:rPr>
                <w:rFonts w:ascii="Calibri" w:hAnsi="Calibri"/>
                <w:b/>
                <w:color w:val="FFFFFF"/>
                <w:sz w:val="18"/>
              </w:rPr>
              <w:t>Metric</w:t>
            </w:r>
          </w:p>
        </w:tc>
        <w:tc>
          <w:tcPr>
            <w:tcW w:type="dxa" w:w="6480"/>
            <w:vAlign w:val="center"/>
            <w:tcMar>
              <w:top w:w="80" w:type="dxa"/>
              <w:start w:w="100" w:type="dxa"/>
              <w:bottom w:w="80" w:type="dxa"/>
              <w:end w:w="100" w:type="dxa"/>
            </w:tcMar>
            <w:shd w:fill="2E74B5"/>
          </w:tcPr>
          <w:p>
            <w:pPr>
              <w:spacing w:after="0"/>
            </w:pPr>
            <w:r>
              <w:rPr>
                <w:rFonts w:ascii="Calibri" w:hAnsi="Calibri"/>
                <w:b/>
                <w:color w:val="FFFFFF"/>
                <w:sz w:val="18"/>
              </w:rPr>
              <w:t>Question it answers</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Accuracy</w:t>
            </w:r>
          </w:p>
        </w:tc>
        <w:tc>
          <w:tcPr>
            <w:tcW w:type="dxa" w:w="6480"/>
            <w:vAlign w:val="center"/>
            <w:tcMar>
              <w:top w:w="80" w:type="dxa"/>
              <w:start w:w="100" w:type="dxa"/>
              <w:bottom w:w="80" w:type="dxa"/>
              <w:end w:w="100" w:type="dxa"/>
            </w:tcMar>
            <w:shd w:fill="FFFFFF"/>
          </w:tcPr>
          <w:p>
            <w:pPr>
              <w:spacing w:after="0"/>
            </w:pPr>
            <w:r>
              <w:rPr>
                <w:rFonts w:ascii="Calibri" w:hAnsi="Calibri"/>
                <w:sz w:val="18"/>
              </w:rPr>
              <w:t>What fraction of all examples received the expected label?</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Precision</w:t>
            </w:r>
          </w:p>
        </w:tc>
        <w:tc>
          <w:tcPr>
            <w:tcW w:type="dxa" w:w="6480"/>
            <w:vAlign w:val="center"/>
            <w:tcMar>
              <w:top w:w="80" w:type="dxa"/>
              <w:start w:w="100" w:type="dxa"/>
              <w:bottom w:w="80" w:type="dxa"/>
              <w:end w:w="100" w:type="dxa"/>
            </w:tcMar>
            <w:shd w:fill="F4F6F7"/>
          </w:tcPr>
          <w:p>
            <w:pPr>
              <w:spacing w:after="0"/>
            </w:pPr>
            <w:r>
              <w:rPr>
                <w:rFonts w:ascii="Calibri" w:hAnsi="Calibri"/>
                <w:sz w:val="18"/>
              </w:rPr>
              <w:t>When the model predicted this label, how often was it correct?</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Recall</w:t>
            </w:r>
          </w:p>
        </w:tc>
        <w:tc>
          <w:tcPr>
            <w:tcW w:type="dxa" w:w="6480"/>
            <w:vAlign w:val="center"/>
            <w:tcMar>
              <w:top w:w="80" w:type="dxa"/>
              <w:start w:w="100" w:type="dxa"/>
              <w:bottom w:w="80" w:type="dxa"/>
              <w:end w:w="100" w:type="dxa"/>
            </w:tcMar>
            <w:shd w:fill="FFFFFF"/>
          </w:tcPr>
          <w:p>
            <w:pPr>
              <w:spacing w:after="0"/>
            </w:pPr>
            <w:r>
              <w:rPr>
                <w:rFonts w:ascii="Calibri" w:hAnsi="Calibri"/>
                <w:sz w:val="18"/>
              </w:rPr>
              <w:t>Of the examples that truly have this label, how many did it find?</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F1</w:t>
            </w:r>
          </w:p>
        </w:tc>
        <w:tc>
          <w:tcPr>
            <w:tcW w:type="dxa" w:w="6480"/>
            <w:vAlign w:val="center"/>
            <w:tcMar>
              <w:top w:w="80" w:type="dxa"/>
              <w:start w:w="100" w:type="dxa"/>
              <w:bottom w:w="80" w:type="dxa"/>
              <w:end w:w="100" w:type="dxa"/>
            </w:tcMar>
            <w:shd w:fill="F4F6F7"/>
          </w:tcPr>
          <w:p>
            <w:pPr>
              <w:spacing w:after="0"/>
            </w:pPr>
            <w:r>
              <w:rPr>
                <w:rFonts w:ascii="Calibri" w:hAnsi="Calibri"/>
                <w:sz w:val="18"/>
              </w:rPr>
              <w:t>What harmonic balance did precision and recall achieve?</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Macro F1</w:t>
            </w:r>
          </w:p>
        </w:tc>
        <w:tc>
          <w:tcPr>
            <w:tcW w:type="dxa" w:w="6480"/>
            <w:vAlign w:val="center"/>
            <w:tcMar>
              <w:top w:w="80" w:type="dxa"/>
              <w:start w:w="100" w:type="dxa"/>
              <w:bottom w:w="80" w:type="dxa"/>
              <w:end w:w="100" w:type="dxa"/>
            </w:tcMar>
            <w:shd w:fill="FFFFFF"/>
          </w:tcPr>
          <w:p>
            <w:pPr>
              <w:spacing w:after="0"/>
            </w:pPr>
            <w:r>
              <w:rPr>
                <w:rFonts w:ascii="Calibri" w:hAnsi="Calibri"/>
                <w:sz w:val="18"/>
              </w:rPr>
              <w:t>What is the unweighted mean F1 across labels?</w:t>
            </w:r>
          </w:p>
        </w:tc>
      </w:tr>
    </w:tbl>
    <w:p>
      <w:pPr>
        <w:spacing w:after="0"/>
      </w:pPr>
    </w:p>
    <w:p>
      <w:r>
        <w:t>Macro F1 gives every class equal importance and is therefore useful when label frequencies differ. It can still conceal dataset shift and annotation problems, so pair it with per-label results and error review.</w:t>
      </w:r>
    </w:p>
    <w:p>
      <w:bookmarkStart w:id="162" w:name="guide_sec_063"/>
      <w:pPr>
        <w:pStyle w:val="Heading2"/>
      </w:pPr>
      <w:r>
        <w:t>9.2 Confusion matrix</w:t>
      </w:r>
      <w:bookmarkEnd w:id="162"/>
    </w:p>
    <w:p>
      <w:r>
        <w:t>Rows represent expected labels and columns represent predicted labels. Large off-diagonal cells identify systematic confusions. Read the original passages for those cells before changing the model. The better fix may be a clearer label definition or better data rather than more epochs.</w:t>
      </w:r>
    </w:p>
    <w:p>
      <w:bookmarkStart w:id="163" w:name="guide_sec_064"/>
      <w:pPr>
        <w:pStyle w:val="Heading2"/>
      </w:pPr>
      <w:r>
        <w:t>9.3 Error analysis loop</w:t>
      </w:r>
      <w:bookmarkEnd w:id="163"/>
    </w:p>
    <w:p>
      <w:r>
        <w:t>Create a small error taxonomy:</w:t>
      </w:r>
    </w:p>
    <w:p>
      <w:pPr>
        <w:pStyle w:val="ListBullet"/>
      </w:pPr>
      <w:r>
        <w:t>ambiguous or multi-purpose clause;</w:t>
      </w:r>
    </w:p>
    <w:p>
      <w:pPr>
        <w:pStyle w:val="ListBullet"/>
      </w:pPr>
      <w:r>
        <w:t>missing context outside the passage;</w:t>
      </w:r>
    </w:p>
    <w:p>
      <w:pPr>
        <w:pStyle w:val="ListBullet"/>
      </w:pPr>
      <w:r>
        <w:t>truncation;</w:t>
      </w:r>
    </w:p>
    <w:p>
      <w:pPr>
        <w:pStyle w:val="ListBullet"/>
      </w:pPr>
      <w:r>
        <w:t>label-policy disagreement;</w:t>
      </w:r>
    </w:p>
    <w:p>
      <w:pPr>
        <w:pStyle w:val="ListBullet"/>
      </w:pPr>
      <w:r>
        <w:t>unusual vocabulary or drafting style;</w:t>
      </w:r>
    </w:p>
    <w:p>
      <w:pPr>
        <w:pStyle w:val="ListBullet"/>
      </w:pPr>
      <w:r>
        <w:t>duplicate or near-duplicate leakage;</w:t>
      </w:r>
    </w:p>
    <w:p>
      <w:pPr>
        <w:pStyle w:val="ListBullet"/>
      </w:pPr>
      <w:r>
        <w:t>source parsing failure; and</w:t>
      </w:r>
    </w:p>
    <w:p>
      <w:pPr>
        <w:pStyle w:val="ListBullet"/>
      </w:pPr>
      <w:r>
        <w:t>confident but unsupported prediction.</w:t>
      </w:r>
    </w:p>
    <w:p>
      <w:r>
        <w:t>Count these categories for a sample of errors. Choose the next experiment based on the dominant cause.</w:t>
      </w:r>
    </w:p>
    <w:p>
      <w:bookmarkStart w:id="164" w:name="guide_sec_065"/>
      <w:pPr>
        <w:pStyle w:val="Heading2"/>
      </w:pPr>
      <w:r>
        <w:t>9.4 Six assistant capabilities</w:t>
      </w:r>
      <w:bookmarkEnd w:id="164"/>
    </w:p>
    <w:p>
      <w:r>
        <w:t>The assistant combines local passage retrieval, classifier predictions where a trained checkpoint is available, and deterministic presentation logic. Each capability must preserve source passages:</w:t>
      </w:r>
    </w:p>
    <w:p>
      <w:pPr>
        <w:pStyle w:val="ListNumber"/>
        <w:numPr>
          <w:ilvl w:val="0"/>
          <w:numId w:val="16"/>
        </w:numPr>
      </w:pPr>
      <w:r>
        <w:rPr>
          <w:b/>
        </w:rPr>
        <w:t>Classification</w:t>
      </w:r>
      <w:r>
        <w:t xml:space="preserve"> assigns likely clause types and confidence scores.</w:t>
      </w:r>
    </w:p>
    <w:p>
      <w:pPr>
        <w:pStyle w:val="ListNumber"/>
        <w:numPr>
          <w:ilvl w:val="0"/>
          <w:numId w:val="16"/>
        </w:numPr>
      </w:pPr>
      <w:r>
        <w:rPr>
          <w:b/>
        </w:rPr>
        <w:t>Extraction</w:t>
      </w:r>
      <w:r>
        <w:t xml:space="preserve"> finds passages relevant to a selected clause concept.</w:t>
      </w:r>
    </w:p>
    <w:p>
      <w:pPr>
        <w:pStyle w:val="ListNumber"/>
        <w:numPr>
          <w:ilvl w:val="0"/>
          <w:numId w:val="16"/>
        </w:numPr>
      </w:pPr>
      <w:r>
        <w:rPr>
          <w:b/>
        </w:rPr>
        <w:t>Risk flags</w:t>
      </w:r>
      <w:r>
        <w:t xml:space="preserve"> surfaces review candidates; it does not decide legal risk.</w:t>
      </w:r>
    </w:p>
    <w:p>
      <w:pPr>
        <w:pStyle w:val="ListNumber"/>
        <w:numPr>
          <w:ilvl w:val="0"/>
          <w:numId w:val="16"/>
        </w:numPr>
      </w:pPr>
      <w:r>
        <w:rPr>
          <w:b/>
        </w:rPr>
        <w:t>Obligations</w:t>
      </w:r>
      <w:r>
        <w:t xml:space="preserve"> identifies duty-like language and the supporting text.</w:t>
      </w:r>
    </w:p>
    <w:p>
      <w:pPr>
        <w:pStyle w:val="ListNumber"/>
        <w:numPr>
          <w:ilvl w:val="0"/>
          <w:numId w:val="16"/>
        </w:numPr>
      </w:pPr>
      <w:r>
        <w:rPr>
          <w:b/>
        </w:rPr>
        <w:t>Summarization</w:t>
      </w:r>
      <w:r>
        <w:t xml:space="preserve"> condenses selected passages with citations.</w:t>
      </w:r>
    </w:p>
    <w:p>
      <w:pPr>
        <w:pStyle w:val="ListNumber"/>
        <w:numPr>
          <w:ilvl w:val="0"/>
          <w:numId w:val="16"/>
        </w:numPr>
      </w:pPr>
      <w:r>
        <w:rPr>
          <w:b/>
        </w:rPr>
        <w:t>Question answering</w:t>
      </w:r>
      <w:r>
        <w:t xml:space="preserve"> returns a limited answer grounded in retrieved passages.</w:t>
      </w:r>
    </w:p>
    <w:p>
      <w:r>
        <w:t>Always compare the response with the uploaded text. If the source is a scanned PDF with no extractable text, perform OCR in a separate trusted tool before use.</w:t>
      </w:r>
    </w:p>
    <w:p>
      <w:bookmarkStart w:id="165" w:name="guide_sec_066"/>
      <w:pPr>
        <w:pStyle w:val="Heading1"/>
      </w:pPr>
      <w:r>
        <w:t>10. Running the code manually</w:t>
      </w:r>
      <w:bookmarkEnd w:id="165"/>
    </w:p>
    <w:p>
      <w:r>
        <w:t xml:space="preserve">This chapter reproduces the workbench workflow without clicking UI controls. Use </w:t>
      </w:r>
      <w:r>
        <w:rPr>
          <w:rFonts w:ascii="Consolas" w:hAnsi="Consolas"/>
          <w:color w:val="1F4D78"/>
          <w:sz w:val="18"/>
        </w:rPr>
        <w:t>--extra cpu</w:t>
      </w:r>
      <w:r>
        <w:t xml:space="preserve"> instead of </w:t>
      </w:r>
      <w:r>
        <w:rPr>
          <w:rFonts w:ascii="Consolas" w:hAnsi="Consolas"/>
          <w:color w:val="1F4D78"/>
          <w:sz w:val="18"/>
        </w:rPr>
        <w:t>--extra cu129</w:t>
      </w:r>
      <w:r>
        <w:t xml:space="preserve"> throughout if you selected the CPU profile.</w:t>
      </w:r>
    </w:p>
    <w:p>
      <w:bookmarkStart w:id="166" w:name="guide_sec_067"/>
      <w:pPr>
        <w:pStyle w:val="Heading2"/>
      </w:pPr>
      <w:r>
        <w:t>10.1 Inspect available commands</w:t>
      </w:r>
      <w:bookmarkEnd w:id="166"/>
    </w:p>
    <w:p>
      <w:pPr>
        <w:pStyle w:val="CodeBlock"/>
        <w:shd w:fill="F4F6F7"/>
        <w:pBdr>
          <w:left w:val="single" w:sz="18" w:space="8" w:color="C9D3DD"/>
        </w:pBdr>
      </w:pPr>
      <w:r>
        <w:rPr>
          <w:rFonts w:ascii="Consolas" w:hAnsi="Consolas"/>
          <w:sz w:val="17"/>
        </w:rPr>
        <w:t>uv run --extra cu129 contractlab --help</w:t>
      </w:r>
      <w:r>
        <w:br/>
      </w:r>
      <w:r>
        <w:rPr>
          <w:rFonts w:ascii="Consolas" w:hAnsi="Consolas"/>
          <w:sz w:val="17"/>
        </w:rPr>
        <w:t>uv run --extra cu129 contractlab train --help</w:t>
      </w:r>
    </w:p>
    <w:p>
      <w:r>
        <w:t xml:space="preserve">The package entry point is declared in </w:t>
      </w:r>
      <w:r>
        <w:rPr>
          <w:rFonts w:ascii="Consolas" w:hAnsi="Consolas"/>
          <w:color w:val="1F4D78"/>
          <w:sz w:val="18"/>
        </w:rPr>
        <w:t>pyproject.toml</w:t>
      </w:r>
      <w:r>
        <w:t xml:space="preserve"> and calls </w:t>
      </w:r>
      <w:r>
        <w:rPr>
          <w:rFonts w:ascii="Consolas" w:hAnsi="Consolas"/>
          <w:color w:val="1F4D78"/>
          <w:sz w:val="18"/>
        </w:rPr>
        <w:t>contractlab.cli:main</w:t>
      </w:r>
      <w:r>
        <w:t>.</w:t>
      </w:r>
    </w:p>
    <w:p>
      <w:bookmarkStart w:id="167" w:name="guide_sec_068"/>
      <w:pPr>
        <w:pStyle w:val="Heading2"/>
      </w:pPr>
      <w:r>
        <w:t>10.2 Generate a safe synthetic CSV</w:t>
      </w:r>
      <w:bookmarkEnd w:id="167"/>
    </w:p>
    <w:p>
      <w:r>
        <w:t>This command calls the same generator used by Dataset lab:</w:t>
      </w:r>
    </w:p>
    <w:p>
      <w:pPr>
        <w:pStyle w:val="CodeBlock"/>
        <w:shd w:fill="F4F6F7"/>
        <w:pBdr>
          <w:left w:val="single" w:sz="18" w:space="8" w:color="C9D3DD"/>
        </w:pBdr>
      </w:pPr>
      <w:r>
        <w:rPr>
          <w:rFonts w:ascii="Consolas" w:hAnsi="Consolas"/>
          <w:sz w:val="17"/>
        </w:rPr>
        <w:t>uv run --extra cu129 python -c "from pathlib import Path; from contractlab.data import synthetic_dataset; p=Path('data/imports/manual_synthetic.csv'); p.parent.mkdir(parents=True, exist_ok=True); synthetic_dataset().to_csv(p, index=False); print(p.resolve())"</w:t>
      </w:r>
    </w:p>
    <w:p>
      <w:r>
        <w:t>Inspect the result:</w:t>
      </w:r>
    </w:p>
    <w:p>
      <w:pPr>
        <w:pStyle w:val="CodeBlock"/>
        <w:shd w:fill="F4F6F7"/>
        <w:pBdr>
          <w:left w:val="single" w:sz="18" w:space="8" w:color="C9D3DD"/>
        </w:pBdr>
      </w:pPr>
      <w:r>
        <w:rPr>
          <w:rFonts w:ascii="Consolas" w:hAnsi="Consolas"/>
          <w:sz w:val="17"/>
        </w:rPr>
        <w:t>Get-Content data\imports\manual_synthetic.csv -TotalCount 6</w:t>
      </w:r>
    </w:p>
    <w:p>
      <w:r>
        <w:t xml:space="preserve">The file is ignored by Git because </w:t>
      </w:r>
      <w:r>
        <w:rPr>
          <w:rFonts w:ascii="Consolas" w:hAnsi="Consolas"/>
          <w:color w:val="1F4D78"/>
          <w:sz w:val="18"/>
        </w:rPr>
        <w:t>data/imports/</w:t>
      </w:r>
      <w:r>
        <w:t xml:space="preserve"> is a local workspace.</w:t>
      </w:r>
    </w:p>
    <w:p>
      <w:bookmarkStart w:id="168" w:name="guide_sec_069"/>
      <w:pPr>
        <w:pStyle w:val="Heading2"/>
      </w:pPr>
      <w:r>
        <w:t>10.3 Prepare CUAD project data manually</w:t>
      </w:r>
      <w:bookmarkEnd w:id="168"/>
    </w:p>
    <w:p>
      <w:r>
        <w:t>Generate the public classifier sample and then the full local conversion:</w:t>
      </w:r>
    </w:p>
    <w:p>
      <w:pPr>
        <w:pStyle w:val="CodeBlock"/>
        <w:shd w:fill="F4F6F7"/>
        <w:pBdr>
          <w:left w:val="single" w:sz="18" w:space="8" w:color="C9D3DD"/>
        </w:pBdr>
      </w:pPr>
      <w:r>
        <w:rPr>
          <w:rFonts w:ascii="Consolas" w:hAnsi="Consolas"/>
          <w:sz w:val="17"/>
        </w:rPr>
        <w:t>.\.venv\Scripts\python.exe datasets\prepare_project_datasets.py --mode sample</w:t>
      </w:r>
      <w:r>
        <w:br/>
      </w:r>
      <w:r>
        <w:rPr>
          <w:rFonts w:ascii="Consolas" w:hAnsi="Consolas"/>
          <w:sz w:val="17"/>
        </w:rPr>
        <w:t>.\.venv\Scripts\python.exe datasets\prepare_project_datasets.py --mode local</w:t>
      </w:r>
    </w:p>
    <w:p>
      <w:r>
        <w:t>Validate the local conversion through the same functions used by Dataset Lab:</w:t>
      </w:r>
    </w:p>
    <w:p>
      <w:pPr>
        <w:pStyle w:val="CodeBlock"/>
        <w:shd w:fill="F4F6F7"/>
        <w:pBdr>
          <w:left w:val="single" w:sz="18" w:space="8" w:color="C9D3DD"/>
        </w:pBdr>
      </w:pPr>
      <w:r>
        <w:rPr>
          <w:rFonts w:ascii="Consolas" w:hAnsi="Consolas"/>
          <w:sz w:val="17"/>
        </w:rPr>
        <w:t>.\.venv\Scripts\python.exe -c "from contractlab.data import load_table, normalize_dataset, validate_dataset; p='data/curated/cuad_local_classifier.csv'; d=normalize_dataset(load_table(p)); print(validate_dataset(d)); print(d.groupby('label').size().sort_values(ascending=False).head(10))"</w:t>
      </w:r>
    </w:p>
    <w:p>
      <w:r>
        <w:t xml:space="preserve">To train on this data manually, set </w:t>
      </w:r>
      <w:r>
        <w:rPr>
          <w:rFonts w:ascii="Consolas" w:hAnsi="Consolas"/>
          <w:color w:val="1F4D78"/>
          <w:sz w:val="18"/>
        </w:rPr>
        <w:t>dataset_path</w:t>
      </w:r>
      <w:r>
        <w:t xml:space="preserve"> in the configuration to:</w:t>
      </w:r>
    </w:p>
    <w:p>
      <w:pPr>
        <w:pStyle w:val="CodeBlock"/>
        <w:shd w:fill="F4F6F7"/>
        <w:pBdr>
          <w:left w:val="single" w:sz="18" w:space="8" w:color="C9D3DD"/>
        </w:pBdr>
      </w:pPr>
      <w:r>
        <w:rPr>
          <w:rFonts w:ascii="Consolas" w:hAnsi="Consolas"/>
          <w:sz w:val="17"/>
        </w:rPr>
        <w:t>data/curated/cuad_local_classifier.csv</w:t>
      </w:r>
    </w:p>
    <w:p>
      <w:r>
        <w:t xml:space="preserve">Keep </w:t>
      </w:r>
      <w:r>
        <w:rPr>
          <w:rFonts w:ascii="Consolas" w:hAnsi="Consolas"/>
          <w:color w:val="1F4D78"/>
          <w:sz w:val="18"/>
        </w:rPr>
        <w:t>data_license</w:t>
      </w:r>
      <w:r>
        <w:t xml:space="preserve"> as </w:t>
      </w:r>
      <w:r>
        <w:rPr>
          <w:rFonts w:ascii="Consolas" w:hAnsi="Consolas"/>
          <w:color w:val="1F4D78"/>
          <w:sz w:val="18"/>
        </w:rPr>
        <w:t>CC BY 4.0</w:t>
      </w:r>
      <w:r>
        <w:t xml:space="preserve"> and </w:t>
      </w:r>
      <w:r>
        <w:rPr>
          <w:rFonts w:ascii="Consolas" w:hAnsi="Consolas"/>
          <w:color w:val="1F4D78"/>
          <w:sz w:val="18"/>
        </w:rPr>
        <w:t>data_source</w:t>
      </w:r>
      <w:r>
        <w:t xml:space="preserve"> as </w:t>
      </w:r>
      <w:r>
        <w:rPr>
          <w:rFonts w:ascii="Consolas" w:hAnsi="Consolas"/>
          <w:color w:val="1F4D78"/>
          <w:sz w:val="18"/>
        </w:rPr>
        <w:t>The Atticus Project CUAD v1</w:t>
      </w:r>
      <w:r>
        <w:t>. Start with one epoch and W&amp;B disabled to confirm the pipeline before increasing cost. A 41-label real-text experiment is substantially slower than the 8-label synthetic lesson.</w:t>
      </w:r>
    </w:p>
    <w:p>
      <w:r>
        <w:br w:type="page"/>
      </w:r>
    </w:p>
    <w:p>
      <w:bookmarkStart w:id="169" w:name="guide_sec_070"/>
      <w:pPr>
        <w:pStyle w:val="Heading2"/>
      </w:pPr>
      <w:r>
        <w:t>10.4 Create a JSON training configuration</w:t>
      </w:r>
      <w:bookmarkEnd w:id="169"/>
    </w:p>
    <w:p>
      <w:r>
        <w:t xml:space="preserve">Create </w:t>
      </w:r>
      <w:r>
        <w:rPr>
          <w:rFonts w:ascii="Consolas" w:hAnsi="Consolas"/>
          <w:color w:val="1F4D78"/>
          <w:sz w:val="18"/>
        </w:rPr>
        <w:t>artifacts/configs/manual-first-run.json</w:t>
      </w:r>
      <w:r>
        <w:t xml:space="preserve"> with this content:</w:t>
      </w:r>
    </w:p>
    <w:p>
      <w:pPr>
        <w:pStyle w:val="CodeBlock"/>
        <w:shd w:fill="F4F6F7"/>
        <w:pBdr>
          <w:left w:val="single" w:sz="18" w:space="8" w:color="C9D3DD"/>
        </w:pBdr>
      </w:pPr>
      <w:r>
        <w:rPr>
          <w:rFonts w:ascii="Consolas" w:hAnsi="Consolas"/>
          <w:sz w:val="17"/>
        </w:rPr>
        <w:t>{</w:t>
      </w:r>
      <w:r>
        <w:br/>
      </w:r>
      <w:r>
        <w:rPr>
          <w:rFonts w:ascii="Consolas" w:hAnsi="Consolas"/>
          <w:sz w:val="17"/>
        </w:rPr>
        <w:t xml:space="preserve">  "run_name": "manual-distilbert-baseline",</w:t>
      </w:r>
      <w:r>
        <w:br/>
      </w:r>
      <w:r>
        <w:rPr>
          <w:rFonts w:ascii="Consolas" w:hAnsi="Consolas"/>
          <w:sz w:val="17"/>
        </w:rPr>
        <w:t xml:space="preserve">  "dataset_path": "data/imports/manual_synthetic.csv",</w:t>
      </w:r>
      <w:r>
        <w:br/>
      </w:r>
      <w:r>
        <w:rPr>
          <w:rFonts w:ascii="Consolas" w:hAnsi="Consolas"/>
          <w:sz w:val="17"/>
        </w:rPr>
        <w:t xml:space="preserve">  "output_dir": "",</w:t>
      </w:r>
      <w:r>
        <w:br/>
      </w:r>
      <w:r>
        <w:rPr>
          <w:rFonts w:ascii="Consolas" w:hAnsi="Consolas"/>
          <w:sz w:val="17"/>
        </w:rPr>
        <w:t xml:space="preserve">  "model_name": "distilbert/distilbert-base-uncased",</w:t>
      </w:r>
      <w:r>
        <w:br/>
      </w:r>
      <w:r>
        <w:rPr>
          <w:rFonts w:ascii="Consolas" w:hAnsi="Consolas"/>
          <w:sz w:val="17"/>
        </w:rPr>
        <w:t xml:space="preserve">  "epochs": 3,</w:t>
      </w:r>
      <w:r>
        <w:br/>
      </w:r>
      <w:r>
        <w:rPr>
          <w:rFonts w:ascii="Consolas" w:hAnsi="Consolas"/>
          <w:sz w:val="17"/>
        </w:rPr>
        <w:t xml:space="preserve">  "learning_rate": 0.00002,</w:t>
      </w:r>
      <w:r>
        <w:br/>
      </w:r>
      <w:r>
        <w:rPr>
          <w:rFonts w:ascii="Consolas" w:hAnsi="Consolas"/>
          <w:sz w:val="17"/>
        </w:rPr>
        <w:t xml:space="preserve">  "train_batch_size": 8,</w:t>
      </w:r>
      <w:r>
        <w:br/>
      </w:r>
      <w:r>
        <w:rPr>
          <w:rFonts w:ascii="Consolas" w:hAnsi="Consolas"/>
          <w:sz w:val="17"/>
        </w:rPr>
        <w:t xml:space="preserve">  "eval_batch_size": 16,</w:t>
      </w:r>
      <w:r>
        <w:br/>
      </w:r>
      <w:r>
        <w:rPr>
          <w:rFonts w:ascii="Consolas" w:hAnsi="Consolas"/>
          <w:sz w:val="17"/>
        </w:rPr>
        <w:t xml:space="preserve">  "gradient_accumulation_steps": 2,</w:t>
      </w:r>
      <w:r>
        <w:br/>
      </w:r>
      <w:r>
        <w:rPr>
          <w:rFonts w:ascii="Consolas" w:hAnsi="Consolas"/>
          <w:sz w:val="17"/>
        </w:rPr>
        <w:t xml:space="preserve">  "max_length": 256,</w:t>
      </w:r>
      <w:r>
        <w:br/>
      </w:r>
      <w:r>
        <w:rPr>
          <w:rFonts w:ascii="Consolas" w:hAnsi="Consolas"/>
          <w:sz w:val="17"/>
        </w:rPr>
        <w:t xml:space="preserve">  "weight_decay": 0.01,</w:t>
      </w:r>
      <w:r>
        <w:br/>
      </w:r>
      <w:r>
        <w:rPr>
          <w:rFonts w:ascii="Consolas" w:hAnsi="Consolas"/>
          <w:sz w:val="17"/>
        </w:rPr>
        <w:t xml:space="preserve">  "warmup_ratio": 0.1,</w:t>
      </w:r>
      <w:r>
        <w:br/>
      </w:r>
      <w:r>
        <w:rPr>
          <w:rFonts w:ascii="Consolas" w:hAnsi="Consolas"/>
          <w:sz w:val="17"/>
        </w:rPr>
        <w:t xml:space="preserve">  "max_grad_norm": 1.0,</w:t>
      </w:r>
      <w:r>
        <w:br/>
      </w:r>
      <w:r>
        <w:rPr>
          <w:rFonts w:ascii="Consolas" w:hAnsi="Consolas"/>
          <w:sz w:val="17"/>
        </w:rPr>
        <w:t xml:space="preserve">  "seed": 42,</w:t>
      </w:r>
      <w:r>
        <w:br/>
      </w:r>
      <w:r>
        <w:rPr>
          <w:rFonts w:ascii="Consolas" w:hAnsi="Consolas"/>
          <w:sz w:val="17"/>
        </w:rPr>
        <w:t xml:space="preserve">  "precision": "auto",</w:t>
      </w:r>
      <w:r>
        <w:br/>
      </w:r>
      <w:r>
        <w:rPr>
          <w:rFonts w:ascii="Consolas" w:hAnsi="Consolas"/>
          <w:sz w:val="17"/>
        </w:rPr>
        <w:t xml:space="preserve">  "freeze_encoder": false,</w:t>
      </w:r>
      <w:r>
        <w:br/>
      </w:r>
      <w:r>
        <w:rPr>
          <w:rFonts w:ascii="Consolas" w:hAnsi="Consolas"/>
          <w:sz w:val="17"/>
        </w:rPr>
        <w:t xml:space="preserve">  "wandb_mode": "disabled",</w:t>
      </w:r>
      <w:r>
        <w:br/>
      </w:r>
      <w:r>
        <w:rPr>
          <w:rFonts w:ascii="Consolas" w:hAnsi="Consolas"/>
          <w:sz w:val="17"/>
        </w:rPr>
        <w:t xml:space="preserve">  "wandb_project": "ai-enabled-contracts-lab",</w:t>
      </w:r>
      <w:r>
        <w:br/>
      </w:r>
      <w:r>
        <w:rPr>
          <w:rFonts w:ascii="Consolas" w:hAnsi="Consolas"/>
          <w:sz w:val="17"/>
        </w:rPr>
        <w:t xml:space="preserve">  "log_every": 10,</w:t>
      </w:r>
      <w:r>
        <w:br/>
      </w:r>
      <w:r>
        <w:rPr>
          <w:rFonts w:ascii="Consolas" w:hAnsi="Consolas"/>
          <w:sz w:val="17"/>
        </w:rPr>
        <w:t xml:space="preserve">  "data_license": "MIT",</w:t>
      </w:r>
      <w:r>
        <w:br/>
      </w:r>
      <w:r>
        <w:rPr>
          <w:rFonts w:ascii="Consolas" w:hAnsi="Consolas"/>
          <w:sz w:val="17"/>
        </w:rPr>
        <w:t xml:space="preserve">  "data_source": "AI-Enabled Contracts Lab original synthetic examples"</w:t>
      </w:r>
      <w:r>
        <w:br/>
      </w:r>
      <w:r>
        <w:rPr>
          <w:rFonts w:ascii="Consolas" w:hAnsi="Consolas"/>
          <w:sz w:val="17"/>
        </w:rPr>
        <w:t>}</w:t>
      </w:r>
    </w:p>
    <w:p>
      <w:r>
        <w:t>You can write the file from PowerShell:</w:t>
      </w:r>
    </w:p>
    <w:p>
      <w:pPr>
        <w:pStyle w:val="CodeBlock"/>
        <w:shd w:fill="F4F6F7"/>
        <w:pBdr>
          <w:left w:val="single" w:sz="18" w:space="8" w:color="C9D3DD"/>
        </w:pBdr>
      </w:pPr>
      <w:r>
        <w:rPr>
          <w:rFonts w:ascii="Consolas" w:hAnsi="Consolas"/>
          <w:sz w:val="17"/>
        </w:rPr>
        <w:t>New-Item -ItemType Directory -Force artifacts\configs | Out-Null</w:t>
      </w:r>
      <w:r>
        <w:br/>
      </w:r>
      <w:r>
        <w:rPr>
          <w:rFonts w:ascii="Consolas" w:hAnsi="Consolas"/>
          <w:sz w:val="17"/>
        </w:rPr>
        <w:t>@'</w:t>
      </w:r>
      <w:r>
        <w:br/>
      </w:r>
      <w:r>
        <w:rPr>
          <w:rFonts w:ascii="Consolas" w:hAnsi="Consolas"/>
          <w:sz w:val="17"/>
        </w:rPr>
        <w:t>{</w:t>
      </w:r>
      <w:r>
        <w:br/>
      </w:r>
      <w:r>
        <w:rPr>
          <w:rFonts w:ascii="Consolas" w:hAnsi="Consolas"/>
          <w:sz w:val="17"/>
        </w:rPr>
        <w:t xml:space="preserve">  "run_name": "manual-distilbert-baseline",</w:t>
      </w:r>
      <w:r>
        <w:br/>
      </w:r>
      <w:r>
        <w:rPr>
          <w:rFonts w:ascii="Consolas" w:hAnsi="Consolas"/>
          <w:sz w:val="17"/>
        </w:rPr>
        <w:t xml:space="preserve">  "dataset_path": "data/imports/manual_synthetic.csv",</w:t>
      </w:r>
      <w:r>
        <w:br/>
      </w:r>
      <w:r>
        <w:rPr>
          <w:rFonts w:ascii="Consolas" w:hAnsi="Consolas"/>
          <w:sz w:val="17"/>
        </w:rPr>
        <w:t xml:space="preserve">  "output_dir": "",</w:t>
      </w:r>
      <w:r>
        <w:br/>
      </w:r>
      <w:r>
        <w:rPr>
          <w:rFonts w:ascii="Consolas" w:hAnsi="Consolas"/>
          <w:sz w:val="17"/>
        </w:rPr>
        <w:t xml:space="preserve">  "model_name": "distilbert/distilbert-base-uncased",</w:t>
      </w:r>
      <w:r>
        <w:br/>
      </w:r>
      <w:r>
        <w:rPr>
          <w:rFonts w:ascii="Consolas" w:hAnsi="Consolas"/>
          <w:sz w:val="17"/>
        </w:rPr>
        <w:t xml:space="preserve">  "epochs": 3,</w:t>
      </w:r>
      <w:r>
        <w:br/>
      </w:r>
      <w:r>
        <w:rPr>
          <w:rFonts w:ascii="Consolas" w:hAnsi="Consolas"/>
          <w:sz w:val="17"/>
        </w:rPr>
        <w:t xml:space="preserve">  "learning_rate": 0.00002,</w:t>
      </w:r>
      <w:r>
        <w:br/>
      </w:r>
      <w:r>
        <w:rPr>
          <w:rFonts w:ascii="Consolas" w:hAnsi="Consolas"/>
          <w:sz w:val="17"/>
        </w:rPr>
        <w:t xml:space="preserve">  "train_batch_size": 8,</w:t>
      </w:r>
      <w:r>
        <w:br/>
      </w:r>
      <w:r>
        <w:rPr>
          <w:rFonts w:ascii="Consolas" w:hAnsi="Consolas"/>
          <w:sz w:val="17"/>
        </w:rPr>
        <w:t xml:space="preserve">  "eval_batch_size": 16,</w:t>
      </w:r>
      <w:r>
        <w:br/>
      </w:r>
      <w:r>
        <w:rPr>
          <w:rFonts w:ascii="Consolas" w:hAnsi="Consolas"/>
          <w:sz w:val="17"/>
        </w:rPr>
        <w:t xml:space="preserve">  "gradient_accumulation_steps": 2,</w:t>
      </w:r>
      <w:r>
        <w:br/>
      </w:r>
      <w:r>
        <w:rPr>
          <w:rFonts w:ascii="Consolas" w:hAnsi="Consolas"/>
          <w:sz w:val="17"/>
        </w:rPr>
        <w:t xml:space="preserve">  "max_length": 256,</w:t>
      </w:r>
      <w:r>
        <w:br/>
      </w:r>
      <w:r>
        <w:rPr>
          <w:rFonts w:ascii="Consolas" w:hAnsi="Consolas"/>
          <w:sz w:val="17"/>
        </w:rPr>
        <w:t xml:space="preserve">  "weight_decay": 0.01,</w:t>
      </w:r>
      <w:r>
        <w:br/>
      </w:r>
      <w:r>
        <w:rPr>
          <w:rFonts w:ascii="Consolas" w:hAnsi="Consolas"/>
          <w:sz w:val="17"/>
        </w:rPr>
        <w:t xml:space="preserve">  "warmup_ratio": 0.1,</w:t>
      </w:r>
      <w:r>
        <w:br/>
      </w:r>
      <w:r>
        <w:rPr>
          <w:rFonts w:ascii="Consolas" w:hAnsi="Consolas"/>
          <w:sz w:val="17"/>
        </w:rPr>
        <w:t xml:space="preserve">  "max_grad_norm": 1.0,</w:t>
      </w:r>
      <w:r>
        <w:br/>
      </w:r>
      <w:r>
        <w:rPr>
          <w:rFonts w:ascii="Consolas" w:hAnsi="Consolas"/>
          <w:sz w:val="17"/>
        </w:rPr>
        <w:t xml:space="preserve">  "seed": 42,</w:t>
      </w:r>
      <w:r>
        <w:br/>
      </w:r>
      <w:r>
        <w:rPr>
          <w:rFonts w:ascii="Consolas" w:hAnsi="Consolas"/>
          <w:sz w:val="17"/>
        </w:rPr>
        <w:t xml:space="preserve">  "precision": "auto",</w:t>
      </w:r>
      <w:r>
        <w:br/>
      </w:r>
      <w:r>
        <w:rPr>
          <w:rFonts w:ascii="Consolas" w:hAnsi="Consolas"/>
          <w:sz w:val="17"/>
        </w:rPr>
        <w:t xml:space="preserve">  "freeze_encoder": false,</w:t>
      </w:r>
      <w:r>
        <w:br/>
      </w:r>
      <w:r>
        <w:rPr>
          <w:rFonts w:ascii="Consolas" w:hAnsi="Consolas"/>
          <w:sz w:val="17"/>
        </w:rPr>
        <w:t xml:space="preserve">  "wandb_mode": "disabled",</w:t>
      </w:r>
      <w:r>
        <w:br/>
      </w:r>
      <w:r>
        <w:rPr>
          <w:rFonts w:ascii="Consolas" w:hAnsi="Consolas"/>
          <w:sz w:val="17"/>
        </w:rPr>
        <w:t xml:space="preserve">  "wandb_project": "ai-enabled-contracts-lab",</w:t>
      </w:r>
      <w:r>
        <w:br/>
      </w:r>
      <w:r>
        <w:rPr>
          <w:rFonts w:ascii="Consolas" w:hAnsi="Consolas"/>
          <w:sz w:val="17"/>
        </w:rPr>
        <w:t xml:space="preserve">  "log_every": 10,</w:t>
      </w:r>
      <w:r>
        <w:br/>
      </w:r>
      <w:r>
        <w:rPr>
          <w:rFonts w:ascii="Consolas" w:hAnsi="Consolas"/>
          <w:sz w:val="17"/>
        </w:rPr>
        <w:t xml:space="preserve">  "data_license": "MIT",</w:t>
      </w:r>
      <w:r>
        <w:br/>
      </w:r>
      <w:r>
        <w:rPr>
          <w:rFonts w:ascii="Consolas" w:hAnsi="Consolas"/>
          <w:sz w:val="17"/>
        </w:rPr>
        <w:t xml:space="preserve">  "data_source": "AI-Enabled Contracts Lab original synthetic examples"</w:t>
      </w:r>
      <w:r>
        <w:br/>
      </w:r>
      <w:r>
        <w:rPr>
          <w:rFonts w:ascii="Consolas" w:hAnsi="Consolas"/>
          <w:sz w:val="17"/>
        </w:rPr>
        <w:t>}</w:t>
      </w:r>
      <w:r>
        <w:br/>
      </w:r>
      <w:r>
        <w:rPr>
          <w:rFonts w:ascii="Consolas" w:hAnsi="Consolas"/>
          <w:sz w:val="17"/>
        </w:rPr>
        <w:t>'@ | Set-Content -Encoding utf8 artifacts\configs\manual-first-run.json</w:t>
      </w:r>
    </w:p>
    <w:p>
      <w:bookmarkStart w:id="170" w:name="guide_sec_071"/>
      <w:pPr>
        <w:pStyle w:val="Heading2"/>
      </w:pPr>
      <w:r>
        <w:t>10.5 Run training in the foreground</w:t>
      </w:r>
      <w:bookmarkEnd w:id="170"/>
    </w:p>
    <w:p>
      <w:pPr>
        <w:pStyle w:val="CodeBlock"/>
        <w:shd w:fill="F4F6F7"/>
        <w:pBdr>
          <w:left w:val="single" w:sz="18" w:space="8" w:color="C9D3DD"/>
        </w:pBdr>
      </w:pPr>
      <w:r>
        <w:rPr>
          <w:rFonts w:ascii="Consolas" w:hAnsi="Consolas"/>
          <w:sz w:val="17"/>
        </w:rPr>
        <w:t>uv run --extra cu129 contractlab train --config artifacts/configs/manual-first-run.json</w:t>
      </w:r>
    </w:p>
    <w:p>
      <w:r>
        <w:t>The terminal displays progress and final test metrics. The command stays attached to the training process, unlike the UI background launcher. Keep the computer awake and do not close the terminal.</w:t>
      </w:r>
    </w:p>
    <w:p>
      <w:bookmarkStart w:id="171" w:name="guide_sec_072"/>
      <w:pPr>
        <w:pStyle w:val="Heading2"/>
      </w:pPr>
      <w:r>
        <w:t>10.6 Find and inspect the run</w:t>
      </w:r>
      <w:bookmarkEnd w:id="171"/>
    </w:p>
    <w:p>
      <w:pPr>
        <w:pStyle w:val="CodeBlock"/>
        <w:shd w:fill="F4F6F7"/>
        <w:pBdr>
          <w:left w:val="single" w:sz="18" w:space="8" w:color="C9D3DD"/>
        </w:pBdr>
      </w:pPr>
      <w:r>
        <w:rPr>
          <w:rFonts w:ascii="Consolas" w:hAnsi="Consolas"/>
          <w:sz w:val="17"/>
        </w:rPr>
        <w:t>Get-ChildItem artifacts\runs -Directory | Sort-Object LastWriteTime -Descending | Select-Object -First 5</w:t>
      </w:r>
    </w:p>
    <w:p>
      <w:r>
        <w:t xml:space="preserve">Replace </w:t>
      </w:r>
      <w:r>
        <w:rPr>
          <w:rFonts w:ascii="Consolas" w:hAnsi="Consolas"/>
          <w:color w:val="1F4D78"/>
          <w:sz w:val="18"/>
        </w:rPr>
        <w:t>RUN_DIRECTORY</w:t>
      </w:r>
      <w:r>
        <w:t xml:space="preserve"> below with the newest directory name:</w:t>
      </w:r>
    </w:p>
    <w:p>
      <w:pPr>
        <w:pStyle w:val="CodeBlock"/>
        <w:shd w:fill="F4F6F7"/>
        <w:pBdr>
          <w:left w:val="single" w:sz="18" w:space="8" w:color="C9D3DD"/>
        </w:pBdr>
      </w:pPr>
      <w:r>
        <w:rPr>
          <w:rFonts w:ascii="Consolas" w:hAnsi="Consolas"/>
          <w:sz w:val="17"/>
        </w:rPr>
        <w:t>Get-Content artifacts\runs\RUN_DIRECTORY\status.json</w:t>
      </w:r>
      <w:r>
        <w:br/>
      </w:r>
      <w:r>
        <w:rPr>
          <w:rFonts w:ascii="Consolas" w:hAnsi="Consolas"/>
          <w:sz w:val="17"/>
        </w:rPr>
        <w:t>Get-Content artifacts\runs\RUN_DIRECTORY\summary.json</w:t>
      </w:r>
      <w:r>
        <w:br/>
      </w:r>
      <w:r>
        <w:rPr>
          <w:rFonts w:ascii="Consolas" w:hAnsi="Consolas"/>
          <w:sz w:val="17"/>
        </w:rPr>
        <w:t>Import-Csv artifacts\runs\RUN_DIRECTORY\test_predictions.csv | Select-Object -First 10</w:t>
      </w:r>
    </w:p>
    <w:p>
      <w:r>
        <w:t>You can then start Streamlit and use Evaluate or Assistant to open that run.</w:t>
      </w:r>
    </w:p>
    <w:p>
      <w:bookmarkStart w:id="172" w:name="guide_sec_073"/>
      <w:pPr>
        <w:pStyle w:val="Heading2"/>
      </w:pPr>
      <w:r>
        <w:t>10.7 Export and run a notebook</w:t>
      </w:r>
      <w:bookmarkEnd w:id="172"/>
    </w:p>
    <w:p>
      <w:pPr>
        <w:pStyle w:val="CodeBlock"/>
        <w:shd w:fill="F4F6F7"/>
        <w:pBdr>
          <w:left w:val="single" w:sz="18" w:space="8" w:color="C9D3DD"/>
        </w:pBdr>
      </w:pPr>
      <w:r>
        <w:rPr>
          <w:rFonts w:ascii="Consolas" w:hAnsi="Consolas"/>
          <w:sz w:val="17"/>
        </w:rPr>
        <w:t>uv run --extra cu129 contractlab export-notebook --config artifacts/configs/manual-first-run.json --output artifacts/exports/manual-first-run.ipynb</w:t>
      </w:r>
    </w:p>
    <w:p>
      <w:r>
        <w:t>Launch JupyterLab without permanently adding it to project dependencies:</w:t>
      </w:r>
    </w:p>
    <w:p>
      <w:pPr>
        <w:pStyle w:val="CodeBlock"/>
        <w:shd w:fill="F4F6F7"/>
        <w:pBdr>
          <w:left w:val="single" w:sz="18" w:space="8" w:color="C9D3DD"/>
        </w:pBdr>
      </w:pPr>
      <w:r>
        <w:rPr>
          <w:rFonts w:ascii="Consolas" w:hAnsi="Consolas"/>
          <w:sz w:val="17"/>
        </w:rPr>
        <w:t>uv run --extra cu129 --with jupyterlab jupyter lab</w:t>
      </w:r>
    </w:p>
    <w:p>
      <w:r>
        <w:t xml:space="preserve">Open the exported notebook, read each Markdown explanation, and execute one cell at a time. Confirm that the notebook server started from the repository root so relative paths resolve correctly. Shut it down with </w:t>
      </w:r>
      <w:r>
        <w:rPr>
          <w:rFonts w:ascii="Consolas" w:hAnsi="Consolas"/>
          <w:color w:val="1F4D78"/>
          <w:sz w:val="18"/>
        </w:rPr>
        <w:t>Ctrl+C</w:t>
      </w:r>
      <w:r>
        <w:t xml:space="preserve"> in its terminal.</w:t>
      </w:r>
    </w:p>
    <w:p>
      <w:bookmarkStart w:id="173" w:name="guide_sec_074"/>
      <w:pPr>
        <w:pStyle w:val="Heading2"/>
      </w:pPr>
      <w:r>
        <w:t>10.8 Export a standalone script</w:t>
      </w:r>
      <w:bookmarkEnd w:id="173"/>
    </w:p>
    <w:p>
      <w:r>
        <w:t xml:space="preserve">Code lab can generate a configured Python script. Save it under </w:t>
      </w:r>
      <w:r>
        <w:rPr>
          <w:rFonts w:ascii="Consolas" w:hAnsi="Consolas"/>
          <w:color w:val="1F4D78"/>
          <w:sz w:val="18"/>
        </w:rPr>
        <w:t>artifacts/exports/</w:t>
      </w:r>
      <w:r>
        <w:t xml:space="preserve"> and run:</w:t>
      </w:r>
    </w:p>
    <w:p>
      <w:pPr>
        <w:pStyle w:val="CodeBlock"/>
        <w:shd w:fill="F4F6F7"/>
        <w:pBdr>
          <w:left w:val="single" w:sz="18" w:space="8" w:color="C9D3DD"/>
        </w:pBdr>
      </w:pPr>
      <w:r>
        <w:rPr>
          <w:rFonts w:ascii="Consolas" w:hAnsi="Consolas"/>
          <w:sz w:val="17"/>
        </w:rPr>
        <w:t>uv run --extra cu129 python artifacts/exports/YOUR_SCRIPT.py</w:t>
      </w:r>
    </w:p>
    <w:p>
      <w:r>
        <w:t>Read the script first. Generated code captures current settings but remains your responsibility to validate, especially paths, data provenance, and W&amp;B mode.</w:t>
      </w:r>
    </w:p>
    <w:p>
      <w:bookmarkStart w:id="174" w:name="guide_sec_075"/>
      <w:pPr>
        <w:pStyle w:val="Heading2"/>
      </w:pPr>
      <w:r>
        <w:t>10.9 Run the core function directly</w:t>
      </w:r>
      <w:bookmarkEnd w:id="174"/>
    </w:p>
    <w:p>
      <w:r>
        <w:t>The CLI is intentionally thin. This Python example shows the underlying call:</w:t>
      </w:r>
    </w:p>
    <w:p>
      <w:pPr>
        <w:pStyle w:val="CodeBlock"/>
        <w:shd w:fill="F4F6F7"/>
        <w:pBdr>
          <w:left w:val="single" w:sz="18" w:space="8" w:color="C9D3DD"/>
        </w:pBdr>
      </w:pPr>
      <w:r>
        <w:rPr>
          <w:rFonts w:ascii="Consolas" w:hAnsi="Consolas"/>
          <w:sz w:val="17"/>
        </w:rPr>
        <w:t>from contractlab.config import TrainingConfig</w:t>
      </w:r>
      <w:r>
        <w:br/>
      </w:r>
      <w:r>
        <w:rPr>
          <w:rFonts w:ascii="Consolas" w:hAnsi="Consolas"/>
          <w:sz w:val="17"/>
        </w:rPr>
        <w:t>from contractlab.training import run_training</w:t>
      </w:r>
      <w:r>
        <w:br/>
      </w:r>
      <w:r>
        <w:rPr>
          <w:rFonts w:ascii="Consolas" w:hAnsi="Consolas"/>
          <w:sz w:val="17"/>
        </w:rPr>
        <w:t xml:space="preserve"> </w:t>
      </w:r>
      <w:r>
        <w:br/>
      </w:r>
      <w:r>
        <w:rPr>
          <w:rFonts w:ascii="Consolas" w:hAnsi="Consolas"/>
          <w:sz w:val="17"/>
        </w:rPr>
        <w:t>config = TrainingConfig.load("artifacts/configs/manual-first-run.json")</w:t>
      </w:r>
      <w:r>
        <w:br/>
      </w:r>
      <w:r>
        <w:rPr>
          <w:rFonts w:ascii="Consolas" w:hAnsi="Consolas"/>
          <w:sz w:val="17"/>
        </w:rPr>
        <w:t>errors = config.validate()</w:t>
      </w:r>
      <w:r>
        <w:br/>
      </w:r>
      <w:r>
        <w:rPr>
          <w:rFonts w:ascii="Consolas" w:hAnsi="Consolas"/>
          <w:sz w:val="17"/>
        </w:rPr>
        <w:t>if errors:</w:t>
      </w:r>
      <w:r>
        <w:br/>
      </w:r>
      <w:r>
        <w:rPr>
          <w:rFonts w:ascii="Consolas" w:hAnsi="Consolas"/>
          <w:sz w:val="17"/>
        </w:rPr>
        <w:t xml:space="preserve">    raise ValueError(errors)</w:t>
      </w:r>
      <w:r>
        <w:br/>
      </w:r>
      <w:r>
        <w:rPr>
          <w:rFonts w:ascii="Consolas" w:hAnsi="Consolas"/>
          <w:sz w:val="17"/>
        </w:rPr>
        <w:t xml:space="preserve"> </w:t>
      </w:r>
      <w:r>
        <w:br/>
      </w:r>
      <w:r>
        <w:rPr>
          <w:rFonts w:ascii="Consolas" w:hAnsi="Consolas"/>
          <w:sz w:val="17"/>
        </w:rPr>
        <w:t>result = run_training(config)</w:t>
      </w:r>
      <w:r>
        <w:br/>
      </w:r>
      <w:r>
        <w:rPr>
          <w:rFonts w:ascii="Consolas" w:hAnsi="Consolas"/>
          <w:sz w:val="17"/>
        </w:rPr>
        <w:t>print(result["test_metrics"])</w:t>
      </w:r>
    </w:p>
    <w:p>
      <w:r>
        <w:t xml:space="preserve">Save it as a local file under </w:t>
      </w:r>
      <w:r>
        <w:rPr>
          <w:rFonts w:ascii="Consolas" w:hAnsi="Consolas"/>
          <w:color w:val="1F4D78"/>
          <w:sz w:val="18"/>
        </w:rPr>
        <w:t>artifacts/exports/</w:t>
      </w:r>
      <w:r>
        <w:t xml:space="preserve"> or execute equivalent cells in Jupyter.</w:t>
      </w:r>
    </w:p>
    <w:p>
      <w:bookmarkStart w:id="175" w:name="guide_sec_076"/>
      <w:pPr>
        <w:pStyle w:val="Heading2"/>
      </w:pPr>
      <w:r>
        <w:t>10.10 Run tests, lint, and package build</w:t>
      </w:r>
      <w:bookmarkEnd w:id="175"/>
    </w:p>
    <w:p>
      <w:r>
        <w:t>CUDA development machine:</w:t>
      </w:r>
    </w:p>
    <w:p>
      <w:pPr>
        <w:pStyle w:val="CodeBlock"/>
        <w:shd w:fill="F4F6F7"/>
        <w:pBdr>
          <w:left w:val="single" w:sz="18" w:space="8" w:color="C9D3DD"/>
        </w:pBdr>
      </w:pPr>
      <w:r>
        <w:rPr>
          <w:rFonts w:ascii="Consolas" w:hAnsi="Consolas"/>
          <w:sz w:val="17"/>
        </w:rPr>
        <w:t>uv run --extra cu129 ruff check .</w:t>
      </w:r>
      <w:r>
        <w:br/>
      </w:r>
      <w:r>
        <w:rPr>
          <w:rFonts w:ascii="Consolas" w:hAnsi="Consolas"/>
          <w:sz w:val="17"/>
        </w:rPr>
        <w:t>uv run --extra cu129 pytest</w:t>
      </w:r>
      <w:r>
        <w:br/>
      </w:r>
      <w:r>
        <w:rPr>
          <w:rFonts w:ascii="Consolas" w:hAnsi="Consolas"/>
          <w:sz w:val="17"/>
        </w:rPr>
        <w:t>uv build</w:t>
      </w:r>
    </w:p>
    <w:p>
      <w:r>
        <w:t>CPU contributor machine:</w:t>
      </w:r>
    </w:p>
    <w:p>
      <w:pPr>
        <w:pStyle w:val="CodeBlock"/>
        <w:shd w:fill="F4F6F7"/>
        <w:pBdr>
          <w:left w:val="single" w:sz="18" w:space="8" w:color="C9D3DD"/>
        </w:pBdr>
      </w:pPr>
      <w:r>
        <w:rPr>
          <w:rFonts w:ascii="Consolas" w:hAnsi="Consolas"/>
          <w:sz w:val="17"/>
        </w:rPr>
        <w:t>uv run --extra cpu ruff check .</w:t>
      </w:r>
      <w:r>
        <w:br/>
      </w:r>
      <w:r>
        <w:rPr>
          <w:rFonts w:ascii="Consolas" w:hAnsi="Consolas"/>
          <w:sz w:val="17"/>
        </w:rPr>
        <w:t>uv run --extra cpu pytest</w:t>
      </w:r>
      <w:r>
        <w:br/>
      </w:r>
      <w:r>
        <w:rPr>
          <w:rFonts w:ascii="Consolas" w:hAnsi="Consolas"/>
          <w:sz w:val="17"/>
        </w:rPr>
        <w:t>uv build</w:t>
      </w:r>
    </w:p>
    <w:p>
      <w:r>
        <w:t xml:space="preserve">The build command creates a wheel and source distribution under </w:t>
      </w:r>
      <w:r>
        <w:rPr>
          <w:rFonts w:ascii="Consolas" w:hAnsi="Consolas"/>
          <w:color w:val="1F4D78"/>
          <w:sz w:val="18"/>
        </w:rPr>
        <w:t>dist/</w:t>
      </w:r>
      <w:r>
        <w:t>. Those outputs are ignored and should be inspected before any publication.</w:t>
      </w:r>
    </w:p>
    <w:p>
      <w:bookmarkStart w:id="176" w:name="guide_sec_077"/>
      <w:pPr>
        <w:pStyle w:val="Heading1"/>
      </w:pPr>
      <w:r>
        <w:t>11. Code walkthrough</w:t>
      </w:r>
      <w:bookmarkEnd w:id="176"/>
    </w:p>
    <w:p>
      <w:bookmarkStart w:id="177" w:name="guide_sec_078"/>
      <w:pPr>
        <w:pStyle w:val="Heading2"/>
      </w:pPr>
      <w:r>
        <w:t>11.1 Application entry point</w:t>
      </w:r>
      <w:bookmarkEnd w:id="177"/>
    </w:p>
    <w:p>
      <w:r>
        <w:rPr>
          <w:rFonts w:ascii="Consolas" w:hAnsi="Consolas"/>
          <w:color w:val="1F4D78"/>
          <w:sz w:val="18"/>
        </w:rPr>
        <w:t>streamlit_app.py</w:t>
      </w:r>
      <w:r>
        <w:t xml:space="preserve"> configures the Streamlit application and dispatches to the page modules under </w:t>
      </w:r>
      <w:r>
        <w:rPr>
          <w:rFonts w:ascii="Consolas" w:hAnsi="Consolas"/>
          <w:color w:val="1F4D78"/>
          <w:sz w:val="18"/>
        </w:rPr>
        <w:t>app_pages/</w:t>
      </w:r>
      <w:r>
        <w:t xml:space="preserve">. UI-specific state and presentation should stay in those page modules or </w:t>
      </w:r>
      <w:r>
        <w:rPr>
          <w:rFonts w:ascii="Consolas" w:hAnsi="Consolas"/>
          <w:color w:val="1F4D78"/>
          <w:sz w:val="18"/>
        </w:rPr>
        <w:t>contractlab/ui.py</w:t>
      </w:r>
      <w:r>
        <w:t>.</w:t>
      </w:r>
    </w:p>
    <w:p>
      <w:bookmarkStart w:id="178" w:name="guide_sec_079"/>
      <w:pPr>
        <w:pStyle w:val="Heading2"/>
      </w:pPr>
      <w:r>
        <w:t>11.2 Configuration</w:t>
      </w:r>
      <w:bookmarkEnd w:id="178"/>
    </w:p>
    <w:p>
      <w:r>
        <w:rPr>
          <w:rFonts w:ascii="Consolas" w:hAnsi="Consolas"/>
          <w:color w:val="1F4D78"/>
          <w:sz w:val="18"/>
        </w:rPr>
        <w:t>contractlab/config.py</w:t>
      </w:r>
      <w:r>
        <w:t xml:space="preserve"> defines the </w:t>
      </w:r>
      <w:r>
        <w:rPr>
          <w:rFonts w:ascii="Consolas" w:hAnsi="Consolas"/>
          <w:color w:val="1F4D78"/>
          <w:sz w:val="18"/>
        </w:rPr>
        <w:t>TrainingConfig</w:t>
      </w:r>
      <w:r>
        <w:t xml:space="preserve"> dataclass. Its </w:t>
      </w:r>
      <w:r>
        <w:rPr>
          <w:rFonts w:ascii="Consolas" w:hAnsi="Consolas"/>
          <w:color w:val="1F4D78"/>
          <w:sz w:val="18"/>
        </w:rPr>
        <w:t>validate()</w:t>
      </w:r>
      <w:r>
        <w:t xml:space="preserve"> method catches invalid epochs, batch sizes, precision modes, sequence lengths, and W&amp;B modes before training. Its </w:t>
      </w:r>
      <w:r>
        <w:rPr>
          <w:rFonts w:ascii="Consolas" w:hAnsi="Consolas"/>
          <w:color w:val="1F4D78"/>
          <w:sz w:val="18"/>
        </w:rPr>
        <w:t>save()</w:t>
      </w:r>
      <w:r>
        <w:t xml:space="preserve"> and </w:t>
      </w:r>
      <w:r>
        <w:rPr>
          <w:rFonts w:ascii="Consolas" w:hAnsi="Consolas"/>
          <w:color w:val="1F4D78"/>
          <w:sz w:val="18"/>
        </w:rPr>
        <w:t>load()</w:t>
      </w:r>
      <w:r>
        <w:t xml:space="preserve"> methods make experiments reproducible as JSON.</w:t>
      </w:r>
    </w:p>
    <w:p>
      <w:bookmarkStart w:id="179" w:name="guide_sec_080"/>
      <w:pPr>
        <w:pStyle w:val="Heading2"/>
      </w:pPr>
      <w:r>
        <w:t>11.3 Data pipeline</w:t>
      </w:r>
      <w:bookmarkEnd w:id="179"/>
    </w:p>
    <w:p>
      <w:r>
        <w:rPr>
          <w:rFonts w:ascii="Consolas" w:hAnsi="Consolas"/>
          <w:color w:val="1F4D78"/>
          <w:sz w:val="18"/>
        </w:rPr>
        <w:t>contractlab/data.py</w:t>
      </w:r>
      <w:r>
        <w:t xml:space="preserve"> contains:</w:t>
      </w:r>
    </w:p>
    <w:p>
      <w:pPr>
        <w:pStyle w:val="ListBullet"/>
      </w:pPr>
      <w:r>
        <w:t>the original synthetic generator;</w:t>
      </w:r>
    </w:p>
    <w:p>
      <w:pPr>
        <w:pStyle w:val="ListBullet"/>
      </w:pPr>
      <w:r>
        <w:t>CSV/JSON/JSONL loading;</w:t>
      </w:r>
    </w:p>
    <w:p>
      <w:pPr>
        <w:pStyle w:val="ListBullet"/>
      </w:pPr>
      <w:r>
        <w:t>schema normalization and validation;</w:t>
      </w:r>
    </w:p>
    <w:p>
      <w:pPr>
        <w:pStyle w:val="ListBullet"/>
      </w:pPr>
      <w:r>
        <w:t xml:space="preserve">grouped splitting by </w:t>
      </w:r>
      <w:r>
        <w:rPr>
          <w:rFonts w:ascii="Consolas" w:hAnsi="Consolas"/>
          <w:color w:val="1F4D78"/>
          <w:sz w:val="18"/>
        </w:rPr>
        <w:t>contract_id</w:t>
      </w:r>
      <w:r>
        <w:t>;</w:t>
      </w:r>
    </w:p>
    <w:p>
      <w:pPr>
        <w:pStyle w:val="ListBullet"/>
      </w:pPr>
      <w:r>
        <w:t>split persistence; and</w:t>
      </w:r>
    </w:p>
    <w:p>
      <w:pPr>
        <w:pStyle w:val="ListBullet"/>
      </w:pPr>
      <w:r>
        <w:t>the optional CUAD converter.</w:t>
      </w:r>
    </w:p>
    <w:p>
      <w:r>
        <w:t>The most important invariant is that one contract ID never crosses partitions.</w:t>
      </w:r>
    </w:p>
    <w:p>
      <w:bookmarkStart w:id="180" w:name="guide_sec_081"/>
      <w:pPr>
        <w:pStyle w:val="Heading2"/>
      </w:pPr>
      <w:r>
        <w:t>11.4 Model and device selection</w:t>
      </w:r>
      <w:bookmarkEnd w:id="180"/>
    </w:p>
    <w:p>
      <w:r>
        <w:rPr>
          <w:rFonts w:ascii="Consolas" w:hAnsi="Consolas"/>
          <w:color w:val="1F4D78"/>
          <w:sz w:val="18"/>
        </w:rPr>
        <w:t>contractlab/modeling.py</w:t>
      </w:r>
      <w:r>
        <w:t xml:space="preserve"> holds model presets, device reporting, and memory estimates. The trainer uses Hugging Face </w:t>
      </w:r>
      <w:r>
        <w:rPr>
          <w:rFonts w:ascii="Consolas" w:hAnsi="Consolas"/>
          <w:color w:val="1F4D78"/>
          <w:sz w:val="18"/>
        </w:rPr>
        <w:t>AutoTokenizer</w:t>
      </w:r>
      <w:r>
        <w:t xml:space="preserve"> and </w:t>
      </w:r>
      <w:r>
        <w:rPr>
          <w:rFonts w:ascii="Consolas" w:hAnsi="Consolas"/>
          <w:color w:val="1F4D78"/>
          <w:sz w:val="18"/>
        </w:rPr>
        <w:t>AutoModelForSequenceClassification</w:t>
      </w:r>
      <w:r>
        <w:t>, which allows compatible encoder models to be selected by model ID.</w:t>
      </w:r>
    </w:p>
    <w:p>
      <w:bookmarkStart w:id="181" w:name="guide_sec_082"/>
      <w:pPr>
        <w:pStyle w:val="Heading2"/>
      </w:pPr>
      <w:r>
        <w:t>11.5 Handwritten PyTorch training loop</w:t>
      </w:r>
      <w:bookmarkEnd w:id="181"/>
    </w:p>
    <w:p>
      <w:r>
        <w:rPr>
          <w:rFonts w:ascii="Consolas" w:hAnsi="Consolas"/>
          <w:color w:val="1F4D78"/>
          <w:sz w:val="18"/>
        </w:rPr>
        <w:t>contractlab/training.py</w:t>
      </w:r>
      <w:r>
        <w:t xml:space="preserve"> is the central learning file. In conceptual form:</w:t>
      </w:r>
    </w:p>
    <w:p>
      <w:pPr>
        <w:pStyle w:val="CodeBlock"/>
        <w:shd w:fill="F4F6F7"/>
        <w:pBdr>
          <w:left w:val="single" w:sz="18" w:space="8" w:color="C9D3DD"/>
        </w:pBdr>
      </w:pPr>
      <w:r>
        <w:rPr>
          <w:rFonts w:ascii="Consolas" w:hAnsi="Consolas"/>
          <w:sz w:val="17"/>
        </w:rPr>
        <w:t>for epoch in range(config.epochs):</w:t>
      </w:r>
      <w:r>
        <w:br/>
      </w:r>
      <w:r>
        <w:rPr>
          <w:rFonts w:ascii="Consolas" w:hAnsi="Consolas"/>
          <w:sz w:val="17"/>
        </w:rPr>
        <w:t xml:space="preserve">    model.train()</w:t>
      </w:r>
      <w:r>
        <w:br/>
      </w:r>
      <w:r>
        <w:rPr>
          <w:rFonts w:ascii="Consolas" w:hAnsi="Consolas"/>
          <w:sz w:val="17"/>
        </w:rPr>
        <w:t xml:space="preserve">    optimizer.zero_grad(set_to_none=True)</w:t>
      </w:r>
      <w:r>
        <w:br/>
      </w:r>
      <w:r>
        <w:rPr>
          <w:rFonts w:ascii="Consolas" w:hAnsi="Consolas"/>
          <w:sz w:val="17"/>
        </w:rPr>
        <w:t xml:space="preserve"> </w:t>
      </w:r>
      <w:r>
        <w:br/>
      </w:r>
      <w:r>
        <w:rPr>
          <w:rFonts w:ascii="Consolas" w:hAnsi="Consolas"/>
          <w:sz w:val="17"/>
        </w:rPr>
        <w:t xml:space="preserve">    for step, batch in enumerate(train_loader, start=1):</w:t>
      </w:r>
      <w:r>
        <w:br/>
      </w:r>
      <w:r>
        <w:rPr>
          <w:rFonts w:ascii="Consolas" w:hAnsi="Consolas"/>
          <w:sz w:val="17"/>
        </w:rPr>
        <w:t xml:space="preserve">        batch = {name: tensor.to(device) for name, tensor in batch.items()}</w:t>
      </w:r>
      <w:r>
        <w:br/>
      </w:r>
      <w:r>
        <w:rPr>
          <w:rFonts w:ascii="Consolas" w:hAnsi="Consolas"/>
          <w:sz w:val="17"/>
        </w:rPr>
        <w:t xml:space="preserve">        with autocast_context:</w:t>
      </w:r>
      <w:r>
        <w:br/>
      </w:r>
      <w:r>
        <w:rPr>
          <w:rFonts w:ascii="Consolas" w:hAnsi="Consolas"/>
          <w:sz w:val="17"/>
        </w:rPr>
        <w:t xml:space="preserve">            outputs = model(**batch)</w:t>
      </w:r>
      <w:r>
        <w:br/>
      </w:r>
      <w:r>
        <w:rPr>
          <w:rFonts w:ascii="Consolas" w:hAnsi="Consolas"/>
          <w:sz w:val="17"/>
        </w:rPr>
        <w:t xml:space="preserve">            loss = outputs.loss / config.gradient_accumulation_steps</w:t>
      </w:r>
      <w:r>
        <w:br/>
      </w:r>
      <w:r>
        <w:rPr>
          <w:rFonts w:ascii="Consolas" w:hAnsi="Consolas"/>
          <w:sz w:val="17"/>
        </w:rPr>
        <w:t xml:space="preserve"> </w:t>
      </w:r>
      <w:r>
        <w:br/>
      </w:r>
      <w:r>
        <w:rPr>
          <w:rFonts w:ascii="Consolas" w:hAnsi="Consolas"/>
          <w:sz w:val="17"/>
        </w:rPr>
        <w:t xml:space="preserve">        scaler.scale(loss).backward()</w:t>
      </w:r>
      <w:r>
        <w:br/>
      </w:r>
      <w:r>
        <w:rPr>
          <w:rFonts w:ascii="Consolas" w:hAnsi="Consolas"/>
          <w:sz w:val="17"/>
        </w:rPr>
        <w:t xml:space="preserve"> </w:t>
      </w:r>
      <w:r>
        <w:br/>
      </w:r>
      <w:r>
        <w:rPr>
          <w:rFonts w:ascii="Consolas" w:hAnsi="Consolas"/>
          <w:sz w:val="17"/>
        </w:rPr>
        <w:t xml:space="preserve">        if step % config.gradient_accumulation_steps == 0:</w:t>
      </w:r>
      <w:r>
        <w:br/>
      </w:r>
      <w:r>
        <w:rPr>
          <w:rFonts w:ascii="Consolas" w:hAnsi="Consolas"/>
          <w:sz w:val="17"/>
        </w:rPr>
        <w:t xml:space="preserve">            scaler.unscale_(optimizer)</w:t>
      </w:r>
      <w:r>
        <w:br/>
      </w:r>
      <w:r>
        <w:rPr>
          <w:rFonts w:ascii="Consolas" w:hAnsi="Consolas"/>
          <w:sz w:val="17"/>
        </w:rPr>
        <w:t xml:space="preserve">            clip_grad_norm_(model.parameters(), config.max_grad_norm)</w:t>
      </w:r>
      <w:r>
        <w:br/>
      </w:r>
      <w:r>
        <w:rPr>
          <w:rFonts w:ascii="Consolas" w:hAnsi="Consolas"/>
          <w:sz w:val="17"/>
        </w:rPr>
        <w:t xml:space="preserve">            scaler.step(optimizer)</w:t>
      </w:r>
      <w:r>
        <w:br/>
      </w:r>
      <w:r>
        <w:rPr>
          <w:rFonts w:ascii="Consolas" w:hAnsi="Consolas"/>
          <w:sz w:val="17"/>
        </w:rPr>
        <w:t xml:space="preserve">            scaler.update()</w:t>
      </w:r>
      <w:r>
        <w:br/>
      </w:r>
      <w:r>
        <w:rPr>
          <w:rFonts w:ascii="Consolas" w:hAnsi="Consolas"/>
          <w:sz w:val="17"/>
        </w:rPr>
        <w:t xml:space="preserve">            scheduler.step()</w:t>
      </w:r>
      <w:r>
        <w:br/>
      </w:r>
      <w:r>
        <w:rPr>
          <w:rFonts w:ascii="Consolas" w:hAnsi="Consolas"/>
          <w:sz w:val="17"/>
        </w:rPr>
        <w:t xml:space="preserve">            optimizer.zero_grad(set_to_none=True)</w:t>
      </w:r>
      <w:r>
        <w:br/>
      </w:r>
      <w:r>
        <w:rPr>
          <w:rFonts w:ascii="Consolas" w:hAnsi="Consolas"/>
          <w:sz w:val="17"/>
        </w:rPr>
        <w:t xml:space="preserve"> </w:t>
      </w:r>
      <w:r>
        <w:br/>
      </w:r>
      <w:r>
        <w:rPr>
          <w:rFonts w:ascii="Consolas" w:hAnsi="Consolas"/>
          <w:sz w:val="17"/>
        </w:rPr>
        <w:t xml:space="preserve">    validation_metrics = evaluate_model(model, validation_loader)</w:t>
      </w:r>
      <w:r>
        <w:br/>
      </w:r>
      <w:r>
        <w:rPr>
          <w:rFonts w:ascii="Consolas" w:hAnsi="Consolas"/>
          <w:sz w:val="17"/>
        </w:rPr>
        <w:t xml:space="preserve">    save_checkpoint_when_improved(validation_metrics)</w:t>
      </w:r>
    </w:p>
    <w:p>
      <w:r>
        <w:t>Read the actual source because it also handles seeding, label mappings, split files, precision selection, W&amp;B, progress/status files, the final test pass, and artifact serialization.</w:t>
      </w:r>
    </w:p>
    <w:p>
      <w:bookmarkStart w:id="182" w:name="guide_sec_083"/>
      <w:pPr>
        <w:pStyle w:val="Heading2"/>
      </w:pPr>
      <w:r>
        <w:t>11.6 Background jobs</w:t>
      </w:r>
      <w:bookmarkEnd w:id="182"/>
    </w:p>
    <w:p>
      <w:r>
        <w:rPr>
          <w:rFonts w:ascii="Consolas" w:hAnsi="Consolas"/>
          <w:color w:val="1F4D78"/>
          <w:sz w:val="18"/>
        </w:rPr>
        <w:t>contractlab/jobs.py</w:t>
      </w:r>
      <w:r>
        <w:t xml:space="preserve"> saves a configuration and launches </w:t>
      </w:r>
      <w:r>
        <w:rPr>
          <w:rFonts w:ascii="Consolas" w:hAnsi="Consolas"/>
          <w:color w:val="1F4D78"/>
          <w:sz w:val="18"/>
        </w:rPr>
        <w:t>python -m contractlab.cli train</w:t>
      </w:r>
      <w:r>
        <w:t xml:space="preserve"> as a separate process. It writes standard output and error logs so the UI can refresh without owning the training loop. The training function itself is shared with manual runs.</w:t>
      </w:r>
    </w:p>
    <w:p>
      <w:bookmarkStart w:id="183" w:name="guide_sec_084"/>
      <w:pPr>
        <w:pStyle w:val="Heading2"/>
      </w:pPr>
      <w:r>
        <w:t>11.7 Evaluation and inference</w:t>
      </w:r>
      <w:bookmarkEnd w:id="183"/>
    </w:p>
    <w:p>
      <w:r>
        <w:rPr>
          <w:rFonts w:ascii="Consolas" w:hAnsi="Consolas"/>
          <w:color w:val="1F4D78"/>
          <w:sz w:val="18"/>
        </w:rPr>
        <w:t>contractlab/evaluation.py</w:t>
      </w:r>
      <w:r>
        <w:t xml:space="preserve"> computes aggregate and per-label metrics, confusion data, and error-analysis structures. </w:t>
      </w:r>
      <w:r>
        <w:rPr>
          <w:rFonts w:ascii="Consolas" w:hAnsi="Consolas"/>
          <w:color w:val="1F4D78"/>
          <w:sz w:val="18"/>
        </w:rPr>
        <w:t>contractlab/inference.py</w:t>
      </w:r>
      <w:r>
        <w:t xml:space="preserve"> reloads a saved checkpoint and label mapping for prediction.</w:t>
      </w:r>
    </w:p>
    <w:p>
      <w:bookmarkStart w:id="184" w:name="guide_sec_085"/>
      <w:pPr>
        <w:pStyle w:val="Heading2"/>
      </w:pPr>
      <w:r>
        <w:t>11.8 Assistant and document parsing</w:t>
      </w:r>
      <w:bookmarkEnd w:id="184"/>
    </w:p>
    <w:p>
      <w:r>
        <w:rPr>
          <w:rFonts w:ascii="Consolas" w:hAnsi="Consolas"/>
          <w:color w:val="1F4D78"/>
          <w:sz w:val="18"/>
        </w:rPr>
        <w:t>contractlab/document_parser.py</w:t>
      </w:r>
      <w:r>
        <w:t xml:space="preserve"> extracts text from supported formats. </w:t>
      </w:r>
      <w:r>
        <w:rPr>
          <w:rFonts w:ascii="Consolas" w:hAnsi="Consolas"/>
          <w:color w:val="1F4D78"/>
          <w:sz w:val="18"/>
        </w:rPr>
        <w:t>contractlab/assistant.py</w:t>
      </w:r>
      <w:r>
        <w:t xml:space="preserve"> implements the six learning capabilities with source-grounded passages. These modules are demonstrations, not a substitute for a reviewed retrieval, calibration, and legal-quality assurance system.</w:t>
      </w:r>
    </w:p>
    <w:p>
      <w:bookmarkStart w:id="185" w:name="guide_sec_086"/>
      <w:pPr>
        <w:pStyle w:val="Heading2"/>
      </w:pPr>
      <w:r>
        <w:t>11.9 Code generation</w:t>
      </w:r>
      <w:bookmarkEnd w:id="185"/>
    </w:p>
    <w:p>
      <w:r>
        <w:rPr>
          <w:rFonts w:ascii="Consolas" w:hAnsi="Consolas"/>
          <w:color w:val="1F4D78"/>
          <w:sz w:val="18"/>
        </w:rPr>
        <w:t>contractlab/codegen.py</w:t>
      </w:r>
      <w:r>
        <w:t xml:space="preserve"> emits configured scripts and notebooks. Code lab makes those artifacts visible and downloadable. Keep generated outputs local until you review their data paths and secrets.</w:t>
      </w:r>
    </w:p>
    <w:p>
      <w:bookmarkStart w:id="186" w:name="guide_sec_087"/>
      <w:pPr>
        <w:pStyle w:val="Heading1"/>
      </w:pPr>
      <w:r>
        <w:t>12. Artifact and directory reference</w:t>
      </w:r>
      <w:bookmarkEnd w:id="186"/>
    </w:p>
    <w:tbl>
      <w:tblPr>
        <w:tblStyle w:val="TableGrid"/>
        <w:tblW w:type="auto" w:w="0"/>
        <w:jc w:val="center"/>
        <w:tblLayout w:type="fixed"/>
        <w:tblLook w:firstColumn="1" w:firstRow="1" w:lastColumn="0" w:lastRow="0" w:noHBand="0" w:noVBand="1" w:val="04A0"/>
      </w:tblPr>
      <w:tblGrid>
        <w:gridCol w:w="3120"/>
        <w:gridCol w:w="3120"/>
        <w:gridCol w:w="3120"/>
      </w:tblGrid>
      <w:tr>
        <w:trPr>
          <w:cantSplit/>
          <w:tblHeader w:val="true"/>
        </w:trPr>
        <w:tc>
          <w:tcPr>
            <w:tcW w:type="dxa" w:w="2232"/>
            <w:vAlign w:val="center"/>
            <w:tcMar>
              <w:top w:w="80" w:type="dxa"/>
              <w:start w:w="100" w:type="dxa"/>
              <w:bottom w:w="80" w:type="dxa"/>
              <w:end w:w="100" w:type="dxa"/>
            </w:tcMar>
            <w:shd w:fill="2E74B5"/>
          </w:tcPr>
          <w:p>
            <w:pPr>
              <w:spacing w:after="0"/>
            </w:pPr>
            <w:r>
              <w:rPr>
                <w:rFonts w:ascii="Calibri" w:hAnsi="Calibri"/>
                <w:b/>
                <w:color w:val="FFFFFF"/>
                <w:sz w:val="17"/>
              </w:rPr>
              <w:t>Path</w:t>
            </w:r>
          </w:p>
        </w:tc>
        <w:tc>
          <w:tcPr>
            <w:tcW w:type="dxa" w:w="2232"/>
            <w:vAlign w:val="center"/>
            <w:tcMar>
              <w:top w:w="80" w:type="dxa"/>
              <w:start w:w="100" w:type="dxa"/>
              <w:bottom w:w="80" w:type="dxa"/>
              <w:end w:w="100" w:type="dxa"/>
            </w:tcMar>
            <w:shd w:fill="2E74B5"/>
          </w:tcPr>
          <w:p>
            <w:pPr>
              <w:spacing w:after="0"/>
            </w:pPr>
            <w:r>
              <w:rPr>
                <w:rFonts w:ascii="Calibri" w:hAnsi="Calibri"/>
                <w:b/>
                <w:color w:val="FFFFFF"/>
                <w:sz w:val="17"/>
              </w:rPr>
              <w:t>Purpose</w:t>
            </w:r>
          </w:p>
        </w:tc>
        <w:tc>
          <w:tcPr>
            <w:tcW w:type="dxa" w:w="4896"/>
            <w:vAlign w:val="center"/>
            <w:tcMar>
              <w:top w:w="80" w:type="dxa"/>
              <w:start w:w="100" w:type="dxa"/>
              <w:bottom w:w="80" w:type="dxa"/>
              <w:end w:w="100" w:type="dxa"/>
            </w:tcMar>
            <w:shd w:fill="2E74B5"/>
          </w:tcPr>
          <w:p>
            <w:pPr>
              <w:spacing w:after="0"/>
            </w:pPr>
            <w:r>
              <w:rPr>
                <w:rFonts w:ascii="Calibri" w:hAnsi="Calibri"/>
                <w:b/>
                <w:color w:val="FFFFFF"/>
                <w:sz w:val="17"/>
              </w:rPr>
              <w:t>Publish by default?</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color w:val="1F4D78"/>
                <w:sz w:val="17"/>
              </w:rPr>
              <w:t>app_pages/</w:t>
            </w:r>
          </w:p>
        </w:tc>
        <w:tc>
          <w:tcPr>
            <w:tcW w:type="dxa" w:w="2232"/>
            <w:vAlign w:val="center"/>
            <w:tcMar>
              <w:top w:w="80" w:type="dxa"/>
              <w:start w:w="100" w:type="dxa"/>
              <w:bottom w:w="80" w:type="dxa"/>
              <w:end w:w="100" w:type="dxa"/>
            </w:tcMar>
            <w:shd w:fill="FFFFFF"/>
          </w:tcPr>
          <w:p>
            <w:pPr>
              <w:spacing w:after="0"/>
            </w:pPr>
            <w:r>
              <w:rPr>
                <w:rFonts w:ascii="Calibri" w:hAnsi="Calibri"/>
                <w:sz w:val="17"/>
              </w:rPr>
              <w:t>Streamlit workbench pages</w:t>
            </w:r>
          </w:p>
        </w:tc>
        <w:tc>
          <w:tcPr>
            <w:tcW w:type="dxa" w:w="4896"/>
            <w:vAlign w:val="center"/>
            <w:tcMar>
              <w:top w:w="80" w:type="dxa"/>
              <w:start w:w="100" w:type="dxa"/>
              <w:bottom w:w="80" w:type="dxa"/>
              <w:end w:w="100" w:type="dxa"/>
            </w:tcMar>
            <w:shd w:fill="FFFFFF"/>
          </w:tcPr>
          <w:p>
            <w:pPr>
              <w:spacing w:after="0"/>
            </w:pPr>
            <w:r>
              <w:rPr>
                <w:rFonts w:ascii="Calibri" w:hAnsi="Calibri"/>
                <w:sz w:val="17"/>
              </w:rPr>
              <w:t>Yes</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color w:val="1F4D78"/>
                <w:sz w:val="17"/>
              </w:rPr>
              <w:t>contractlab/</w:t>
            </w:r>
          </w:p>
        </w:tc>
        <w:tc>
          <w:tcPr>
            <w:tcW w:type="dxa" w:w="2232"/>
            <w:vAlign w:val="center"/>
            <w:tcMar>
              <w:top w:w="80" w:type="dxa"/>
              <w:start w:w="100" w:type="dxa"/>
              <w:bottom w:w="80" w:type="dxa"/>
              <w:end w:w="100" w:type="dxa"/>
            </w:tcMar>
            <w:shd w:fill="F4F6F7"/>
          </w:tcPr>
          <w:p>
            <w:pPr>
              <w:spacing w:after="0"/>
            </w:pPr>
            <w:r>
              <w:rPr>
                <w:rFonts w:ascii="Calibri" w:hAnsi="Calibri"/>
                <w:sz w:val="17"/>
              </w:rPr>
              <w:t>Reusable Python package</w:t>
            </w:r>
          </w:p>
        </w:tc>
        <w:tc>
          <w:tcPr>
            <w:tcW w:type="dxa" w:w="4896"/>
            <w:vAlign w:val="center"/>
            <w:tcMar>
              <w:top w:w="80" w:type="dxa"/>
              <w:start w:w="100" w:type="dxa"/>
              <w:bottom w:w="80" w:type="dxa"/>
              <w:end w:w="100" w:type="dxa"/>
            </w:tcMar>
            <w:shd w:fill="F4F6F7"/>
          </w:tcPr>
          <w:p>
            <w:pPr>
              <w:spacing w:after="0"/>
            </w:pPr>
            <w:r>
              <w:rPr>
                <w:rFonts w:ascii="Calibri" w:hAnsi="Calibri"/>
                <w:sz w:val="17"/>
              </w:rPr>
              <w:t>Yes</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color w:val="1F4D78"/>
                <w:sz w:val="17"/>
              </w:rPr>
              <w:t>tests/</w:t>
            </w:r>
          </w:p>
        </w:tc>
        <w:tc>
          <w:tcPr>
            <w:tcW w:type="dxa" w:w="2232"/>
            <w:vAlign w:val="center"/>
            <w:tcMar>
              <w:top w:w="80" w:type="dxa"/>
              <w:start w:w="100" w:type="dxa"/>
              <w:bottom w:w="80" w:type="dxa"/>
              <w:end w:w="100" w:type="dxa"/>
            </w:tcMar>
            <w:shd w:fill="FFFFFF"/>
          </w:tcPr>
          <w:p>
            <w:pPr>
              <w:spacing w:after="0"/>
            </w:pPr>
            <w:r>
              <w:rPr>
                <w:rFonts w:ascii="Calibri" w:hAnsi="Calibri"/>
                <w:sz w:val="17"/>
              </w:rPr>
              <w:t>Automated unit tests</w:t>
            </w:r>
          </w:p>
        </w:tc>
        <w:tc>
          <w:tcPr>
            <w:tcW w:type="dxa" w:w="4896"/>
            <w:vAlign w:val="center"/>
            <w:tcMar>
              <w:top w:w="80" w:type="dxa"/>
              <w:start w:w="100" w:type="dxa"/>
              <w:bottom w:w="80" w:type="dxa"/>
              <w:end w:w="100" w:type="dxa"/>
            </w:tcMar>
            <w:shd w:fill="FFFFFF"/>
          </w:tcPr>
          <w:p>
            <w:pPr>
              <w:spacing w:after="0"/>
            </w:pPr>
            <w:r>
              <w:rPr>
                <w:rFonts w:ascii="Calibri" w:hAnsi="Calibri"/>
                <w:sz w:val="17"/>
              </w:rPr>
              <w:t>Yes</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color w:val="1F4D78"/>
                <w:sz w:val="17"/>
              </w:rPr>
              <w:t>docs/</w:t>
            </w:r>
          </w:p>
        </w:tc>
        <w:tc>
          <w:tcPr>
            <w:tcW w:type="dxa" w:w="2232"/>
            <w:vAlign w:val="center"/>
            <w:tcMar>
              <w:top w:w="80" w:type="dxa"/>
              <w:start w:w="100" w:type="dxa"/>
              <w:bottom w:w="80" w:type="dxa"/>
              <w:end w:w="100" w:type="dxa"/>
            </w:tcMar>
            <w:shd w:fill="F4F6F7"/>
          </w:tcPr>
          <w:p>
            <w:pPr>
              <w:spacing w:after="0"/>
            </w:pPr>
            <w:r>
              <w:rPr>
                <w:rFonts w:ascii="Calibri" w:hAnsi="Calibri"/>
                <w:sz w:val="17"/>
              </w:rPr>
              <w:t>Guide, screenshots, architecture, and release notes</w:t>
            </w:r>
          </w:p>
        </w:tc>
        <w:tc>
          <w:tcPr>
            <w:tcW w:type="dxa" w:w="4896"/>
            <w:vAlign w:val="center"/>
            <w:tcMar>
              <w:top w:w="80" w:type="dxa"/>
              <w:start w:w="100" w:type="dxa"/>
              <w:bottom w:w="80" w:type="dxa"/>
              <w:end w:w="100" w:type="dxa"/>
            </w:tcMar>
            <w:shd w:fill="F4F6F7"/>
          </w:tcPr>
          <w:p>
            <w:pPr>
              <w:spacing w:after="0"/>
            </w:pPr>
            <w:r>
              <w:rPr>
                <w:rFonts w:ascii="Calibri" w:hAnsi="Calibri"/>
                <w:sz w:val="17"/>
              </w:rPr>
              <w:t>Yes</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color w:val="1F4D78"/>
                <w:sz w:val="17"/>
              </w:rPr>
              <w:t>datasets/sample_200.jsonl</w:t>
            </w:r>
          </w:p>
        </w:tc>
        <w:tc>
          <w:tcPr>
            <w:tcW w:type="dxa" w:w="2232"/>
            <w:vAlign w:val="center"/>
            <w:tcMar>
              <w:top w:w="80" w:type="dxa"/>
              <w:start w:w="100" w:type="dxa"/>
              <w:bottom w:w="80" w:type="dxa"/>
              <w:end w:w="100" w:type="dxa"/>
            </w:tcMar>
            <w:shd w:fill="FFFFFF"/>
          </w:tcPr>
          <w:p>
            <w:pPr>
              <w:spacing w:after="0"/>
            </w:pPr>
            <w:r>
              <w:rPr>
                <w:rFonts w:ascii="Calibri" w:hAnsi="Calibri"/>
                <w:sz w:val="17"/>
              </w:rPr>
              <w:t>Attributed CUAD instruction sample</w:t>
            </w:r>
          </w:p>
        </w:tc>
        <w:tc>
          <w:tcPr>
            <w:tcW w:type="dxa" w:w="4896"/>
            <w:vAlign w:val="center"/>
            <w:tcMar>
              <w:top w:w="80" w:type="dxa"/>
              <w:start w:w="100" w:type="dxa"/>
              <w:bottom w:w="80" w:type="dxa"/>
              <w:end w:w="100" w:type="dxa"/>
            </w:tcMar>
            <w:shd w:fill="FFFFFF"/>
          </w:tcPr>
          <w:p>
            <w:pPr>
              <w:spacing w:after="0"/>
            </w:pPr>
            <w:r>
              <w:rPr>
                <w:rFonts w:ascii="Calibri" w:hAnsi="Calibri"/>
                <w:sz w:val="17"/>
              </w:rPr>
              <w:t>Yes, CC BY 4.0</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color w:val="1F4D78"/>
                <w:sz w:val="17"/>
              </w:rPr>
              <w:t>datasets/cuad_classifier_sample.csv</w:t>
            </w:r>
          </w:p>
        </w:tc>
        <w:tc>
          <w:tcPr>
            <w:tcW w:type="dxa" w:w="2232"/>
            <w:vAlign w:val="center"/>
            <w:tcMar>
              <w:top w:w="80" w:type="dxa"/>
              <w:start w:w="100" w:type="dxa"/>
              <w:bottom w:w="80" w:type="dxa"/>
              <w:end w:w="100" w:type="dxa"/>
            </w:tcMar>
            <w:shd w:fill="F4F6F7"/>
          </w:tcPr>
          <w:p>
            <w:pPr>
              <w:spacing w:after="0"/>
            </w:pPr>
            <w:r>
              <w:rPr>
                <w:rFonts w:ascii="Calibri" w:hAnsi="Calibri"/>
                <w:sz w:val="17"/>
              </w:rPr>
              <w:t>Classifier tutorial sample</w:t>
            </w:r>
          </w:p>
        </w:tc>
        <w:tc>
          <w:tcPr>
            <w:tcW w:type="dxa" w:w="4896"/>
            <w:vAlign w:val="center"/>
            <w:tcMar>
              <w:top w:w="80" w:type="dxa"/>
              <w:start w:w="100" w:type="dxa"/>
              <w:bottom w:w="80" w:type="dxa"/>
              <w:end w:w="100" w:type="dxa"/>
            </w:tcMar>
            <w:shd w:fill="F4F6F7"/>
          </w:tcPr>
          <w:p>
            <w:pPr>
              <w:spacing w:after="0"/>
            </w:pPr>
            <w:r>
              <w:rPr>
                <w:rFonts w:ascii="Calibri" w:hAnsi="Calibri"/>
                <w:sz w:val="17"/>
              </w:rPr>
              <w:t>Yes, CC BY 4.0</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color w:val="1F4D78"/>
                <w:sz w:val="17"/>
              </w:rPr>
              <w:t>datasets/clauses.csv</w:t>
            </w:r>
          </w:p>
        </w:tc>
        <w:tc>
          <w:tcPr>
            <w:tcW w:type="dxa" w:w="2232"/>
            <w:vAlign w:val="center"/>
            <w:tcMar>
              <w:top w:w="80" w:type="dxa"/>
              <w:start w:w="100" w:type="dxa"/>
              <w:bottom w:w="80" w:type="dxa"/>
              <w:end w:w="100" w:type="dxa"/>
            </w:tcMar>
            <w:shd w:fill="FFFFFF"/>
          </w:tcPr>
          <w:p>
            <w:pPr>
              <w:spacing w:after="0"/>
            </w:pPr>
            <w:r>
              <w:rPr>
                <w:rFonts w:ascii="Calibri" w:hAnsi="Calibri"/>
                <w:sz w:val="17"/>
              </w:rPr>
              <w:t>Verified full classifier derivative</w:t>
            </w:r>
          </w:p>
        </w:tc>
        <w:tc>
          <w:tcPr>
            <w:tcW w:type="dxa" w:w="4896"/>
            <w:vAlign w:val="center"/>
            <w:tcMar>
              <w:top w:w="80" w:type="dxa"/>
              <w:start w:w="100" w:type="dxa"/>
              <w:bottom w:w="80" w:type="dxa"/>
              <w:end w:w="100" w:type="dxa"/>
            </w:tcMar>
            <w:shd w:fill="FFFFFF"/>
          </w:tcPr>
          <w:p>
            <w:pPr>
              <w:spacing w:after="0"/>
            </w:pPr>
            <w:r>
              <w:rPr>
                <w:rFonts w:ascii="Calibri" w:hAnsi="Calibri"/>
                <w:sz w:val="17"/>
              </w:rPr>
              <w:t>Yes, CC BY 4.0</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color w:val="1F4D78"/>
                <w:sz w:val="17"/>
              </w:rPr>
              <w:t>datasets/train.jsonl/</w:t>
            </w:r>
            <w:r>
              <w:rPr>
                <w:rFonts w:ascii="Calibri" w:hAnsi="Calibri"/>
                <w:sz w:val="17"/>
              </w:rPr>
              <w:t xml:space="preserve">, </w:t>
            </w:r>
            <w:r>
              <w:rPr>
                <w:rFonts w:ascii="Calibri" w:hAnsi="Calibri"/>
                <w:color w:val="1F4D78"/>
                <w:sz w:val="17"/>
              </w:rPr>
              <w:t>val.jsonl/</w:t>
            </w:r>
            <w:r>
              <w:rPr>
                <w:rFonts w:ascii="Calibri" w:hAnsi="Calibri"/>
                <w:sz w:val="17"/>
              </w:rPr>
              <w:t xml:space="preserve">, </w:t>
            </w:r>
            <w:r>
              <w:rPr>
                <w:rFonts w:ascii="Calibri" w:hAnsi="Calibri"/>
                <w:color w:val="1F4D78"/>
                <w:sz w:val="17"/>
              </w:rPr>
              <w:t>test.jsonl/</w:t>
            </w:r>
          </w:p>
        </w:tc>
        <w:tc>
          <w:tcPr>
            <w:tcW w:type="dxa" w:w="2232"/>
            <w:vAlign w:val="center"/>
            <w:tcMar>
              <w:top w:w="80" w:type="dxa"/>
              <w:start w:w="100" w:type="dxa"/>
              <w:bottom w:w="80" w:type="dxa"/>
              <w:end w:w="100" w:type="dxa"/>
            </w:tcMar>
            <w:shd w:fill="F4F6F7"/>
          </w:tcPr>
          <w:p>
            <w:pPr>
              <w:spacing w:after="0"/>
            </w:pPr>
            <w:r>
              <w:rPr>
                <w:rFonts w:ascii="Calibri" w:hAnsi="Calibri"/>
                <w:sz w:val="17"/>
              </w:rPr>
              <w:t>Instruction splits</w:t>
            </w:r>
          </w:p>
        </w:tc>
        <w:tc>
          <w:tcPr>
            <w:tcW w:type="dxa" w:w="4896"/>
            <w:vAlign w:val="center"/>
            <w:tcMar>
              <w:top w:w="80" w:type="dxa"/>
              <w:start w:w="100" w:type="dxa"/>
              <w:bottom w:w="80" w:type="dxa"/>
              <w:end w:w="100" w:type="dxa"/>
            </w:tcMar>
            <w:shd w:fill="F4F6F7"/>
          </w:tcPr>
          <w:p>
            <w:pPr>
              <w:spacing w:after="0"/>
            </w:pPr>
            <w:r>
              <w:rPr>
                <w:rFonts w:ascii="Calibri" w:hAnsi="Calibri"/>
                <w:sz w:val="17"/>
              </w:rPr>
              <w:t>Yes through Git LFS, CC BY 4.0</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color w:val="1F4D78"/>
                <w:sz w:val="17"/>
              </w:rPr>
              <w:t>datasets/contract_taxonomy.json</w:t>
            </w:r>
          </w:p>
        </w:tc>
        <w:tc>
          <w:tcPr>
            <w:tcW w:type="dxa" w:w="2232"/>
            <w:vAlign w:val="center"/>
            <w:tcMar>
              <w:top w:w="80" w:type="dxa"/>
              <w:start w:w="100" w:type="dxa"/>
              <w:bottom w:w="80" w:type="dxa"/>
              <w:end w:w="100" w:type="dxa"/>
            </w:tcMar>
            <w:shd w:fill="FFFFFF"/>
          </w:tcPr>
          <w:p>
            <w:pPr>
              <w:spacing w:after="0"/>
            </w:pPr>
            <w:r>
              <w:rPr>
                <w:rFonts w:ascii="Calibri" w:hAnsi="Calibri"/>
                <w:sz w:val="17"/>
              </w:rPr>
              <w:t>Contract and clause definitions</w:t>
            </w:r>
          </w:p>
        </w:tc>
        <w:tc>
          <w:tcPr>
            <w:tcW w:type="dxa" w:w="4896"/>
            <w:vAlign w:val="center"/>
            <w:tcMar>
              <w:top w:w="80" w:type="dxa"/>
              <w:start w:w="100" w:type="dxa"/>
              <w:bottom w:w="80" w:type="dxa"/>
              <w:end w:w="100" w:type="dxa"/>
            </w:tcMar>
            <w:shd w:fill="FFFFFF"/>
          </w:tcPr>
          <w:p>
            <w:pPr>
              <w:spacing w:after="0"/>
            </w:pPr>
            <w:r>
              <w:rPr>
                <w:rFonts w:ascii="Calibri" w:hAnsi="Calibri"/>
                <w:sz w:val="17"/>
              </w:rPr>
              <w:t>Yes, CC BY 4.0</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color w:val="1F4D78"/>
                <w:sz w:val="17"/>
              </w:rPr>
              <w:t>datasets/dataset_catalog.json</w:t>
            </w:r>
          </w:p>
        </w:tc>
        <w:tc>
          <w:tcPr>
            <w:tcW w:type="dxa" w:w="2232"/>
            <w:vAlign w:val="center"/>
            <w:tcMar>
              <w:top w:w="80" w:type="dxa"/>
              <w:start w:w="100" w:type="dxa"/>
              <w:bottom w:w="80" w:type="dxa"/>
              <w:end w:w="100" w:type="dxa"/>
            </w:tcMar>
            <w:shd w:fill="F4F6F7"/>
          </w:tcPr>
          <w:p>
            <w:pPr>
              <w:spacing w:after="0"/>
            </w:pPr>
            <w:r>
              <w:rPr>
                <w:rFonts w:ascii="Calibri" w:hAnsi="Calibri"/>
                <w:sz w:val="17"/>
              </w:rPr>
              <w:t>Audited inventory and optional datasets</w:t>
            </w:r>
          </w:p>
        </w:tc>
        <w:tc>
          <w:tcPr>
            <w:tcW w:type="dxa" w:w="4896"/>
            <w:vAlign w:val="center"/>
            <w:tcMar>
              <w:top w:w="80" w:type="dxa"/>
              <w:start w:w="100" w:type="dxa"/>
              <w:bottom w:w="80" w:type="dxa"/>
              <w:end w:w="100" w:type="dxa"/>
            </w:tcMar>
            <w:shd w:fill="F4F6F7"/>
          </w:tcPr>
          <w:p>
            <w:pPr>
              <w:spacing w:after="0"/>
            </w:pPr>
            <w:r>
              <w:rPr>
                <w:rFonts w:ascii="Calibri" w:hAnsi="Calibri"/>
                <w:sz w:val="17"/>
              </w:rPr>
              <w:t>Yes</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color w:val="1F4D78"/>
                <w:sz w:val="17"/>
              </w:rPr>
              <w:t>data/imports/</w:t>
            </w:r>
          </w:p>
        </w:tc>
        <w:tc>
          <w:tcPr>
            <w:tcW w:type="dxa" w:w="2232"/>
            <w:vAlign w:val="center"/>
            <w:tcMar>
              <w:top w:w="80" w:type="dxa"/>
              <w:start w:w="100" w:type="dxa"/>
              <w:bottom w:w="80" w:type="dxa"/>
              <w:end w:w="100" w:type="dxa"/>
            </w:tcMar>
            <w:shd w:fill="FFFFFF"/>
          </w:tcPr>
          <w:p>
            <w:pPr>
              <w:spacing w:after="0"/>
            </w:pPr>
            <w:r>
              <w:rPr>
                <w:rFonts w:ascii="Calibri" w:hAnsi="Calibri"/>
                <w:sz w:val="17"/>
              </w:rPr>
              <w:t>Active or uploaded local datasets</w:t>
            </w:r>
          </w:p>
        </w:tc>
        <w:tc>
          <w:tcPr>
            <w:tcW w:type="dxa" w:w="4896"/>
            <w:vAlign w:val="center"/>
            <w:tcMar>
              <w:top w:w="80" w:type="dxa"/>
              <w:start w:w="100" w:type="dxa"/>
              <w:bottom w:w="80" w:type="dxa"/>
              <w:end w:w="100" w:type="dxa"/>
            </w:tcMar>
            <w:shd w:fill="FFFFFF"/>
          </w:tcPr>
          <w:p>
            <w:pPr>
              <w:spacing w:after="0"/>
            </w:pPr>
            <w:r>
              <w:rPr>
                <w:rFonts w:ascii="Calibri" w:hAnsi="Calibri"/>
                <w:sz w:val="17"/>
              </w:rPr>
              <w:t>No</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color w:val="1F4D78"/>
                <w:sz w:val="17"/>
              </w:rPr>
              <w:t>data/curated/</w:t>
            </w:r>
          </w:p>
        </w:tc>
        <w:tc>
          <w:tcPr>
            <w:tcW w:type="dxa" w:w="2232"/>
            <w:vAlign w:val="center"/>
            <w:tcMar>
              <w:top w:w="80" w:type="dxa"/>
              <w:start w:w="100" w:type="dxa"/>
              <w:bottom w:w="80" w:type="dxa"/>
              <w:end w:w="100" w:type="dxa"/>
            </w:tcMar>
            <w:shd w:fill="F4F6F7"/>
          </w:tcPr>
          <w:p>
            <w:pPr>
              <w:spacing w:after="0"/>
            </w:pPr>
            <w:r>
              <w:rPr>
                <w:rFonts w:ascii="Calibri" w:hAnsi="Calibri"/>
                <w:sz w:val="17"/>
              </w:rPr>
              <w:t>Downloaded/transformed third-party data</w:t>
            </w:r>
          </w:p>
        </w:tc>
        <w:tc>
          <w:tcPr>
            <w:tcW w:type="dxa" w:w="4896"/>
            <w:vAlign w:val="center"/>
            <w:tcMar>
              <w:top w:w="80" w:type="dxa"/>
              <w:start w:w="100" w:type="dxa"/>
              <w:bottom w:w="80" w:type="dxa"/>
              <w:end w:w="100" w:type="dxa"/>
            </w:tcMar>
            <w:shd w:fill="F4F6F7"/>
          </w:tcPr>
          <w:p>
            <w:pPr>
              <w:spacing w:after="0"/>
            </w:pPr>
            <w:r>
              <w:rPr>
                <w:rFonts w:ascii="Calibri" w:hAnsi="Calibri"/>
                <w:sz w:val="17"/>
              </w:rPr>
              <w:t>No</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color w:val="1F4D78"/>
                <w:sz w:val="17"/>
              </w:rPr>
              <w:t>artifacts/configs/</w:t>
            </w:r>
          </w:p>
        </w:tc>
        <w:tc>
          <w:tcPr>
            <w:tcW w:type="dxa" w:w="2232"/>
            <w:vAlign w:val="center"/>
            <w:tcMar>
              <w:top w:w="80" w:type="dxa"/>
              <w:start w:w="100" w:type="dxa"/>
              <w:bottom w:w="80" w:type="dxa"/>
              <w:end w:w="100" w:type="dxa"/>
            </w:tcMar>
            <w:shd w:fill="FFFFFF"/>
          </w:tcPr>
          <w:p>
            <w:pPr>
              <w:spacing w:after="0"/>
            </w:pPr>
            <w:r>
              <w:rPr>
                <w:rFonts w:ascii="Calibri" w:hAnsi="Calibri"/>
                <w:sz w:val="17"/>
              </w:rPr>
              <w:t>Local experiment configurations</w:t>
            </w:r>
          </w:p>
        </w:tc>
        <w:tc>
          <w:tcPr>
            <w:tcW w:type="dxa" w:w="4896"/>
            <w:vAlign w:val="center"/>
            <w:tcMar>
              <w:top w:w="80" w:type="dxa"/>
              <w:start w:w="100" w:type="dxa"/>
              <w:bottom w:w="80" w:type="dxa"/>
              <w:end w:w="100" w:type="dxa"/>
            </w:tcMar>
            <w:shd w:fill="FFFFFF"/>
          </w:tcPr>
          <w:p>
            <w:pPr>
              <w:spacing w:after="0"/>
            </w:pPr>
            <w:r>
              <w:rPr>
                <w:rFonts w:ascii="Calibri" w:hAnsi="Calibri"/>
                <w:sz w:val="17"/>
              </w:rPr>
              <w:t>Usually no</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color w:val="1F4D78"/>
                <w:sz w:val="17"/>
              </w:rPr>
              <w:t>artifacts/runs/</w:t>
            </w:r>
          </w:p>
        </w:tc>
        <w:tc>
          <w:tcPr>
            <w:tcW w:type="dxa" w:w="2232"/>
            <w:vAlign w:val="center"/>
            <w:tcMar>
              <w:top w:w="80" w:type="dxa"/>
              <w:start w:w="100" w:type="dxa"/>
              <w:bottom w:w="80" w:type="dxa"/>
              <w:end w:w="100" w:type="dxa"/>
            </w:tcMar>
            <w:shd w:fill="F4F6F7"/>
          </w:tcPr>
          <w:p>
            <w:pPr>
              <w:spacing w:after="0"/>
            </w:pPr>
            <w:r>
              <w:rPr>
                <w:rFonts w:ascii="Calibri" w:hAnsi="Calibri"/>
                <w:sz w:val="17"/>
              </w:rPr>
              <w:t>Checkpoints, metrics, splits, predictions</w:t>
            </w:r>
          </w:p>
        </w:tc>
        <w:tc>
          <w:tcPr>
            <w:tcW w:type="dxa" w:w="4896"/>
            <w:vAlign w:val="center"/>
            <w:tcMar>
              <w:top w:w="80" w:type="dxa"/>
              <w:start w:w="100" w:type="dxa"/>
              <w:bottom w:w="80" w:type="dxa"/>
              <w:end w:w="100" w:type="dxa"/>
            </w:tcMar>
            <w:shd w:fill="F4F6F7"/>
          </w:tcPr>
          <w:p>
            <w:pPr>
              <w:spacing w:after="0"/>
            </w:pPr>
            <w:r>
              <w:rPr>
                <w:rFonts w:ascii="Calibri" w:hAnsi="Calibri"/>
                <w:sz w:val="17"/>
              </w:rPr>
              <w:t>No</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color w:val="1F4D78"/>
                <w:sz w:val="17"/>
              </w:rPr>
              <w:t>artifacts/huggingface/</w:t>
            </w:r>
          </w:p>
        </w:tc>
        <w:tc>
          <w:tcPr>
            <w:tcW w:type="dxa" w:w="2232"/>
            <w:vAlign w:val="center"/>
            <w:tcMar>
              <w:top w:w="80" w:type="dxa"/>
              <w:start w:w="100" w:type="dxa"/>
              <w:bottom w:w="80" w:type="dxa"/>
              <w:end w:w="100" w:type="dxa"/>
            </w:tcMar>
            <w:shd w:fill="FFFFFF"/>
          </w:tcPr>
          <w:p>
            <w:pPr>
              <w:spacing w:after="0"/>
            </w:pPr>
            <w:r>
              <w:rPr>
                <w:rFonts w:ascii="Calibri" w:hAnsi="Calibri"/>
                <w:sz w:val="17"/>
              </w:rPr>
              <w:t>Reviewed local release bundles</w:t>
            </w:r>
          </w:p>
        </w:tc>
        <w:tc>
          <w:tcPr>
            <w:tcW w:type="dxa" w:w="4896"/>
            <w:vAlign w:val="center"/>
            <w:tcMar>
              <w:top w:w="80" w:type="dxa"/>
              <w:start w:w="100" w:type="dxa"/>
              <w:bottom w:w="80" w:type="dxa"/>
              <w:end w:w="100" w:type="dxa"/>
            </w:tcMar>
            <w:shd w:fill="FFFFFF"/>
          </w:tcPr>
          <w:p>
            <w:pPr>
              <w:spacing w:after="0"/>
            </w:pPr>
            <w:r>
              <w:rPr>
                <w:rFonts w:ascii="Calibri" w:hAnsi="Calibri"/>
                <w:sz w:val="17"/>
              </w:rPr>
              <w:t>No; publish separately</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color w:val="1F4D78"/>
                <w:sz w:val="17"/>
              </w:rPr>
              <w:t>artifacts/exports/</w:t>
            </w:r>
          </w:p>
        </w:tc>
        <w:tc>
          <w:tcPr>
            <w:tcW w:type="dxa" w:w="2232"/>
            <w:vAlign w:val="center"/>
            <w:tcMar>
              <w:top w:w="80" w:type="dxa"/>
              <w:start w:w="100" w:type="dxa"/>
              <w:bottom w:w="80" w:type="dxa"/>
              <w:end w:w="100" w:type="dxa"/>
            </w:tcMar>
            <w:shd w:fill="F4F6F7"/>
          </w:tcPr>
          <w:p>
            <w:pPr>
              <w:spacing w:after="0"/>
            </w:pPr>
            <w:r>
              <w:rPr>
                <w:rFonts w:ascii="Calibri" w:hAnsi="Calibri"/>
                <w:sz w:val="17"/>
              </w:rPr>
              <w:t>Generated notebooks and scripts</w:t>
            </w:r>
          </w:p>
        </w:tc>
        <w:tc>
          <w:tcPr>
            <w:tcW w:type="dxa" w:w="4896"/>
            <w:vAlign w:val="center"/>
            <w:tcMar>
              <w:top w:w="80" w:type="dxa"/>
              <w:start w:w="100" w:type="dxa"/>
              <w:bottom w:w="80" w:type="dxa"/>
              <w:end w:w="100" w:type="dxa"/>
            </w:tcMar>
            <w:shd w:fill="F4F6F7"/>
          </w:tcPr>
          <w:p>
            <w:pPr>
              <w:spacing w:after="0"/>
            </w:pPr>
            <w:r>
              <w:rPr>
                <w:rFonts w:ascii="Calibri" w:hAnsi="Calibri"/>
                <w:sz w:val="17"/>
              </w:rPr>
              <w:t>Review individually</w:t>
            </w:r>
          </w:p>
        </w:tc>
      </w:tr>
      <w:tr>
        <w:trPr>
          <w:cantSplit/>
        </w:trPr>
        <w:tc>
          <w:tcPr>
            <w:tcW w:type="dxa" w:w="2232"/>
            <w:vAlign w:val="center"/>
            <w:tcMar>
              <w:top w:w="80" w:type="dxa"/>
              <w:start w:w="100" w:type="dxa"/>
              <w:bottom w:w="80" w:type="dxa"/>
              <w:end w:w="100" w:type="dxa"/>
            </w:tcMar>
            <w:shd w:fill="FFFFFF"/>
          </w:tcPr>
          <w:p>
            <w:pPr>
              <w:spacing w:after="0"/>
            </w:pPr>
            <w:r>
              <w:rPr>
                <w:rFonts w:ascii="Calibri" w:hAnsi="Calibri"/>
                <w:color w:val="1F4D78"/>
                <w:sz w:val="17"/>
              </w:rPr>
              <w:t>wandb/</w:t>
            </w:r>
          </w:p>
        </w:tc>
        <w:tc>
          <w:tcPr>
            <w:tcW w:type="dxa" w:w="2232"/>
            <w:vAlign w:val="center"/>
            <w:tcMar>
              <w:top w:w="80" w:type="dxa"/>
              <w:start w:w="100" w:type="dxa"/>
              <w:bottom w:w="80" w:type="dxa"/>
              <w:end w:w="100" w:type="dxa"/>
            </w:tcMar>
            <w:shd w:fill="FFFFFF"/>
          </w:tcPr>
          <w:p>
            <w:pPr>
              <w:spacing w:after="0"/>
            </w:pPr>
            <w:r>
              <w:rPr>
                <w:rFonts w:ascii="Calibri" w:hAnsi="Calibri"/>
                <w:sz w:val="17"/>
              </w:rPr>
              <w:t>Offline W&amp;B runs and logs</w:t>
            </w:r>
          </w:p>
        </w:tc>
        <w:tc>
          <w:tcPr>
            <w:tcW w:type="dxa" w:w="4896"/>
            <w:vAlign w:val="center"/>
            <w:tcMar>
              <w:top w:w="80" w:type="dxa"/>
              <w:start w:w="100" w:type="dxa"/>
              <w:bottom w:w="80" w:type="dxa"/>
              <w:end w:w="100" w:type="dxa"/>
            </w:tcMar>
            <w:shd w:fill="FFFFFF"/>
          </w:tcPr>
          <w:p>
            <w:pPr>
              <w:spacing w:after="0"/>
            </w:pPr>
            <w:r>
              <w:rPr>
                <w:rFonts w:ascii="Calibri" w:hAnsi="Calibri"/>
                <w:sz w:val="17"/>
              </w:rPr>
              <w:t>No</w:t>
            </w:r>
          </w:p>
        </w:tc>
      </w:tr>
      <w:tr>
        <w:trPr>
          <w:cantSplit/>
        </w:trPr>
        <w:tc>
          <w:tcPr>
            <w:tcW w:type="dxa" w:w="2232"/>
            <w:vAlign w:val="center"/>
            <w:tcMar>
              <w:top w:w="80" w:type="dxa"/>
              <w:start w:w="100" w:type="dxa"/>
              <w:bottom w:w="80" w:type="dxa"/>
              <w:end w:w="100" w:type="dxa"/>
            </w:tcMar>
            <w:shd w:fill="F4F6F7"/>
          </w:tcPr>
          <w:p>
            <w:pPr>
              <w:spacing w:after="0"/>
            </w:pPr>
            <w:r>
              <w:rPr>
                <w:rFonts w:ascii="Calibri" w:hAnsi="Calibri"/>
                <w:color w:val="1F4D78"/>
                <w:sz w:val="17"/>
              </w:rPr>
              <w:t>.streamlit/secrets.toml</w:t>
            </w:r>
          </w:p>
        </w:tc>
        <w:tc>
          <w:tcPr>
            <w:tcW w:type="dxa" w:w="2232"/>
            <w:vAlign w:val="center"/>
            <w:tcMar>
              <w:top w:w="80" w:type="dxa"/>
              <w:start w:w="100" w:type="dxa"/>
              <w:bottom w:w="80" w:type="dxa"/>
              <w:end w:w="100" w:type="dxa"/>
            </w:tcMar>
            <w:shd w:fill="F4F6F7"/>
          </w:tcPr>
          <w:p>
            <w:pPr>
              <w:spacing w:after="0"/>
            </w:pPr>
            <w:r>
              <w:rPr>
                <w:rFonts w:ascii="Calibri" w:hAnsi="Calibri"/>
                <w:sz w:val="17"/>
              </w:rPr>
              <w:t>Local secrets</w:t>
            </w:r>
          </w:p>
        </w:tc>
        <w:tc>
          <w:tcPr>
            <w:tcW w:type="dxa" w:w="4896"/>
            <w:vAlign w:val="center"/>
            <w:tcMar>
              <w:top w:w="80" w:type="dxa"/>
              <w:start w:w="100" w:type="dxa"/>
              <w:bottom w:w="80" w:type="dxa"/>
              <w:end w:w="100" w:type="dxa"/>
            </w:tcMar>
            <w:shd w:fill="F4F6F7"/>
          </w:tcPr>
          <w:p>
            <w:pPr>
              <w:spacing w:after="0"/>
            </w:pPr>
            <w:r>
              <w:rPr>
                <w:rFonts w:ascii="Calibri" w:hAnsi="Calibri"/>
                <w:sz w:val="17"/>
              </w:rPr>
              <w:t>Never</w:t>
            </w:r>
          </w:p>
        </w:tc>
      </w:tr>
    </w:tbl>
    <w:p>
      <w:pPr>
        <w:spacing w:after="0"/>
      </w:pPr>
    </w:p>
    <w:p>
      <w:r>
        <w:t>A completed run can contain:</w:t>
      </w:r>
    </w:p>
    <w:p>
      <w:pPr>
        <w:pStyle w:val="ListBullet"/>
      </w:pPr>
      <w:r>
        <w:rPr>
          <w:rFonts w:ascii="Consolas" w:hAnsi="Consolas"/>
          <w:color w:val="1F4D78"/>
          <w:sz w:val="18"/>
        </w:rPr>
        <w:t>status.json</w:t>
      </w:r>
      <w:r>
        <w:t xml:space="preserve"> for live state;</w:t>
      </w:r>
    </w:p>
    <w:p>
      <w:pPr>
        <w:pStyle w:val="ListBullet"/>
      </w:pPr>
      <w:r>
        <w:rPr>
          <w:rFonts w:ascii="Consolas" w:hAnsi="Consolas"/>
          <w:color w:val="1F4D78"/>
          <w:sz w:val="18"/>
        </w:rPr>
        <w:t>history.json</w:t>
      </w:r>
      <w:r>
        <w:t xml:space="preserve"> for epoch history;</w:t>
      </w:r>
    </w:p>
    <w:p>
      <w:pPr>
        <w:pStyle w:val="ListBullet"/>
      </w:pPr>
      <w:r>
        <w:rPr>
          <w:rFonts w:ascii="Consolas" w:hAnsi="Consolas"/>
          <w:color w:val="1F4D78"/>
          <w:sz w:val="18"/>
        </w:rPr>
        <w:t>labels.json</w:t>
      </w:r>
      <w:r>
        <w:t xml:space="preserve"> for label-to-ID mapping;</w:t>
      </w:r>
    </w:p>
    <w:p>
      <w:pPr>
        <w:pStyle w:val="ListBullet"/>
      </w:pPr>
      <w:r>
        <w:rPr>
          <w:rFonts w:ascii="Consolas" w:hAnsi="Consolas"/>
          <w:color w:val="1F4D78"/>
          <w:sz w:val="18"/>
        </w:rPr>
        <w:t>summary.json</w:t>
      </w:r>
      <w:r>
        <w:t xml:space="preserve"> for configuration, provenance, and final metrics;</w:t>
      </w:r>
    </w:p>
    <w:p>
      <w:pPr>
        <w:pStyle w:val="ListBullet"/>
      </w:pPr>
      <w:r>
        <w:rPr>
          <w:rFonts w:ascii="Consolas" w:hAnsi="Consolas"/>
          <w:color w:val="1F4D78"/>
          <w:sz w:val="18"/>
        </w:rPr>
        <w:t>test_predictions.csv</w:t>
      </w:r>
      <w:r>
        <w:t xml:space="preserve"> for error analysis;</w:t>
      </w:r>
    </w:p>
    <w:p>
      <w:pPr>
        <w:pStyle w:val="ListBullet"/>
      </w:pPr>
      <w:r>
        <w:rPr>
          <w:rFonts w:ascii="Consolas" w:hAnsi="Consolas"/>
          <w:color w:val="1F4D78"/>
          <w:sz w:val="18"/>
        </w:rPr>
        <w:t>data_splits/</w:t>
      </w:r>
      <w:r>
        <w:t xml:space="preserve"> for the exact train/validation/test CSVs; and</w:t>
      </w:r>
    </w:p>
    <w:p>
      <w:pPr>
        <w:pStyle w:val="ListBullet"/>
      </w:pPr>
      <w:r>
        <w:rPr>
          <w:rFonts w:ascii="Consolas" w:hAnsi="Consolas"/>
          <w:color w:val="1F4D78"/>
          <w:sz w:val="18"/>
        </w:rPr>
        <w:t>best/</w:t>
      </w:r>
      <w:r>
        <w:t xml:space="preserve"> for the selected model and tokenizer.</w:t>
      </w:r>
    </w:p>
    <w:p>
      <w:r>
        <w:t>Treat split files and predictions as sensitive if the source data is sensitive.</w:t>
      </w:r>
    </w:p>
    <w:p>
      <w:bookmarkStart w:id="187" w:name="guide_sec_088"/>
      <w:pPr>
        <w:pStyle w:val="Heading1"/>
      </w:pPr>
      <w:r>
        <w:t>13. Troubleshooting</w:t>
      </w:r>
      <w:bookmarkEnd w:id="187"/>
    </w:p>
    <w:p>
      <w:bookmarkStart w:id="188" w:name="guide_sec_089"/>
      <w:pPr>
        <w:pStyle w:val="Heading2"/>
      </w:pPr>
      <w:r>
        <w:t>13.1 The batch file closes immediately</w:t>
      </w:r>
      <w:bookmarkEnd w:id="188"/>
    </w:p>
    <w:p>
      <w:r>
        <w:t xml:space="preserve">Open PowerShell in the repository and run </w:t>
      </w:r>
      <w:r>
        <w:rPr>
          <w:rFonts w:ascii="Consolas" w:hAnsi="Consolas"/>
          <w:color w:val="1F4D78"/>
          <w:sz w:val="18"/>
        </w:rPr>
        <w:t>.\run.ps1</w:t>
      </w:r>
      <w:r>
        <w:t xml:space="preserve"> so the error remains visible. Confirm </w:t>
      </w:r>
      <w:r>
        <w:rPr>
          <w:rFonts w:ascii="Consolas" w:hAnsi="Consolas"/>
          <w:color w:val="1F4D78"/>
          <w:sz w:val="18"/>
        </w:rPr>
        <w:t>uv --version</w:t>
      </w:r>
      <w:r>
        <w:t xml:space="preserve">, rerun </w:t>
      </w:r>
      <w:r>
        <w:rPr>
          <w:rFonts w:ascii="Consolas" w:hAnsi="Consolas"/>
          <w:color w:val="1F4D78"/>
          <w:sz w:val="18"/>
        </w:rPr>
        <w:t>.\setup.ps1</w:t>
      </w:r>
      <w:r>
        <w:t>, and inspect whether port 8501 is already in use.</w:t>
      </w:r>
    </w:p>
    <w:p>
      <w:bookmarkStart w:id="189" w:name="guide_sec_090"/>
      <w:pPr>
        <w:pStyle w:val="Heading2"/>
      </w:pPr>
      <w:r>
        <w:t>13.2 CUDA is unavailable</w:t>
      </w:r>
      <w:bookmarkEnd w:id="189"/>
    </w:p>
    <w:p>
      <w:r>
        <w:t>Run:</w:t>
      </w:r>
    </w:p>
    <w:p>
      <w:pPr>
        <w:pStyle w:val="CodeBlock"/>
        <w:shd w:fill="F4F6F7"/>
        <w:pBdr>
          <w:left w:val="single" w:sz="18" w:space="8" w:color="C9D3DD"/>
        </w:pBdr>
      </w:pPr>
      <w:r>
        <w:rPr>
          <w:rFonts w:ascii="Consolas" w:hAnsi="Consolas"/>
          <w:sz w:val="17"/>
        </w:rPr>
        <w:t>uv run --extra cu129 contractlab doctor</w:t>
      </w:r>
      <w:r>
        <w:br/>
      </w:r>
      <w:r>
        <w:rPr>
          <w:rFonts w:ascii="Consolas" w:hAnsi="Consolas"/>
          <w:sz w:val="17"/>
        </w:rPr>
        <w:t>nvidia-smi</w:t>
      </w:r>
    </w:p>
    <w:p>
      <w:r>
        <w:t>Confirm the GPU and driver are visible, then resynchronize:</w:t>
      </w:r>
    </w:p>
    <w:p>
      <w:pPr>
        <w:pStyle w:val="CodeBlock"/>
        <w:shd w:fill="F4F6F7"/>
        <w:pBdr>
          <w:left w:val="single" w:sz="18" w:space="8" w:color="C9D3DD"/>
        </w:pBdr>
      </w:pPr>
      <w:r>
        <w:rPr>
          <w:rFonts w:ascii="Consolas" w:hAnsi="Consolas"/>
          <w:sz w:val="17"/>
        </w:rPr>
        <w:t>uv sync --python 3.12 --extra dev --extra cu129</w:t>
      </w:r>
    </w:p>
    <w:p>
      <w:r>
        <w:t xml:space="preserve">If </w:t>
      </w:r>
      <w:r>
        <w:rPr>
          <w:rFonts w:ascii="Consolas" w:hAnsi="Consolas"/>
          <w:color w:val="1F4D78"/>
          <w:sz w:val="18"/>
        </w:rPr>
        <w:t>torch</w:t>
      </w:r>
      <w:r>
        <w:t xml:space="preserve"> shows a CPU build, make sure the command did not use </w:t>
      </w:r>
      <w:r>
        <w:rPr>
          <w:rFonts w:ascii="Consolas" w:hAnsi="Consolas"/>
          <w:color w:val="1F4D78"/>
          <w:sz w:val="18"/>
        </w:rPr>
        <w:t>--extra cpu</w:t>
      </w:r>
      <w:r>
        <w:t>.</w:t>
      </w:r>
    </w:p>
    <w:p>
      <w:bookmarkStart w:id="190" w:name="guide_sec_091"/>
      <w:pPr>
        <w:pStyle w:val="Heading2"/>
      </w:pPr>
      <w:r>
        <w:t>13.3 CUDA out of memory</w:t>
      </w:r>
      <w:bookmarkEnd w:id="190"/>
    </w:p>
    <w:p>
      <w:r>
        <w:t>Try these changes in order:</w:t>
      </w:r>
    </w:p>
    <w:p>
      <w:pPr>
        <w:pStyle w:val="ListNumber"/>
        <w:numPr>
          <w:ilvl w:val="0"/>
          <w:numId w:val="17"/>
        </w:numPr>
      </w:pPr>
      <w:r>
        <w:t>lower train batch size from 8 to 4 or 2;</w:t>
      </w:r>
    </w:p>
    <w:p>
      <w:pPr>
        <w:pStyle w:val="ListNumber"/>
        <w:numPr>
          <w:ilvl w:val="0"/>
          <w:numId w:val="17"/>
        </w:numPr>
      </w:pPr>
      <w:r>
        <w:t>raise gradient accumulation to preserve an effective batch;</w:t>
      </w:r>
    </w:p>
    <w:p>
      <w:pPr>
        <w:pStyle w:val="ListNumber"/>
        <w:numPr>
          <w:ilvl w:val="0"/>
          <w:numId w:val="17"/>
        </w:numPr>
      </w:pPr>
      <w:r>
        <w:t>lower maximum length from 256 to 192 or 128;</w:t>
      </w:r>
    </w:p>
    <w:p>
      <w:pPr>
        <w:pStyle w:val="ListNumber"/>
        <w:numPr>
          <w:ilvl w:val="0"/>
          <w:numId w:val="17"/>
        </w:numPr>
      </w:pPr>
      <w:r>
        <w:t>close other GPU applications;</w:t>
      </w:r>
    </w:p>
    <w:p>
      <w:pPr>
        <w:pStyle w:val="ListNumber"/>
        <w:numPr>
          <w:ilvl w:val="0"/>
          <w:numId w:val="17"/>
        </w:numPr>
      </w:pPr>
      <w:r>
        <w:t>enable encoder freezing for a teaching run; or</w:t>
      </w:r>
    </w:p>
    <w:p>
      <w:pPr>
        <w:pStyle w:val="ListNumber"/>
        <w:numPr>
          <w:ilvl w:val="0"/>
          <w:numId w:val="17"/>
        </w:numPr>
      </w:pPr>
      <w:r>
        <w:t>choose a smaller model preset.</w:t>
      </w:r>
    </w:p>
    <w:p>
      <w:r>
        <w:t>Restart the failed run with a new run name. Do not assume cached allocations represent a memory leak.</w:t>
      </w:r>
    </w:p>
    <w:p>
      <w:bookmarkStart w:id="191" w:name="guide_sec_092"/>
      <w:pPr>
        <w:pStyle w:val="Heading2"/>
      </w:pPr>
      <w:r>
        <w:t>13.4 Model download fails</w:t>
      </w:r>
      <w:bookmarkEnd w:id="191"/>
    </w:p>
    <w:p>
      <w:r>
        <w:t>Confirm network access and the exact Hugging Face model ID. Some models require accepting terms or authentication. Corporate proxies and TLS inspection may require organization-specific configuration. Do not disable certificate verification as a shortcut.</w:t>
      </w:r>
    </w:p>
    <w:p>
      <w:bookmarkStart w:id="192" w:name="guide_sec_093"/>
      <w:pPr>
        <w:pStyle w:val="Heading2"/>
      </w:pPr>
      <w:r>
        <w:t>13.5 Dataset validation fails</w:t>
      </w:r>
      <w:bookmarkEnd w:id="192"/>
    </w:p>
    <w:p>
      <w:r>
        <w:t xml:space="preserve">Check exact lowercase meanings for </w:t>
      </w:r>
      <w:r>
        <w:rPr>
          <w:rFonts w:ascii="Consolas" w:hAnsi="Consolas"/>
          <w:color w:val="1F4D78"/>
          <w:sz w:val="18"/>
        </w:rPr>
        <w:t>text</w:t>
      </w:r>
      <w:r>
        <w:t xml:space="preserve"> and </w:t>
      </w:r>
      <w:r>
        <w:rPr>
          <w:rFonts w:ascii="Consolas" w:hAnsi="Consolas"/>
          <w:color w:val="1F4D78"/>
          <w:sz w:val="18"/>
        </w:rPr>
        <w:t>label</w:t>
      </w:r>
      <w:r>
        <w:t xml:space="preserve">, remove empty values, provide at least two labels and three distinct </w:t>
      </w:r>
      <w:r>
        <w:rPr>
          <w:rFonts w:ascii="Consolas" w:hAnsi="Consolas"/>
          <w:color w:val="1F4D78"/>
          <w:sz w:val="18"/>
        </w:rPr>
        <w:t>contract_id</w:t>
      </w:r>
      <w:r>
        <w:t xml:space="preserve"> values, and inspect duplicate text. Save CSV as UTF-8.</w:t>
      </w:r>
    </w:p>
    <w:p>
      <w:bookmarkStart w:id="193" w:name="guide_sec_094"/>
      <w:pPr>
        <w:pStyle w:val="Heading2"/>
      </w:pPr>
      <w:r>
        <w:t>13.6 Training completes but scores are poor</w:t>
      </w:r>
      <w:bookmarkEnd w:id="193"/>
    </w:p>
    <w:p>
      <w:r>
        <w:t>Use error analysis before extending training. Common causes are too little data, inconsistent labels, unrepresentative synthetic text, severe class imbalance, truncation, or mismatch between train and test drafting styles.</w:t>
      </w:r>
    </w:p>
    <w:p>
      <w:bookmarkStart w:id="194" w:name="guide_sec_095"/>
      <w:pPr>
        <w:pStyle w:val="Heading2"/>
      </w:pPr>
      <w:r>
        <w:t>13.7 W&amp;B authentication or network errors</w:t>
      </w:r>
      <w:bookmarkEnd w:id="194"/>
    </w:p>
    <w:p>
      <w:r>
        <w:t xml:space="preserve">Switch to </w:t>
      </w:r>
      <w:r>
        <w:rPr>
          <w:rFonts w:ascii="Consolas" w:hAnsi="Consolas"/>
          <w:color w:val="1F4D78"/>
          <w:sz w:val="18"/>
        </w:rPr>
        <w:t>offline</w:t>
      </w:r>
      <w:r>
        <w:t xml:space="preserve"> or </w:t>
      </w:r>
      <w:r>
        <w:rPr>
          <w:rFonts w:ascii="Consolas" w:hAnsi="Consolas"/>
          <w:color w:val="1F4D78"/>
          <w:sz w:val="18"/>
        </w:rPr>
        <w:t>disabled</w:t>
      </w:r>
      <w:r>
        <w:t xml:space="preserve"> mode. Verify </w:t>
      </w:r>
      <w:r>
        <w:rPr>
          <w:rFonts w:ascii="Consolas" w:hAnsi="Consolas"/>
          <w:color w:val="1F4D78"/>
          <w:sz w:val="18"/>
        </w:rPr>
        <w:t>wandb login</w:t>
      </w:r>
      <w:r>
        <w:t xml:space="preserve"> outside the app. Never paste an API key into an issue or log. Delete and rotate a key that was exposed.</w:t>
      </w:r>
    </w:p>
    <w:p>
      <w:bookmarkStart w:id="195" w:name="guide_sec_096"/>
      <w:pPr>
        <w:pStyle w:val="Heading2"/>
      </w:pPr>
      <w:r>
        <w:t>13.8 A PDF contains no text</w:t>
      </w:r>
      <w:bookmarkEnd w:id="195"/>
    </w:p>
    <w:p>
      <w:r>
        <w:t>The PDF is probably scanned or has unusual text encoding. AI-Enabled Contracts Lab does not perform OCR in version 0.1.0. Use an approved OCR workflow, review the extracted text, and upload a supported text-bearing file.</w:t>
      </w:r>
    </w:p>
    <w:p>
      <w:bookmarkStart w:id="196" w:name="guide_sec_097"/>
      <w:pPr>
        <w:pStyle w:val="Heading1"/>
      </w:pPr>
      <w:r>
        <w:t>14. Privacy, licensing, and responsible use</w:t>
      </w:r>
      <w:bookmarkEnd w:id="196"/>
    </w:p>
    <w:p>
      <w:bookmarkStart w:id="197" w:name="guide_sec_098"/>
      <w:pPr>
        <w:pStyle w:val="Heading2"/>
      </w:pPr>
      <w:r>
        <w:t>14.1 Local-first is not the same as risk-free</w:t>
      </w:r>
      <w:bookmarkEnd w:id="197"/>
    </w:p>
    <w:p>
      <w:r>
        <w:t>AI-Enabled Contracts Lab processes uploads locally by default, but downloaded models, optional W&amp;B, backups, antivirus tools, synced folders, and operating-system telemetry may create other data flows. Use the application only within your organization's rules and with appropriately authorized data.</w:t>
      </w:r>
    </w:p>
    <w:p>
      <w:bookmarkStart w:id="198" w:name="guide_sec_099"/>
      <w:pPr>
        <w:pStyle w:val="Heading2"/>
      </w:pPr>
      <w:r>
        <w:t>14.2 Secrets</w:t>
      </w:r>
      <w:bookmarkEnd w:id="198"/>
    </w:p>
    <w:p>
      <w:r>
        <w:t xml:space="preserve">API keys belong in protected environment variables or ignored secret files. Never commit </w:t>
      </w:r>
      <w:r>
        <w:rPr>
          <w:rFonts w:ascii="Consolas" w:hAnsi="Consolas"/>
          <w:color w:val="1F4D78"/>
          <w:sz w:val="18"/>
        </w:rPr>
        <w:t>.env</w:t>
      </w:r>
      <w:r>
        <w:t xml:space="preserve">, </w:t>
      </w:r>
      <w:r>
        <w:rPr>
          <w:rFonts w:ascii="Consolas" w:hAnsi="Consolas"/>
          <w:color w:val="1F4D78"/>
          <w:sz w:val="18"/>
        </w:rPr>
        <w:t>.streamlit/secrets.toml</w:t>
      </w:r>
      <w:r>
        <w:t>, copied console output containing a token, or notebook outputs that reveal a key.</w:t>
      </w:r>
    </w:p>
    <w:p>
      <w:bookmarkStart w:id="199" w:name="guide_sec_100"/>
      <w:pPr>
        <w:pStyle w:val="Heading2"/>
      </w:pPr>
      <w:r>
        <w:t>14.3 Third-party licenses</w:t>
      </w:r>
      <w:bookmarkEnd w:id="199"/>
    </w:p>
    <w:p>
      <w:r>
        <w:t>The repository uses MIT for its original code and synthetic examples. A model, tokenizer, dataset, or downloaded contract collection can have separate terms. Record the exact version, source URL, license, attribution, and transformation. Review current source terms before redistribution.</w:t>
      </w:r>
    </w:p>
    <w:p>
      <w:r>
        <w:t>CUAD-derived rows are not relicensed as MIT merely because they are stored in this repository. Retain the CC BY 4.0 notice and attribution. The CUAD publisher also disclaims representations and warranties about the license status of the underlying EDGAR contracts. Treat dataset licensing, contract-party rights, and your intended use as separate review questions.</w:t>
      </w:r>
    </w:p>
    <w:p>
      <w:bookmarkStart w:id="200" w:name="guide_sec_101"/>
      <w:pPr>
        <w:pStyle w:val="Heading2"/>
      </w:pPr>
      <w:r>
        <w:t>14.4 Human review and documentation</w:t>
      </w:r>
      <w:bookmarkEnd w:id="200"/>
    </w:p>
    <w:p>
      <w:r>
        <w:t>For any serious evaluation, document intended use, excluded use, population and contract coverage, label definitions, dataset dates, limitations, error rates, calibration, reviewers, and the escalation path when the model is uncertain.</w:t>
      </w:r>
    </w:p>
    <w:p>
      <w:bookmarkStart w:id="201" w:name="guide_sec_102"/>
      <w:pPr>
        <w:pStyle w:val="Heading1"/>
      </w:pPr>
      <w:r>
        <w:t>15. Move the project to a private GitHub repository</w:t>
      </w:r>
      <w:bookmarkEnd w:id="201"/>
    </w:p>
    <w:p>
      <w:r>
        <w:t xml:space="preserve">The intended repository is </w:t>
      </w:r>
      <w:r>
        <w:rPr>
          <w:rFonts w:ascii="Consolas" w:hAnsi="Consolas"/>
          <w:color w:val="1F4D78"/>
          <w:sz w:val="18"/>
        </w:rPr>
        <w:t>https://github.com/RamiJaloudi/ai-enabled-contracts-lab</w:t>
      </w:r>
      <w:r>
        <w:t xml:space="preserve">. The safe sequence is local review, private creation, private web and clean-clone validation, and only then a separate decision about public visibility. GitHub documents the local-code workflow at </w:t>
      </w:r>
      <w:r>
        <w:rPr>
          <w:rFonts w:ascii="Consolas" w:hAnsi="Consolas"/>
          <w:color w:val="1F4D78"/>
          <w:sz w:val="18"/>
        </w:rPr>
        <w:t>https://docs.github.com/en/migrations/importing-source-code/using-the-command-line-to-import-source-code/adding-locally-hosted-code-to-github</w:t>
      </w:r>
      <w:r>
        <w:t>.</w:t>
      </w:r>
    </w:p>
    <w:p>
      <w:bookmarkStart w:id="202" w:name="guide_sec_103"/>
      <w:pPr>
        <w:pStyle w:val="Heading2"/>
      </w:pPr>
      <w:r>
        <w:t>15.1 Understand what belongs in GitHub</w:t>
      </w:r>
      <w:bookmarkEnd w:id="202"/>
    </w:p>
    <w:p>
      <w:r>
        <w:t xml:space="preserve">Include source code, tests, configuration, small redistributable examples, documentation, model cards, evaluation summaries, and reproducibility scripts. Keep out private contracts, chat data, credentials, </w:t>
      </w:r>
      <w:r>
        <w:rPr>
          <w:rFonts w:ascii="Consolas" w:hAnsi="Consolas"/>
          <w:color w:val="1F4D78"/>
          <w:sz w:val="18"/>
        </w:rPr>
        <w:t>.env</w:t>
      </w:r>
      <w:r>
        <w:t xml:space="preserve">, Streamlit secrets, W&amp;B directories, raw checkpoints, prepared Hugging Face weights, imported datasets, and generated artifacts. Model weights larger than normal Git limits belong in Hugging Face; use Git LFS only for reviewed repository files that genuinely require it. GitHub's LFS guide is at </w:t>
      </w:r>
      <w:r>
        <w:rPr>
          <w:rFonts w:ascii="Consolas" w:hAnsi="Consolas"/>
          <w:color w:val="1F4D78"/>
          <w:sz w:val="18"/>
        </w:rPr>
        <w:t>https://docs.github.com/en/repositories/working-with-files/managing-large-files/about-git-large-file-storage</w:t>
      </w:r>
      <w:r>
        <w:t>.</w:t>
      </w:r>
    </w:p>
    <w:p>
      <w:bookmarkStart w:id="203" w:name="guide_sec_104"/>
      <w:pPr>
        <w:pStyle w:val="Heading2"/>
      </w:pPr>
      <w:r>
        <w:t>15.2 Review the local repository</w:t>
      </w:r>
      <w:bookmarkEnd w:id="203"/>
    </w:p>
    <w:p>
      <w:pPr>
        <w:pStyle w:val="CodeBlock"/>
        <w:shd w:fill="F4F6F7"/>
        <w:pBdr>
          <w:left w:val="single" w:sz="18" w:space="8" w:color="C9D3DD"/>
        </w:pBdr>
      </w:pPr>
      <w:r>
        <w:rPr>
          <w:rFonts w:ascii="Consolas" w:hAnsi="Consolas"/>
          <w:sz w:val="17"/>
        </w:rPr>
        <w:t>git status --short --ignored</w:t>
      </w:r>
      <w:r>
        <w:br/>
      </w:r>
      <w:r>
        <w:rPr>
          <w:rFonts w:ascii="Consolas" w:hAnsi="Consolas"/>
          <w:sz w:val="17"/>
        </w:rPr>
        <w:t>git check-ignore -v artifacts/ .env .streamlit/secrets.toml</w:t>
      </w:r>
      <w:r>
        <w:br/>
      </w:r>
      <w:r>
        <w:rPr>
          <w:rFonts w:ascii="Consolas" w:hAnsi="Consolas"/>
          <w:sz w:val="17"/>
        </w:rPr>
        <w:t>git diff --check</w:t>
      </w:r>
      <w:r>
        <w:br/>
      </w:r>
      <w:r>
        <w:rPr>
          <w:rFonts w:ascii="Consolas" w:hAnsi="Consolas"/>
          <w:sz w:val="17"/>
        </w:rPr>
        <w:t>uv lock --check</w:t>
      </w:r>
      <w:r>
        <w:br/>
      </w:r>
      <w:r>
        <w:rPr>
          <w:rFonts w:ascii="Consolas" w:hAnsi="Consolas"/>
          <w:sz w:val="17"/>
        </w:rPr>
        <w:t>uv run --extra cpu ruff check .</w:t>
      </w:r>
      <w:r>
        <w:br/>
      </w:r>
      <w:r>
        <w:rPr>
          <w:rFonts w:ascii="Consolas" w:hAnsi="Consolas"/>
          <w:sz w:val="17"/>
        </w:rPr>
        <w:t>uv run --extra cpu pytest</w:t>
      </w:r>
      <w:r>
        <w:br/>
      </w:r>
      <w:r>
        <w:rPr>
          <w:rFonts w:ascii="Consolas" w:hAnsi="Consolas"/>
          <w:sz w:val="17"/>
        </w:rPr>
        <w:t>uv build</w:t>
      </w:r>
    </w:p>
    <w:p>
      <w:r>
        <w:t xml:space="preserve">Open </w:t>
      </w:r>
      <w:r>
        <w:rPr>
          <w:rFonts w:ascii="Consolas" w:hAnsi="Consolas"/>
          <w:color w:val="1F4D78"/>
          <w:sz w:val="18"/>
        </w:rPr>
        <w:t>docs/PUBLIC_RELEASE_CHECKLIST.md</w:t>
      </w:r>
      <w:r>
        <w:t xml:space="preserve">. Run a trusted secret scanner, inspect all findings, review package contents, and verify every file to be staged. Do not use </w:t>
      </w:r>
      <w:r>
        <w:rPr>
          <w:rFonts w:ascii="Consolas" w:hAnsi="Consolas"/>
          <w:color w:val="1F4D78"/>
          <w:sz w:val="18"/>
        </w:rPr>
        <w:t>git add -A</w:t>
      </w:r>
      <w:r>
        <w:t xml:space="preserve"> until the entire worktree has been deliberately approved.</w:t>
      </w:r>
    </w:p>
    <w:p>
      <w:bookmarkStart w:id="204" w:name="guide_sec_105"/>
      <w:pPr>
        <w:pStyle w:val="Heading2"/>
      </w:pPr>
      <w:r>
        <w:t>15.3 Authenticate and verify the destination</w:t>
      </w:r>
      <w:bookmarkEnd w:id="204"/>
    </w:p>
    <w:p>
      <w:pPr>
        <w:pStyle w:val="CodeBlock"/>
        <w:shd w:fill="F4F6F7"/>
        <w:pBdr>
          <w:left w:val="single" w:sz="18" w:space="8" w:color="C9D3DD"/>
        </w:pBdr>
      </w:pPr>
      <w:r>
        <w:rPr>
          <w:rFonts w:ascii="Consolas" w:hAnsi="Consolas"/>
          <w:sz w:val="17"/>
        </w:rPr>
        <w:t>gh auth status</w:t>
      </w:r>
      <w:r>
        <w:br/>
      </w:r>
      <w:r>
        <w:rPr>
          <w:rFonts w:ascii="Consolas" w:hAnsi="Consolas"/>
          <w:sz w:val="17"/>
        </w:rPr>
        <w:t>gh repo view RamiJaloudi/ai-enabled-contracts-lab</w:t>
      </w:r>
      <w:r>
        <w:br/>
      </w:r>
      <w:r>
        <w:rPr>
          <w:rFonts w:ascii="Consolas" w:hAnsi="Consolas"/>
          <w:sz w:val="17"/>
        </w:rPr>
        <w:t>git remote -v</w:t>
      </w:r>
    </w:p>
    <w:p>
      <w:r>
        <w:rPr>
          <w:rFonts w:ascii="Consolas" w:hAnsi="Consolas"/>
          <w:color w:val="1F4D78"/>
          <w:sz w:val="18"/>
        </w:rPr>
        <w:t>gh auth status</w:t>
      </w:r>
      <w:r>
        <w:t xml:space="preserve"> must show the intended </w:t>
      </w:r>
      <w:r>
        <w:rPr>
          <w:rFonts w:ascii="Consolas" w:hAnsi="Consolas"/>
          <w:color w:val="1F4D78"/>
          <w:sz w:val="18"/>
        </w:rPr>
        <w:t>RamiJaloudi</w:t>
      </w:r>
      <w:r>
        <w:t xml:space="preserve"> account. If the repository already exists, stop and inspect its default branch, visibility, and remote before changing anything.</w:t>
      </w:r>
    </w:p>
    <w:p>
      <w:bookmarkStart w:id="205" w:name="guide_sec_106"/>
      <w:pPr>
        <w:pStyle w:val="Heading2"/>
      </w:pPr>
      <w:r>
        <w:t>15.4 Commit reviewed scope and create the private repository</w:t>
      </w:r>
      <w:bookmarkEnd w:id="205"/>
    </w:p>
    <w:p>
      <w:r>
        <w:t>For an initial project release, stage only the reviewed scope, inspect it, and commit:</w:t>
      </w:r>
    </w:p>
    <w:p>
      <w:pPr>
        <w:pStyle w:val="CodeBlock"/>
        <w:shd w:fill="F4F6F7"/>
        <w:pBdr>
          <w:left w:val="single" w:sz="18" w:space="8" w:color="C9D3DD"/>
        </w:pBdr>
      </w:pPr>
      <w:r>
        <w:rPr>
          <w:rFonts w:ascii="Consolas" w:hAnsi="Consolas"/>
          <w:sz w:val="17"/>
        </w:rPr>
        <w:t>git add &lt;reviewed-files&gt;</w:t>
      </w:r>
      <w:r>
        <w:br/>
      </w:r>
      <w:r>
        <w:rPr>
          <w:rFonts w:ascii="Consolas" w:hAnsi="Consolas"/>
          <w:sz w:val="17"/>
        </w:rPr>
        <w:t>git status --short</w:t>
      </w:r>
      <w:r>
        <w:br/>
      </w:r>
      <w:r>
        <w:rPr>
          <w:rFonts w:ascii="Consolas" w:hAnsi="Consolas"/>
          <w:sz w:val="17"/>
        </w:rPr>
        <w:t>git diff --cached --stat</w:t>
      </w:r>
      <w:r>
        <w:br/>
      </w:r>
      <w:r>
        <w:rPr>
          <w:rFonts w:ascii="Consolas" w:hAnsi="Consolas"/>
          <w:sz w:val="17"/>
        </w:rPr>
        <w:t>git diff --cached</w:t>
      </w:r>
      <w:r>
        <w:br/>
      </w:r>
      <w:r>
        <w:rPr>
          <w:rFonts w:ascii="Consolas" w:hAnsi="Consolas"/>
          <w:sz w:val="17"/>
        </w:rPr>
        <w:t>git commit -m "Initial private release"</w:t>
      </w:r>
    </w:p>
    <w:p>
      <w:r>
        <w:t>Then create and push the exact private destination:</w:t>
      </w:r>
    </w:p>
    <w:p>
      <w:pPr>
        <w:pStyle w:val="CodeBlock"/>
        <w:shd w:fill="F4F6F7"/>
        <w:pBdr>
          <w:left w:val="single" w:sz="18" w:space="8" w:color="C9D3DD"/>
        </w:pBdr>
      </w:pPr>
      <w:r>
        <w:rPr>
          <w:rFonts w:ascii="Consolas" w:hAnsi="Consolas"/>
          <w:sz w:val="17"/>
        </w:rPr>
        <w:t>gh repo create RamiJaloudi/ai-enabled-contracts-lab `</w:t>
      </w:r>
      <w:r>
        <w:br/>
      </w:r>
      <w:r>
        <w:rPr>
          <w:rFonts w:ascii="Consolas" w:hAnsi="Consolas"/>
          <w:sz w:val="17"/>
        </w:rPr>
        <w:t xml:space="preserve">  --private `</w:t>
      </w:r>
      <w:r>
        <w:br/>
      </w:r>
      <w:r>
        <w:rPr>
          <w:rFonts w:ascii="Consolas" w:hAnsi="Consolas"/>
          <w:sz w:val="17"/>
        </w:rPr>
        <w:t xml:space="preserve">  --source . `</w:t>
      </w:r>
      <w:r>
        <w:br/>
      </w:r>
      <w:r>
        <w:rPr>
          <w:rFonts w:ascii="Consolas" w:hAnsi="Consolas"/>
          <w:sz w:val="17"/>
        </w:rPr>
        <w:t xml:space="preserve">  --remote origin `</w:t>
      </w:r>
      <w:r>
        <w:br/>
      </w:r>
      <w:r>
        <w:rPr>
          <w:rFonts w:ascii="Consolas" w:hAnsi="Consolas"/>
          <w:sz w:val="17"/>
        </w:rPr>
        <w:t xml:space="preserve">  --push</w:t>
      </w:r>
    </w:p>
    <w:p>
      <w:r>
        <w:t xml:space="preserve">Never put </w:t>
      </w:r>
      <w:r>
        <w:rPr>
          <w:rFonts w:ascii="Consolas" w:hAnsi="Consolas"/>
          <w:color w:val="1F4D78"/>
          <w:sz w:val="18"/>
        </w:rPr>
        <w:t>--public</w:t>
      </w:r>
      <w:r>
        <w:t xml:space="preserve"> in the first command. A private repository limits visibility but does not undo a leaked secret or establish compliance.</w:t>
      </w:r>
    </w:p>
    <w:p>
      <w:bookmarkStart w:id="206" w:name="guide_sec_107"/>
      <w:pPr>
        <w:pStyle w:val="Heading2"/>
      </w:pPr>
      <w:r>
        <w:t>15.5 Validate privately</w:t>
      </w:r>
      <w:bookmarkEnd w:id="206"/>
    </w:p>
    <w:p>
      <w:r>
        <w:t>In GitHub, confirm repository visibility, README links, Actions permissions, Dependabot, licensing, security policy, model/data notices, and the absence of ignored material. Clone the private repository into a clean directory, install dependencies, run tests, build the package, start Streamlit, open Contract Chat, and download the Word guide.</w:t>
      </w:r>
    </w:p>
    <w:p>
      <w:bookmarkStart w:id="207" w:name="guide_sec_108"/>
      <w:pPr>
        <w:pStyle w:val="Heading2"/>
      </w:pPr>
      <w:r>
        <w:t>15.6 Prepare for a later public release</w:t>
      </w:r>
      <w:bookmarkEnd w:id="207"/>
    </w:p>
    <w:p>
      <w:r>
        <w:t xml:space="preserve">Require CI on protected branches, use read-only default workflow permissions, enable secret scanning and private vulnerability reporting, and require review when collaborators join. Add </w:t>
      </w:r>
      <w:r>
        <w:rPr>
          <w:rFonts w:ascii="Consolas" w:hAnsi="Consolas"/>
          <w:color w:val="1F4D78"/>
          <w:sz w:val="18"/>
        </w:rPr>
        <w:t>fine-tuning</w:t>
      </w:r>
      <w:r>
        <w:t xml:space="preserve">, </w:t>
      </w:r>
      <w:r>
        <w:rPr>
          <w:rFonts w:ascii="Consolas" w:hAnsi="Consolas"/>
          <w:color w:val="1F4D78"/>
          <w:sz w:val="18"/>
        </w:rPr>
        <w:t>legal-ai</w:t>
      </w:r>
      <w:r>
        <w:t xml:space="preserve">, </w:t>
      </w:r>
      <w:r>
        <w:rPr>
          <w:rFonts w:ascii="Consolas" w:hAnsi="Consolas"/>
          <w:color w:val="1F4D78"/>
          <w:sz w:val="18"/>
        </w:rPr>
        <w:t>pytorch</w:t>
      </w:r>
      <w:r>
        <w:t xml:space="preserve">, </w:t>
      </w:r>
      <w:r>
        <w:rPr>
          <w:rFonts w:ascii="Consolas" w:hAnsi="Consolas"/>
          <w:color w:val="1F4D78"/>
          <w:sz w:val="18"/>
        </w:rPr>
        <w:t>streamlit</w:t>
      </w:r>
      <w:r>
        <w:t xml:space="preserve">, and </w:t>
      </w:r>
      <w:r>
        <w:rPr>
          <w:rFonts w:ascii="Consolas" w:hAnsi="Consolas"/>
          <w:color w:val="1F4D78"/>
          <w:sz w:val="18"/>
        </w:rPr>
        <w:t>contracts</w:t>
      </w:r>
      <w:r>
        <w:t xml:space="preserve"> topics. Change visibility only after an independent review and repeat the educational, privacy, data-lineage, license, and model- limitation statements in the release notes.</w:t>
      </w:r>
    </w:p>
    <w:p>
      <w:bookmarkStart w:id="208" w:name="guide_sec_109"/>
      <w:pPr>
        <w:pStyle w:val="Heading1"/>
      </w:pPr>
      <w:r>
        <w:t>16. Load Contra v2 into a private Hugging Face repository</w:t>
      </w:r>
      <w:bookmarkEnd w:id="208"/>
    </w:p>
    <w:p>
      <w:r>
        <w:t xml:space="preserve">The intended model repository is </w:t>
      </w:r>
      <w:r>
        <w:rPr>
          <w:rFonts w:ascii="Consolas" w:hAnsi="Consolas"/>
          <w:color w:val="1F4D78"/>
          <w:sz w:val="18"/>
        </w:rPr>
        <w:t>https://huggingface.co/rjaloudi/contra-contracts-bert-cuad-clause-classifier</w:t>
      </w:r>
      <w:r>
        <w:t>. Contra v2 is a 41-label Contracts-BERT clause classifier and the first Hugging Face release target. It is a routing encoder, not the application's generative LLM and not a whole-contract legal reasoner.</w:t>
      </w:r>
    </w:p>
    <w:p>
      <w:bookmarkStart w:id="209" w:name="guide_sec_110"/>
      <w:pPr>
        <w:pStyle w:val="Heading2"/>
      </w:pPr>
      <w:r>
        <w:t>16.1 Authenticate safely</w:t>
      </w:r>
      <w:bookmarkEnd w:id="209"/>
    </w:p>
    <w:p>
      <w:r>
        <w:t>Use the official CLI credential store:</w:t>
      </w:r>
    </w:p>
    <w:p>
      <w:pPr>
        <w:pStyle w:val="CodeBlock"/>
        <w:shd w:fill="F4F6F7"/>
        <w:pBdr>
          <w:left w:val="single" w:sz="18" w:space="8" w:color="C9D3DD"/>
        </w:pBdr>
      </w:pPr>
      <w:r>
        <w:rPr>
          <w:rFonts w:ascii="Consolas" w:hAnsi="Consolas"/>
          <w:sz w:val="17"/>
        </w:rPr>
        <w:t>hf auth login</w:t>
      </w:r>
      <w:r>
        <w:br/>
      </w:r>
      <w:r>
        <w:rPr>
          <w:rFonts w:ascii="Consolas" w:hAnsi="Consolas"/>
          <w:sz w:val="17"/>
        </w:rPr>
        <w:t>hf auth whoami</w:t>
      </w:r>
    </w:p>
    <w:p>
      <w:r>
        <w:t xml:space="preserve">The account must be </w:t>
      </w:r>
      <w:r>
        <w:rPr>
          <w:rFonts w:ascii="Consolas" w:hAnsi="Consolas"/>
          <w:color w:val="1F4D78"/>
          <w:sz w:val="18"/>
        </w:rPr>
        <w:t>rjaloudi</w:t>
      </w:r>
      <w:r>
        <w:t xml:space="preserve">. Do not paste the token into Streamlit, Code Lab, source code, notebooks, screenshots, or chat. Official CLI documentation is at </w:t>
      </w:r>
      <w:r>
        <w:rPr>
          <w:rFonts w:ascii="Consolas" w:hAnsi="Consolas"/>
          <w:color w:val="1F4D78"/>
          <w:sz w:val="18"/>
        </w:rPr>
        <w:t>https://huggingface.co/docs/huggingface_hub/en/guides/cli</w:t>
      </w:r>
      <w:r>
        <w:t>.</w:t>
      </w:r>
    </w:p>
    <w:p>
      <w:bookmarkStart w:id="210" w:name="guide_sec_111"/>
      <w:pPr>
        <w:pStyle w:val="Heading2"/>
      </w:pPr>
      <w:r>
        <w:t>16.2 Prepare the reviewed bundle</w:t>
      </w:r>
      <w:bookmarkEnd w:id="210"/>
    </w:p>
    <w:p>
      <w:pPr>
        <w:pStyle w:val="CodeBlock"/>
        <w:shd w:fill="F4F6F7"/>
        <w:pBdr>
          <w:left w:val="single" w:sz="18" w:space="8" w:color="C9D3DD"/>
        </w:pBdr>
      </w:pPr>
      <w:r>
        <w:rPr>
          <w:rFonts w:ascii="Consolas" w:hAnsi="Consolas"/>
          <w:sz w:val="17"/>
        </w:rPr>
        <w:t>.\.venv\Scripts\python.exe tools\prepare_huggingface_model.py `</w:t>
      </w:r>
      <w:r>
        <w:br/>
      </w:r>
      <w:r>
        <w:rPr>
          <w:rFonts w:ascii="Consolas" w:hAnsi="Consolas"/>
          <w:sz w:val="17"/>
        </w:rPr>
        <w:t xml:space="preserve">  --version v2 `</w:t>
      </w:r>
      <w:r>
        <w:br/>
      </w:r>
      <w:r>
        <w:rPr>
          <w:rFonts w:ascii="Consolas" w:hAnsi="Consolas"/>
          <w:sz w:val="17"/>
        </w:rPr>
        <w:t xml:space="preserve">  --repo-id rjaloudi/contra-contracts-bert-cuad-clause-classifier</w:t>
      </w:r>
    </w:p>
    <w:p>
      <w:r>
        <w:t xml:space="preserve">The tool copies safe model and tokenizer files into the Git-ignored </w:t>
      </w:r>
      <w:r>
        <w:rPr>
          <w:rFonts w:ascii="Consolas" w:hAnsi="Consolas"/>
          <w:color w:val="1F4D78"/>
          <w:sz w:val="18"/>
        </w:rPr>
        <w:t>artifacts/huggingface/contra-contracts-bert-cuad-clause-classifier/</w:t>
      </w:r>
      <w:r>
        <w:t xml:space="preserve"> directory and generates a model card, training configuration, and evaluation summary. Inspect every file. The model card must disclose 0.6036 macro-F1, 1,008 held-out examples, six zero-F1 labels, the contract-grouped split, CUAD lineage, CC BY-SA 4.0, and intended-use limits.</w:t>
      </w:r>
    </w:p>
    <w:p>
      <w:bookmarkStart w:id="211" w:name="guide_sec_112"/>
      <w:pPr>
        <w:pStyle w:val="Heading2"/>
      </w:pPr>
      <w:r>
        <w:t>16.3 Run a local inference smoke test</w:t>
      </w:r>
      <w:bookmarkEnd w:id="211"/>
    </w:p>
    <w:p>
      <w:r>
        <w:t xml:space="preserve">Load the prepared folder using </w:t>
      </w:r>
      <w:r>
        <w:rPr>
          <w:rFonts w:ascii="Consolas" w:hAnsi="Consolas"/>
          <w:color w:val="1F4D78"/>
          <w:sz w:val="18"/>
        </w:rPr>
        <w:t>AutoTokenizer</w:t>
      </w:r>
      <w:r>
        <w:t xml:space="preserve"> and </w:t>
      </w:r>
      <w:r>
        <w:rPr>
          <w:rFonts w:ascii="Consolas" w:hAnsi="Consolas"/>
          <w:color w:val="1F4D78"/>
          <w:sz w:val="18"/>
        </w:rPr>
        <w:t>AutoModelForSequenceClassification</w:t>
      </w:r>
      <w:r>
        <w:t xml:space="preserve">. Confirm that it loads without custom code, produces 41 logits, has inverse </w:t>
      </w:r>
      <w:r>
        <w:rPr>
          <w:rFonts w:ascii="Consolas" w:hAnsi="Consolas"/>
          <w:color w:val="1F4D78"/>
          <w:sz w:val="18"/>
        </w:rPr>
        <w:t>id2label</w:t>
      </w:r>
      <w:r>
        <w:t xml:space="preserve"> and </w:t>
      </w:r>
      <w:r>
        <w:rPr>
          <w:rFonts w:ascii="Consolas" w:hAnsi="Consolas"/>
          <w:color w:val="1F4D78"/>
          <w:sz w:val="18"/>
        </w:rPr>
        <w:t>label2id</w:t>
      </w:r>
      <w:r>
        <w:t xml:space="preserve"> mappings, and emits readable top-k labels. Search all text files for credentials, source contracts, private paths, chat data, W&amp;B references, and raw dataset content.</w:t>
      </w:r>
    </w:p>
    <w:p>
      <w:bookmarkStart w:id="212" w:name="guide_sec_113"/>
      <w:pPr>
        <w:pStyle w:val="Heading2"/>
      </w:pPr>
      <w:r>
        <w:t>16.4 Upload privately</w:t>
      </w:r>
      <w:bookmarkEnd w:id="212"/>
    </w:p>
    <w:p>
      <w:pPr>
        <w:pStyle w:val="CodeBlock"/>
        <w:shd w:fill="F4F6F7"/>
        <w:pBdr>
          <w:left w:val="single" w:sz="18" w:space="8" w:color="C9D3DD"/>
        </w:pBdr>
      </w:pPr>
      <w:r>
        <w:rPr>
          <w:rFonts w:ascii="Consolas" w:hAnsi="Consolas"/>
          <w:sz w:val="17"/>
        </w:rPr>
        <w:t>.\.venv\Scripts\python.exe tools\prepare_huggingface_model.py `</w:t>
      </w:r>
      <w:r>
        <w:br/>
      </w:r>
      <w:r>
        <w:rPr>
          <w:rFonts w:ascii="Consolas" w:hAnsi="Consolas"/>
          <w:sz w:val="17"/>
        </w:rPr>
        <w:t xml:space="preserve">  --version v2 `</w:t>
      </w:r>
      <w:r>
        <w:br/>
      </w:r>
      <w:r>
        <w:rPr>
          <w:rFonts w:ascii="Consolas" w:hAnsi="Consolas"/>
          <w:sz w:val="17"/>
        </w:rPr>
        <w:t xml:space="preserve">  --repo-id rjaloudi/contra-contracts-bert-cuad-clause-classifier `</w:t>
      </w:r>
      <w:r>
        <w:br/>
      </w:r>
      <w:r>
        <w:rPr>
          <w:rFonts w:ascii="Consolas" w:hAnsi="Consolas"/>
          <w:sz w:val="17"/>
        </w:rPr>
        <w:t xml:space="preserve">  --push --private</w:t>
      </w:r>
    </w:p>
    <w:p>
      <w:r>
        <w:t xml:space="preserve">Hugging Face documents uploads at </w:t>
      </w:r>
      <w:r>
        <w:rPr>
          <w:rFonts w:ascii="Consolas" w:hAnsi="Consolas"/>
          <w:color w:val="1F4D78"/>
          <w:sz w:val="18"/>
        </w:rPr>
        <w:t>https://huggingface.co/docs/huggingface_hub/en/guides/upload</w:t>
      </w:r>
      <w:r>
        <w:t xml:space="preserve">, repository visibility at </w:t>
      </w:r>
      <w:r>
        <w:rPr>
          <w:rFonts w:ascii="Consolas" w:hAnsi="Consolas"/>
          <w:color w:val="1F4D78"/>
          <w:sz w:val="18"/>
        </w:rPr>
        <w:t>https://huggingface.co/docs/huggingface_hub/en/guides/repository</w:t>
      </w:r>
      <w:r>
        <w:t xml:space="preserve">, and model cards at </w:t>
      </w:r>
      <w:r>
        <w:rPr>
          <w:rFonts w:ascii="Consolas" w:hAnsi="Consolas"/>
          <w:color w:val="1F4D78"/>
          <w:sz w:val="18"/>
        </w:rPr>
        <w:t>https://huggingface.co/docs/hub/model-cards</w:t>
      </w:r>
      <w:r>
        <w:t>.</w:t>
      </w:r>
    </w:p>
    <w:p>
      <w:bookmarkStart w:id="213" w:name="guide_sec_114"/>
      <w:pPr>
        <w:pStyle w:val="Heading2"/>
      </w:pPr>
      <w:r>
        <w:t>16.5 Inspect and validate privately</w:t>
      </w:r>
      <w:bookmarkEnd w:id="213"/>
    </w:p>
    <w:p>
      <w:r>
        <w:t>While signed in, inspect the rendered card and Files tab. Confirm the exact repository ID, license, base-model link, CUAD attribution, grouped-holdout wording, all labels, limitations, and example. The expected bundle contains only the reviewed model, tokenizer, configuration, evaluation, and card files. From a clean authenticated environment, download the private repository and repeat the 41-logit inference test.</w:t>
      </w:r>
    </w:p>
    <w:p>
      <w:bookmarkStart w:id="214" w:name="guide_sec_115"/>
      <w:pPr>
        <w:pStyle w:val="Heading2"/>
      </w:pPr>
      <w:r>
        <w:t>16.6 Download and validate Contra v2</w:t>
      </w:r>
      <w:bookmarkEnd w:id="214"/>
    </w:p>
    <w:p>
      <w:r>
        <w:t>The repository must already exist, and the signed-in account must have read access while it remains private. Authenticate outside Streamlit and run the project downloader:</w:t>
      </w:r>
    </w:p>
    <w:p>
      <w:pPr>
        <w:pStyle w:val="CodeBlock"/>
        <w:shd w:fill="F4F6F7"/>
        <w:pBdr>
          <w:left w:val="single" w:sz="18" w:space="8" w:color="C9D3DD"/>
        </w:pBdr>
      </w:pPr>
      <w:r>
        <w:rPr>
          <w:rFonts w:ascii="Consolas" w:hAnsi="Consolas"/>
          <w:sz w:val="17"/>
        </w:rPr>
        <w:t>hf auth login</w:t>
      </w:r>
      <w:r>
        <w:br/>
      </w:r>
      <w:r>
        <w:rPr>
          <w:rFonts w:ascii="Consolas" w:hAnsi="Consolas"/>
          <w:sz w:val="17"/>
        </w:rPr>
        <w:t>hf auth whoami</w:t>
      </w:r>
      <w:r>
        <w:br/>
      </w:r>
      <w:r>
        <w:rPr>
          <w:rFonts w:ascii="Consolas" w:hAnsi="Consolas"/>
          <w:sz w:val="17"/>
        </w:rPr>
        <w:t>.\.venv\Scripts\python.exe tools\download_huggingface_model.py</w:t>
      </w:r>
    </w:p>
    <w:p>
      <w:r>
        <w:t xml:space="preserve">The default output is the Git-ignored </w:t>
      </w:r>
      <w:r>
        <w:rPr>
          <w:rFonts w:ascii="Consolas" w:hAnsi="Consolas"/>
          <w:color w:val="1F4D78"/>
          <w:sz w:val="18"/>
        </w:rPr>
        <w:t>artifacts/models/contra-v2/</w:t>
      </w:r>
      <w:r>
        <w:t xml:space="preserve"> directory. The downloader uses the credential saved by the official Hugging Face CLI and does not accept a token argument. It:</w:t>
      </w:r>
    </w:p>
    <w:p>
      <w:pPr>
        <w:pStyle w:val="ListBullet"/>
      </w:pPr>
      <w:r>
        <w:t>checks that at least 1 GB of disk space is available;</w:t>
      </w:r>
    </w:p>
    <w:p>
      <w:pPr>
        <w:pStyle w:val="ListBullet"/>
      </w:pPr>
      <w:r>
        <w:t>downloads only the seven reviewed Contra release files;</w:t>
      </w:r>
    </w:p>
    <w:p>
      <w:pPr>
        <w:pStyle w:val="ListBullet"/>
      </w:pPr>
      <w:r>
        <w:t>validates that required files are present and nonempty;</w:t>
      </w:r>
    </w:p>
    <w:p>
      <w:pPr>
        <w:pStyle w:val="ListBullet"/>
      </w:pPr>
      <w:r>
        <w:t xml:space="preserve">confirms that </w:t>
      </w:r>
      <w:r>
        <w:rPr>
          <w:rFonts w:ascii="Consolas" w:hAnsi="Consolas"/>
          <w:color w:val="1F4D78"/>
          <w:sz w:val="18"/>
        </w:rPr>
        <w:t>id2label</w:t>
      </w:r>
      <w:r>
        <w:t xml:space="preserve"> and </w:t>
      </w:r>
      <w:r>
        <w:rPr>
          <w:rFonts w:ascii="Consolas" w:hAnsi="Consolas"/>
          <w:color w:val="1F4D78"/>
          <w:sz w:val="18"/>
        </w:rPr>
        <w:t>label2id</w:t>
      </w:r>
      <w:r>
        <w:t xml:space="preserve"> contain 41 inverse mappings; and</w:t>
      </w:r>
    </w:p>
    <w:p>
      <w:pPr>
        <w:pStyle w:val="ListBullet"/>
      </w:pPr>
      <w:r>
        <w:t>loads the tokenizer and safetensors weights from local files and confirms 41 inference logits.</w:t>
      </w:r>
    </w:p>
    <w:p>
      <w:r>
        <w:t>Pin a release tag or full commit hash so later runs obtain the same files:</w:t>
      </w:r>
    </w:p>
    <w:p>
      <w:pPr>
        <w:pStyle w:val="CodeBlock"/>
        <w:shd w:fill="F4F6F7"/>
        <w:pBdr>
          <w:left w:val="single" w:sz="18" w:space="8" w:color="C9D3DD"/>
        </w:pBdr>
      </w:pPr>
      <w:r>
        <w:rPr>
          <w:rFonts w:ascii="Consolas" w:hAnsi="Consolas"/>
          <w:sz w:val="17"/>
        </w:rPr>
        <w:t>.\.venv\Scripts\python.exe tools\download_huggingface_model.py `</w:t>
      </w:r>
      <w:r>
        <w:br/>
      </w:r>
      <w:r>
        <w:rPr>
          <w:rFonts w:ascii="Consolas" w:hAnsi="Consolas"/>
          <w:sz w:val="17"/>
        </w:rPr>
        <w:t xml:space="preserve">  --revision FULL_COMMIT_HASH `</w:t>
      </w:r>
      <w:r>
        <w:br/>
      </w:r>
      <w:r>
        <w:rPr>
          <w:rFonts w:ascii="Consolas" w:hAnsi="Consolas"/>
          <w:sz w:val="17"/>
        </w:rPr>
        <w:t xml:space="preserve">  --output artifacts\models\contra-v2</w:t>
      </w:r>
    </w:p>
    <w:p>
      <w:r>
        <w:t xml:space="preserve">Use </w:t>
      </w:r>
      <w:r>
        <w:rPr>
          <w:rFonts w:ascii="Consolas" w:hAnsi="Consolas"/>
          <w:color w:val="1F4D78"/>
          <w:sz w:val="18"/>
        </w:rPr>
        <w:t>--skip-inference</w:t>
      </w:r>
      <w:r>
        <w:t xml:space="preserve"> only when packages or memory are temporarily unavailable; file and configuration validation still runs. Use </w:t>
      </w:r>
      <w:r>
        <w:rPr>
          <w:rFonts w:ascii="Consolas" w:hAnsi="Consolas"/>
          <w:color w:val="1F4D78"/>
          <w:sz w:val="18"/>
        </w:rPr>
        <w:t>--force-download</w:t>
      </w:r>
      <w:r>
        <w:t xml:space="preserve"> to refresh files. An inaccessible private repository produces a message directing the user to </w:t>
      </w:r>
      <w:r>
        <w:rPr>
          <w:rFonts w:ascii="Consolas" w:hAnsi="Consolas"/>
          <w:color w:val="1F4D78"/>
          <w:sz w:val="18"/>
        </w:rPr>
        <w:t>hf auth login</w:t>
      </w:r>
      <w:r>
        <w:t>; a bad revision, incomplete bundle, invalid mapping, or low-disk condition fails explicitly.</w:t>
      </w:r>
    </w:p>
    <w:p>
      <w:r>
        <w:t>The official CLI can download the repository without the project-specific checks:</w:t>
      </w:r>
    </w:p>
    <w:p>
      <w:pPr>
        <w:pStyle w:val="CodeBlock"/>
        <w:shd w:fill="F4F6F7"/>
        <w:pBdr>
          <w:left w:val="single" w:sz="18" w:space="8" w:color="C9D3DD"/>
        </w:pBdr>
      </w:pPr>
      <w:r>
        <w:rPr>
          <w:rFonts w:ascii="Consolas" w:hAnsi="Consolas"/>
          <w:sz w:val="17"/>
        </w:rPr>
        <w:t>hf download rjaloudi/contra-contracts-bert-cuad-clause-classifier `</w:t>
      </w:r>
      <w:r>
        <w:br/>
      </w:r>
      <w:r>
        <w:rPr>
          <w:rFonts w:ascii="Consolas" w:hAnsi="Consolas"/>
          <w:sz w:val="17"/>
        </w:rPr>
        <w:t xml:space="preserve">  --local-dir artifacts\models\contra-v2</w:t>
      </w:r>
    </w:p>
    <w:p>
      <w:r>
        <w:t xml:space="preserve">After </w:t>
      </w:r>
      <w:r>
        <w:rPr>
          <w:rFonts w:ascii="Consolas" w:hAnsi="Consolas"/>
          <w:color w:val="1F4D78"/>
          <w:sz w:val="18"/>
        </w:rPr>
        <w:t>hf auth login</w:t>
      </w:r>
      <w:r>
        <w:t>, Transformers can also use the stored credential and download automatically:</w:t>
      </w:r>
    </w:p>
    <w:p>
      <w:pPr>
        <w:pStyle w:val="CodeBlock"/>
        <w:shd w:fill="F4F6F7"/>
        <w:pBdr>
          <w:left w:val="single" w:sz="18" w:space="8" w:color="C9D3DD"/>
        </w:pBdr>
      </w:pPr>
      <w:r>
        <w:rPr>
          <w:rFonts w:ascii="Consolas" w:hAnsi="Consolas"/>
          <w:sz w:val="17"/>
        </w:rPr>
        <w:t>from transformers import AutoModelForSequenceClassification, AutoTokenizer</w:t>
      </w:r>
      <w:r>
        <w:br/>
      </w:r>
      <w:r>
        <w:rPr>
          <w:rFonts w:ascii="Consolas" w:hAnsi="Consolas"/>
          <w:sz w:val="17"/>
        </w:rPr>
        <w:t xml:space="preserve"> </w:t>
      </w:r>
      <w:r>
        <w:br/>
      </w:r>
      <w:r>
        <w:rPr>
          <w:rFonts w:ascii="Consolas" w:hAnsi="Consolas"/>
          <w:sz w:val="17"/>
        </w:rPr>
        <w:t>repo_id = "rjaloudi/contra-contracts-bert-cuad-clause-classifier"</w:t>
      </w:r>
      <w:r>
        <w:br/>
      </w:r>
      <w:r>
        <w:rPr>
          <w:rFonts w:ascii="Consolas" w:hAnsi="Consolas"/>
          <w:sz w:val="17"/>
        </w:rPr>
        <w:t>tokenizer = AutoTokenizer.from_pretrained(repo_id)</w:t>
      </w:r>
      <w:r>
        <w:br/>
      </w:r>
      <w:r>
        <w:rPr>
          <w:rFonts w:ascii="Consolas" w:hAnsi="Consolas"/>
          <w:sz w:val="17"/>
        </w:rPr>
        <w:t>model = AutoModelForSequenceClassification.from_pretrained(repo_id)</w:t>
      </w:r>
    </w:p>
    <w:p>
      <w:r>
        <w:t xml:space="preserve">Hugging Face documents </w:t>
      </w:r>
      <w:r>
        <w:rPr>
          <w:rFonts w:ascii="Consolas" w:hAnsi="Consolas"/>
          <w:color w:val="1F4D78"/>
          <w:sz w:val="18"/>
        </w:rPr>
        <w:t>snapshot_download</w:t>
      </w:r>
      <w:r>
        <w:t xml:space="preserve">, revision selection, filtering, and local directories at </w:t>
      </w:r>
      <w:r>
        <w:rPr>
          <w:rFonts w:ascii="Consolas" w:hAnsi="Consolas"/>
          <w:color w:val="1F4D78"/>
          <w:sz w:val="18"/>
        </w:rPr>
        <w:t>https://huggingface.co/docs/huggingface_hub/en/guides/download</w:t>
      </w:r>
      <w:r>
        <w:t xml:space="preserve">. Never paste a token into a script, command, notebook, Streamlit field, screenshot, or chat. For repeatable offline use, point </w:t>
      </w:r>
      <w:r>
        <w:rPr>
          <w:rFonts w:ascii="Consolas" w:hAnsi="Consolas"/>
          <w:color w:val="1F4D78"/>
          <w:sz w:val="18"/>
        </w:rPr>
        <w:t>from_pretrained</w:t>
      </w:r>
      <w:r>
        <w:t xml:space="preserve"> to </w:t>
      </w:r>
      <w:r>
        <w:rPr>
          <w:rFonts w:ascii="Consolas" w:hAnsi="Consolas"/>
          <w:color w:val="1F4D78"/>
          <w:sz w:val="18"/>
        </w:rPr>
        <w:t>artifacts/models/contra-v2/</w:t>
      </w:r>
      <w:r>
        <w:t xml:space="preserve"> and set </w:t>
      </w:r>
      <w:r>
        <w:rPr>
          <w:rFonts w:ascii="Consolas" w:hAnsi="Consolas"/>
          <w:color w:val="1F4D78"/>
          <w:sz w:val="18"/>
        </w:rPr>
        <w:t>local_files_only=True</w:t>
      </w:r>
      <w:r>
        <w:t>.</w:t>
      </w:r>
    </w:p>
    <w:p>
      <w:bookmarkStart w:id="215" w:name="guide_sec_116"/>
      <w:pPr>
        <w:pStyle w:val="Heading2"/>
      </w:pPr>
      <w:r>
        <w:t>16.7 Consider public visibility separately</w:t>
      </w:r>
      <w:bookmarkEnd w:id="215"/>
    </w:p>
    <w:p>
      <w:r>
        <w:t xml:space="preserve">Only after independent review should visibility change. Preserve the share-alike license, data attribution, rare-label disclosure, human-review requirement, and statement that a public model is not legal advice or proof of benchmark leadership. The complete release procedure is also in </w:t>
      </w:r>
      <w:r>
        <w:rPr>
          <w:rFonts w:ascii="Consolas" w:hAnsi="Consolas"/>
          <w:color w:val="1F4D78"/>
          <w:sz w:val="18"/>
        </w:rPr>
        <w:t>docs/HUGGING_FACE_RELEASE.md</w:t>
      </w:r>
      <w:r>
        <w:t>.</w:t>
      </w:r>
    </w:p>
    <w:p>
      <w:bookmarkStart w:id="216" w:name="guide_sec_117"/>
      <w:pPr>
        <w:pStyle w:val="Heading1"/>
      </w:pPr>
      <w:r>
        <w:t>17. Command and configuration reference</w:t>
      </w:r>
      <w:bookmarkEnd w:id="216"/>
    </w:p>
    <w:p>
      <w:bookmarkStart w:id="217" w:name="guide_sec_118"/>
      <w:pPr>
        <w:pStyle w:val="Heading2"/>
      </w:pPr>
      <w:r>
        <w:t>17.1 Command summary</w:t>
      </w:r>
      <w:bookmarkEnd w:id="217"/>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880"/>
            <w:vAlign w:val="center"/>
            <w:tcMar>
              <w:top w:w="80" w:type="dxa"/>
              <w:start w:w="100" w:type="dxa"/>
              <w:bottom w:w="80" w:type="dxa"/>
              <w:end w:w="100" w:type="dxa"/>
            </w:tcMar>
            <w:shd w:fill="2E74B5"/>
          </w:tcPr>
          <w:p>
            <w:pPr>
              <w:spacing w:after="0"/>
            </w:pPr>
            <w:r>
              <w:rPr>
                <w:rFonts w:ascii="Calibri" w:hAnsi="Calibri"/>
                <w:b/>
                <w:color w:val="FFFFFF"/>
                <w:sz w:val="18"/>
              </w:rPr>
              <w:t>Goal</w:t>
            </w:r>
          </w:p>
        </w:tc>
        <w:tc>
          <w:tcPr>
            <w:tcW w:type="dxa" w:w="6480"/>
            <w:vAlign w:val="center"/>
            <w:tcMar>
              <w:top w:w="80" w:type="dxa"/>
              <w:start w:w="100" w:type="dxa"/>
              <w:bottom w:w="80" w:type="dxa"/>
              <w:end w:w="100" w:type="dxa"/>
            </w:tcMar>
            <w:shd w:fill="2E74B5"/>
          </w:tcPr>
          <w:p>
            <w:pPr>
              <w:spacing w:after="0"/>
            </w:pPr>
            <w:r>
              <w:rPr>
                <w:rFonts w:ascii="Calibri" w:hAnsi="Calibri"/>
                <w:b/>
                <w:color w:val="FFFFFF"/>
                <w:sz w:val="18"/>
              </w:rPr>
              <w:t>CUDA command</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Install</w:t>
            </w:r>
          </w:p>
        </w:tc>
        <w:tc>
          <w:tcPr>
            <w:tcW w:type="dxa" w:w="6480"/>
            <w:vAlign w:val="center"/>
            <w:tcMar>
              <w:top w:w="80" w:type="dxa"/>
              <w:start w:w="100" w:type="dxa"/>
              <w:bottom w:w="80" w:type="dxa"/>
              <w:end w:w="100" w:type="dxa"/>
            </w:tcMar>
            <w:shd w:fill="FFFFFF"/>
          </w:tcPr>
          <w:p>
            <w:pPr>
              <w:spacing w:after="0"/>
            </w:pPr>
            <w:r>
              <w:rPr>
                <w:rFonts w:ascii="Calibri" w:hAnsi="Calibri"/>
                <w:color w:val="1F4D78"/>
                <w:sz w:val="18"/>
              </w:rPr>
              <w:t>uv sync --python 3.12 --extra dev --extra cu129</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Diagnose</w:t>
            </w:r>
          </w:p>
        </w:tc>
        <w:tc>
          <w:tcPr>
            <w:tcW w:type="dxa" w:w="6480"/>
            <w:vAlign w:val="center"/>
            <w:tcMar>
              <w:top w:w="80" w:type="dxa"/>
              <w:start w:w="100" w:type="dxa"/>
              <w:bottom w:w="80" w:type="dxa"/>
              <w:end w:w="100" w:type="dxa"/>
            </w:tcMar>
            <w:shd w:fill="F4F6F7"/>
          </w:tcPr>
          <w:p>
            <w:pPr>
              <w:spacing w:after="0"/>
            </w:pPr>
            <w:r>
              <w:rPr>
                <w:rFonts w:ascii="Calibri" w:hAnsi="Calibri"/>
                <w:color w:val="1F4D78"/>
                <w:sz w:val="18"/>
              </w:rPr>
              <w:t>uv run --extra cu129 contractlab doctor</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Start UI</w:t>
            </w:r>
          </w:p>
        </w:tc>
        <w:tc>
          <w:tcPr>
            <w:tcW w:type="dxa" w:w="6480"/>
            <w:vAlign w:val="center"/>
            <w:tcMar>
              <w:top w:w="80" w:type="dxa"/>
              <w:start w:w="100" w:type="dxa"/>
              <w:bottom w:w="80" w:type="dxa"/>
              <w:end w:w="100" w:type="dxa"/>
            </w:tcMar>
            <w:shd w:fill="FFFFFF"/>
          </w:tcPr>
          <w:p>
            <w:pPr>
              <w:spacing w:after="0"/>
            </w:pPr>
            <w:r>
              <w:rPr>
                <w:rFonts w:ascii="Calibri" w:hAnsi="Calibri"/>
                <w:color w:val="1F4D78"/>
                <w:sz w:val="18"/>
              </w:rPr>
              <w:t>uv run --extra cu129 streamlit run streamlit_app.py</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Train any config</w:t>
            </w:r>
          </w:p>
        </w:tc>
        <w:tc>
          <w:tcPr>
            <w:tcW w:type="dxa" w:w="6480"/>
            <w:vAlign w:val="center"/>
            <w:tcMar>
              <w:top w:w="80" w:type="dxa"/>
              <w:start w:w="100" w:type="dxa"/>
              <w:bottom w:w="80" w:type="dxa"/>
              <w:end w:w="100" w:type="dxa"/>
            </w:tcMar>
            <w:shd w:fill="F4F6F7"/>
          </w:tcPr>
          <w:p>
            <w:pPr>
              <w:spacing w:after="0"/>
            </w:pPr>
            <w:r>
              <w:rPr>
                <w:rFonts w:ascii="Calibri" w:hAnsi="Calibri"/>
                <w:color w:val="1F4D78"/>
                <w:sz w:val="18"/>
              </w:rPr>
              <w:t>uv run --extra cu129 contractlab train --config CONFIG.json</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Repeat Contra v2</w:t>
            </w:r>
          </w:p>
        </w:tc>
        <w:tc>
          <w:tcPr>
            <w:tcW w:type="dxa" w:w="6480"/>
            <w:vAlign w:val="center"/>
            <w:tcMar>
              <w:top w:w="80" w:type="dxa"/>
              <w:start w:w="100" w:type="dxa"/>
              <w:bottom w:w="80" w:type="dxa"/>
              <w:end w:w="100" w:type="dxa"/>
            </w:tcMar>
            <w:shd w:fill="FFFFFF"/>
          </w:tcPr>
          <w:p>
            <w:pPr>
              <w:spacing w:after="0"/>
            </w:pPr>
            <w:r>
              <w:rPr>
                <w:rFonts w:ascii="Calibri" w:hAnsi="Calibri"/>
                <w:color w:val="1F4D78"/>
                <w:sz w:val="18"/>
              </w:rPr>
              <w:t>.\.venv\Scripts\python.exe -m contractlab.cli train --config artifacts\configs\contra-contracts-bert-weighted-v2.json</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Prepare CUAD</w:t>
            </w:r>
          </w:p>
        </w:tc>
        <w:tc>
          <w:tcPr>
            <w:tcW w:type="dxa" w:w="6480"/>
            <w:vAlign w:val="center"/>
            <w:tcMar>
              <w:top w:w="80" w:type="dxa"/>
              <w:start w:w="100" w:type="dxa"/>
              <w:bottom w:w="80" w:type="dxa"/>
              <w:end w:w="100" w:type="dxa"/>
            </w:tcMar>
            <w:shd w:fill="F4F6F7"/>
          </w:tcPr>
          <w:p>
            <w:pPr>
              <w:spacing w:after="0"/>
            </w:pPr>
            <w:r>
              <w:rPr>
                <w:rFonts w:ascii="Calibri" w:hAnsi="Calibri"/>
                <w:color w:val="1F4D78"/>
                <w:sz w:val="18"/>
              </w:rPr>
              <w:t>uv run --extra cu129 contractlab prepare-cuad --output FILE.csv</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Convert CUAD sample</w:t>
            </w:r>
          </w:p>
        </w:tc>
        <w:tc>
          <w:tcPr>
            <w:tcW w:type="dxa" w:w="6480"/>
            <w:vAlign w:val="center"/>
            <w:tcMar>
              <w:top w:w="80" w:type="dxa"/>
              <w:start w:w="100" w:type="dxa"/>
              <w:bottom w:w="80" w:type="dxa"/>
              <w:end w:w="100" w:type="dxa"/>
            </w:tcMar>
            <w:shd w:fill="FFFFFF"/>
          </w:tcPr>
          <w:p>
            <w:pPr>
              <w:spacing w:after="0"/>
            </w:pPr>
            <w:r>
              <w:rPr>
                <w:rFonts w:ascii="Calibri" w:hAnsi="Calibri"/>
                <w:color w:val="1F4D78"/>
                <w:sz w:val="18"/>
              </w:rPr>
              <w:t>.\.venv\Scripts\python.exe datasets\prepare_project_datasets.py --mode sample</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Convert full CUAD splits</w:t>
            </w:r>
          </w:p>
        </w:tc>
        <w:tc>
          <w:tcPr>
            <w:tcW w:type="dxa" w:w="6480"/>
            <w:vAlign w:val="center"/>
            <w:tcMar>
              <w:top w:w="80" w:type="dxa"/>
              <w:start w:w="100" w:type="dxa"/>
              <w:bottom w:w="80" w:type="dxa"/>
              <w:end w:w="100" w:type="dxa"/>
            </w:tcMar>
            <w:shd w:fill="F4F6F7"/>
          </w:tcPr>
          <w:p>
            <w:pPr>
              <w:spacing w:after="0"/>
            </w:pPr>
            <w:r>
              <w:rPr>
                <w:rFonts w:ascii="Calibri" w:hAnsi="Calibri"/>
                <w:color w:val="1F4D78"/>
                <w:sz w:val="18"/>
              </w:rPr>
              <w:t>.\.venv\Scripts\python.exe datasets\prepare_project_datasets.py --mode local</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Rebuild definitions</w:t>
            </w:r>
          </w:p>
        </w:tc>
        <w:tc>
          <w:tcPr>
            <w:tcW w:type="dxa" w:w="6480"/>
            <w:vAlign w:val="center"/>
            <w:tcMar>
              <w:top w:w="80" w:type="dxa"/>
              <w:start w:w="100" w:type="dxa"/>
              <w:bottom w:w="80" w:type="dxa"/>
              <w:end w:w="100" w:type="dxa"/>
            </w:tcMar>
            <w:shd w:fill="FFFFFF"/>
          </w:tcPr>
          <w:p>
            <w:pPr>
              <w:spacing w:after="0"/>
            </w:pPr>
            <w:r>
              <w:rPr>
                <w:rFonts w:ascii="Calibri" w:hAnsi="Calibri"/>
                <w:color w:val="1F4D78"/>
                <w:sz w:val="18"/>
              </w:rPr>
              <w:t>.\.venv\Scripts\python.exe datasets\build_contract_taxonomy.py</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Rebuild data manifest</w:t>
            </w:r>
          </w:p>
        </w:tc>
        <w:tc>
          <w:tcPr>
            <w:tcW w:type="dxa" w:w="6480"/>
            <w:vAlign w:val="center"/>
            <w:tcMar>
              <w:top w:w="80" w:type="dxa"/>
              <w:start w:w="100" w:type="dxa"/>
              <w:bottom w:w="80" w:type="dxa"/>
              <w:end w:w="100" w:type="dxa"/>
            </w:tcMar>
            <w:shd w:fill="F4F6F7"/>
          </w:tcPr>
          <w:p>
            <w:pPr>
              <w:spacing w:after="0"/>
            </w:pPr>
            <w:r>
              <w:rPr>
                <w:rFonts w:ascii="Calibri" w:hAnsi="Calibri"/>
                <w:color w:val="1F4D78"/>
                <w:sz w:val="18"/>
              </w:rPr>
              <w:t>.\.venv\Scripts\python.exe datasets\build_manifest.py</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Prepare multidomain bundle</w:t>
            </w:r>
          </w:p>
        </w:tc>
        <w:tc>
          <w:tcPr>
            <w:tcW w:type="dxa" w:w="6480"/>
            <w:vAlign w:val="center"/>
            <w:tcMar>
              <w:top w:w="80" w:type="dxa"/>
              <w:start w:w="100" w:type="dxa"/>
              <w:bottom w:w="80" w:type="dxa"/>
              <w:end w:w="100" w:type="dxa"/>
            </w:tcMar>
            <w:shd w:fill="FFFFFF"/>
          </w:tcPr>
          <w:p>
            <w:pPr>
              <w:spacing w:after="0"/>
            </w:pPr>
            <w:r>
              <w:rPr>
                <w:rFonts w:ascii="Calibri" w:hAnsi="Calibri"/>
                <w:color w:val="1F4D78"/>
                <w:sz w:val="18"/>
              </w:rPr>
              <w:t>.\.venv\Scripts\python.exe tools\prepare_legal_multidomain.py</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Train Contra-Law Experimental</w:t>
            </w:r>
          </w:p>
        </w:tc>
        <w:tc>
          <w:tcPr>
            <w:tcW w:type="dxa" w:w="6480"/>
            <w:vAlign w:val="center"/>
            <w:tcMar>
              <w:top w:w="80" w:type="dxa"/>
              <w:start w:w="100" w:type="dxa"/>
              <w:bottom w:w="80" w:type="dxa"/>
              <w:end w:w="100" w:type="dxa"/>
            </w:tcMar>
            <w:shd w:fill="F4F6F7"/>
          </w:tcPr>
          <w:p>
            <w:pPr>
              <w:spacing w:after="0"/>
            </w:pPr>
            <w:r>
              <w:rPr>
                <w:rFonts w:ascii="Calibri" w:hAnsi="Calibri"/>
                <w:color w:val="1F4D78"/>
                <w:sz w:val="18"/>
              </w:rPr>
              <w:t>.\.venv\Scripts\python.exe -m contractlab.cli train --config configs\contra-law-legalbert-1120-exp-v1.json</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Prepare Contra HF bundle</w:t>
            </w:r>
          </w:p>
        </w:tc>
        <w:tc>
          <w:tcPr>
            <w:tcW w:type="dxa" w:w="6480"/>
            <w:vAlign w:val="center"/>
            <w:tcMar>
              <w:top w:w="80" w:type="dxa"/>
              <w:start w:w="100" w:type="dxa"/>
              <w:bottom w:w="80" w:type="dxa"/>
              <w:end w:w="100" w:type="dxa"/>
            </w:tcMar>
            <w:shd w:fill="FFFFFF"/>
          </w:tcPr>
          <w:p>
            <w:pPr>
              <w:spacing w:after="0"/>
            </w:pPr>
            <w:r>
              <w:rPr>
                <w:rFonts w:ascii="Calibri" w:hAnsi="Calibri"/>
                <w:color w:val="1F4D78"/>
                <w:sz w:val="18"/>
              </w:rPr>
              <w:t>.\.venv\Scripts\python.exe tools\prepare_huggingface_model.py --version v2 --repo-id rjaloudi/contra-contracts-bert-cuad-clause-classifier</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Download and validate Contra v2</w:t>
            </w:r>
          </w:p>
        </w:tc>
        <w:tc>
          <w:tcPr>
            <w:tcW w:type="dxa" w:w="6480"/>
            <w:vAlign w:val="center"/>
            <w:tcMar>
              <w:top w:w="80" w:type="dxa"/>
              <w:start w:w="100" w:type="dxa"/>
              <w:bottom w:w="80" w:type="dxa"/>
              <w:end w:w="100" w:type="dxa"/>
            </w:tcMar>
            <w:shd w:fill="F4F6F7"/>
          </w:tcPr>
          <w:p>
            <w:pPr>
              <w:spacing w:after="0"/>
            </w:pPr>
            <w:r>
              <w:rPr>
                <w:rFonts w:ascii="Calibri" w:hAnsi="Calibri"/>
                <w:color w:val="1F4D78"/>
                <w:sz w:val="18"/>
              </w:rPr>
              <w:t>.\.venv\Scripts\python.exe tools\download_huggingface_model.py</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Export notebook</w:t>
            </w:r>
          </w:p>
        </w:tc>
        <w:tc>
          <w:tcPr>
            <w:tcW w:type="dxa" w:w="6480"/>
            <w:vAlign w:val="center"/>
            <w:tcMar>
              <w:top w:w="80" w:type="dxa"/>
              <w:start w:w="100" w:type="dxa"/>
              <w:bottom w:w="80" w:type="dxa"/>
              <w:end w:w="100" w:type="dxa"/>
            </w:tcMar>
            <w:shd w:fill="FFFFFF"/>
          </w:tcPr>
          <w:p>
            <w:pPr>
              <w:spacing w:after="0"/>
            </w:pPr>
            <w:r>
              <w:rPr>
                <w:rFonts w:ascii="Calibri" w:hAnsi="Calibri"/>
                <w:color w:val="1F4D78"/>
                <w:sz w:val="18"/>
              </w:rPr>
              <w:t>uv run --extra cu129 contractlab export-notebook --config CONFIG.json</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JupyterLab</w:t>
            </w:r>
          </w:p>
        </w:tc>
        <w:tc>
          <w:tcPr>
            <w:tcW w:type="dxa" w:w="6480"/>
            <w:vAlign w:val="center"/>
            <w:tcMar>
              <w:top w:w="80" w:type="dxa"/>
              <w:start w:w="100" w:type="dxa"/>
              <w:bottom w:w="80" w:type="dxa"/>
              <w:end w:w="100" w:type="dxa"/>
            </w:tcMar>
            <w:shd w:fill="F4F6F7"/>
          </w:tcPr>
          <w:p>
            <w:pPr>
              <w:spacing w:after="0"/>
            </w:pPr>
            <w:r>
              <w:rPr>
                <w:rFonts w:ascii="Calibri" w:hAnsi="Calibri"/>
                <w:color w:val="1F4D78"/>
                <w:sz w:val="18"/>
              </w:rPr>
              <w:t>uv run --extra cu129 --with jupyterlab jupyter lab</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Test</w:t>
            </w:r>
          </w:p>
        </w:tc>
        <w:tc>
          <w:tcPr>
            <w:tcW w:type="dxa" w:w="6480"/>
            <w:vAlign w:val="center"/>
            <w:tcMar>
              <w:top w:w="80" w:type="dxa"/>
              <w:start w:w="100" w:type="dxa"/>
              <w:bottom w:w="80" w:type="dxa"/>
              <w:end w:w="100" w:type="dxa"/>
            </w:tcMar>
            <w:shd w:fill="FFFFFF"/>
          </w:tcPr>
          <w:p>
            <w:pPr>
              <w:spacing w:after="0"/>
            </w:pPr>
            <w:r>
              <w:rPr>
                <w:rFonts w:ascii="Calibri" w:hAnsi="Calibri"/>
                <w:color w:val="1F4D78"/>
                <w:sz w:val="18"/>
              </w:rPr>
              <w:t>uv run --extra cu129 pytest</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sz w:val="18"/>
              </w:rPr>
              <w:t>Lint</w:t>
            </w:r>
          </w:p>
        </w:tc>
        <w:tc>
          <w:tcPr>
            <w:tcW w:type="dxa" w:w="6480"/>
            <w:vAlign w:val="center"/>
            <w:tcMar>
              <w:top w:w="80" w:type="dxa"/>
              <w:start w:w="100" w:type="dxa"/>
              <w:bottom w:w="80" w:type="dxa"/>
              <w:end w:w="100" w:type="dxa"/>
            </w:tcMar>
            <w:shd w:fill="F4F6F7"/>
          </w:tcPr>
          <w:p>
            <w:pPr>
              <w:spacing w:after="0"/>
            </w:pPr>
            <w:r>
              <w:rPr>
                <w:rFonts w:ascii="Calibri" w:hAnsi="Calibri"/>
                <w:color w:val="1F4D78"/>
                <w:sz w:val="18"/>
              </w:rPr>
              <w:t>uv run --extra cu129 ruff check .</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sz w:val="18"/>
              </w:rPr>
              <w:t>Build</w:t>
            </w:r>
          </w:p>
        </w:tc>
        <w:tc>
          <w:tcPr>
            <w:tcW w:type="dxa" w:w="6480"/>
            <w:vAlign w:val="center"/>
            <w:tcMar>
              <w:top w:w="80" w:type="dxa"/>
              <w:start w:w="100" w:type="dxa"/>
              <w:bottom w:w="80" w:type="dxa"/>
              <w:end w:w="100" w:type="dxa"/>
            </w:tcMar>
            <w:shd w:fill="FFFFFF"/>
          </w:tcPr>
          <w:p>
            <w:pPr>
              <w:spacing w:after="0"/>
            </w:pPr>
            <w:r>
              <w:rPr>
                <w:rFonts w:ascii="Calibri" w:hAnsi="Calibri"/>
                <w:color w:val="1F4D78"/>
                <w:sz w:val="18"/>
              </w:rPr>
              <w:t>uv build</w:t>
            </w:r>
          </w:p>
        </w:tc>
      </w:tr>
    </w:tbl>
    <w:p>
      <w:pPr>
        <w:spacing w:after="0"/>
      </w:pPr>
    </w:p>
    <w:p>
      <w:r>
        <w:t xml:space="preserve">For CPU, replace </w:t>
      </w:r>
      <w:r>
        <w:rPr>
          <w:rFonts w:ascii="Consolas" w:hAnsi="Consolas"/>
          <w:color w:val="1F4D78"/>
          <w:sz w:val="18"/>
        </w:rPr>
        <w:t>--extra cu129</w:t>
      </w:r>
      <w:r>
        <w:t xml:space="preserve"> with </w:t>
      </w:r>
      <w:r>
        <w:rPr>
          <w:rFonts w:ascii="Consolas" w:hAnsi="Consolas"/>
          <w:color w:val="1F4D78"/>
          <w:sz w:val="18"/>
        </w:rPr>
        <w:t>--extra cpu</w:t>
      </w:r>
      <w:r>
        <w:t>. A CPU install can inspect the workbench but Contra v2 training will be substantially slower.</w:t>
      </w:r>
    </w:p>
    <w:p>
      <w:bookmarkStart w:id="218" w:name="guide_sec_119"/>
      <w:pPr>
        <w:pStyle w:val="Heading2"/>
      </w:pPr>
      <w:r>
        <w:t>17.2 TrainingConfig fields</w:t>
      </w:r>
      <w:bookmarkEnd w:id="218"/>
    </w:p>
    <w:tbl>
      <w:tblPr>
        <w:tblStyle w:val="TableGrid"/>
        <w:tblW w:type="auto" w:w="0"/>
        <w:jc w:val="center"/>
        <w:tblLayout w:type="fixed"/>
        <w:tblLook w:firstColumn="1" w:firstRow="1" w:lastColumn="0" w:lastRow="0" w:noHBand="0" w:noVBand="1" w:val="04A0"/>
      </w:tblPr>
      <w:tblGrid>
        <w:gridCol w:w="4680"/>
        <w:gridCol w:w="4680"/>
      </w:tblGrid>
      <w:tr>
        <w:trPr>
          <w:cantSplit/>
          <w:tblHeader w:val="true"/>
        </w:trPr>
        <w:tc>
          <w:tcPr>
            <w:tcW w:type="dxa" w:w="2880"/>
            <w:vAlign w:val="center"/>
            <w:tcMar>
              <w:top w:w="80" w:type="dxa"/>
              <w:start w:w="100" w:type="dxa"/>
              <w:bottom w:w="80" w:type="dxa"/>
              <w:end w:w="100" w:type="dxa"/>
            </w:tcMar>
            <w:shd w:fill="2E74B5"/>
          </w:tcPr>
          <w:p>
            <w:pPr>
              <w:spacing w:after="0"/>
            </w:pPr>
            <w:r>
              <w:rPr>
                <w:rFonts w:ascii="Calibri" w:hAnsi="Calibri"/>
                <w:b/>
                <w:color w:val="FFFFFF"/>
                <w:sz w:val="18"/>
              </w:rPr>
              <w:t>Field</w:t>
            </w:r>
          </w:p>
        </w:tc>
        <w:tc>
          <w:tcPr>
            <w:tcW w:type="dxa" w:w="6480"/>
            <w:vAlign w:val="center"/>
            <w:tcMar>
              <w:top w:w="80" w:type="dxa"/>
              <w:start w:w="100" w:type="dxa"/>
              <w:bottom w:w="80" w:type="dxa"/>
              <w:end w:w="100" w:type="dxa"/>
            </w:tcMar>
            <w:shd w:fill="2E74B5"/>
          </w:tcPr>
          <w:p>
            <w:pPr>
              <w:spacing w:after="0"/>
            </w:pPr>
            <w:r>
              <w:rPr>
                <w:rFonts w:ascii="Calibri" w:hAnsi="Calibri"/>
                <w:b/>
                <w:color w:val="FFFFFF"/>
                <w:sz w:val="18"/>
              </w:rPr>
              <w:t>Purpose</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run_name</w:t>
            </w:r>
          </w:p>
        </w:tc>
        <w:tc>
          <w:tcPr>
            <w:tcW w:type="dxa" w:w="6480"/>
            <w:vAlign w:val="center"/>
            <w:tcMar>
              <w:top w:w="80" w:type="dxa"/>
              <w:start w:w="100" w:type="dxa"/>
              <w:bottom w:w="80" w:type="dxa"/>
              <w:end w:w="100" w:type="dxa"/>
            </w:tcMar>
            <w:shd w:fill="FFFFFF"/>
          </w:tcPr>
          <w:p>
            <w:pPr>
              <w:spacing w:after="0"/>
            </w:pPr>
            <w:r>
              <w:rPr>
                <w:rFonts w:ascii="Calibri" w:hAnsi="Calibri"/>
                <w:sz w:val="18"/>
              </w:rPr>
              <w:t>Human-readable run identifier, sanitized for a directory name</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color w:val="1F4D78"/>
                <w:sz w:val="18"/>
              </w:rPr>
              <w:t>dataset_path</w:t>
            </w:r>
          </w:p>
        </w:tc>
        <w:tc>
          <w:tcPr>
            <w:tcW w:type="dxa" w:w="6480"/>
            <w:vAlign w:val="center"/>
            <w:tcMar>
              <w:top w:w="80" w:type="dxa"/>
              <w:start w:w="100" w:type="dxa"/>
              <w:bottom w:w="80" w:type="dxa"/>
              <w:end w:w="100" w:type="dxa"/>
            </w:tcMar>
            <w:shd w:fill="F4F6F7"/>
          </w:tcPr>
          <w:p>
            <w:pPr>
              <w:spacing w:after="0"/>
            </w:pPr>
            <w:r>
              <w:rPr>
                <w:rFonts w:ascii="Calibri" w:hAnsi="Calibri"/>
                <w:sz w:val="18"/>
              </w:rPr>
              <w:t>CSV, JSON, or JSONL dataset path</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output_dir</w:t>
            </w:r>
          </w:p>
        </w:tc>
        <w:tc>
          <w:tcPr>
            <w:tcW w:type="dxa" w:w="6480"/>
            <w:vAlign w:val="center"/>
            <w:tcMar>
              <w:top w:w="80" w:type="dxa"/>
              <w:start w:w="100" w:type="dxa"/>
              <w:bottom w:w="80" w:type="dxa"/>
              <w:end w:w="100" w:type="dxa"/>
            </w:tcMar>
            <w:shd w:fill="FFFFFF"/>
          </w:tcPr>
          <w:p>
            <w:pPr>
              <w:spacing w:after="0"/>
            </w:pPr>
            <w:r>
              <w:rPr>
                <w:rFonts w:ascii="Calibri" w:hAnsi="Calibri"/>
                <w:sz w:val="18"/>
              </w:rPr>
              <w:t>Optional explicit run directory; blank uses managed artifacts</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color w:val="1F4D78"/>
                <w:sz w:val="18"/>
              </w:rPr>
              <w:t>model_name</w:t>
            </w:r>
          </w:p>
        </w:tc>
        <w:tc>
          <w:tcPr>
            <w:tcW w:type="dxa" w:w="6480"/>
            <w:vAlign w:val="center"/>
            <w:tcMar>
              <w:top w:w="80" w:type="dxa"/>
              <w:start w:w="100" w:type="dxa"/>
              <w:bottom w:w="80" w:type="dxa"/>
              <w:end w:w="100" w:type="dxa"/>
            </w:tcMar>
            <w:shd w:fill="F4F6F7"/>
          </w:tcPr>
          <w:p>
            <w:pPr>
              <w:spacing w:after="0"/>
            </w:pPr>
            <w:r>
              <w:rPr>
                <w:rFonts w:ascii="Calibri" w:hAnsi="Calibri"/>
                <w:sz w:val="18"/>
              </w:rPr>
              <w:t>Hugging Face model identifier or compatible local path</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epochs</w:t>
            </w:r>
          </w:p>
        </w:tc>
        <w:tc>
          <w:tcPr>
            <w:tcW w:type="dxa" w:w="6480"/>
            <w:vAlign w:val="center"/>
            <w:tcMar>
              <w:top w:w="80" w:type="dxa"/>
              <w:start w:w="100" w:type="dxa"/>
              <w:bottom w:w="80" w:type="dxa"/>
              <w:end w:w="100" w:type="dxa"/>
            </w:tcMar>
            <w:shd w:fill="FFFFFF"/>
          </w:tcPr>
          <w:p>
            <w:pPr>
              <w:spacing w:after="0"/>
            </w:pPr>
            <w:r>
              <w:rPr>
                <w:rFonts w:ascii="Calibri" w:hAnsi="Calibri"/>
                <w:sz w:val="18"/>
              </w:rPr>
              <w:t>Full passes through training data</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color w:val="1F4D78"/>
                <w:sz w:val="18"/>
              </w:rPr>
              <w:t>learning_rate</w:t>
            </w:r>
          </w:p>
        </w:tc>
        <w:tc>
          <w:tcPr>
            <w:tcW w:type="dxa" w:w="6480"/>
            <w:vAlign w:val="center"/>
            <w:tcMar>
              <w:top w:w="80" w:type="dxa"/>
              <w:start w:w="100" w:type="dxa"/>
              <w:bottom w:w="80" w:type="dxa"/>
              <w:end w:w="100" w:type="dxa"/>
            </w:tcMar>
            <w:shd w:fill="F4F6F7"/>
          </w:tcPr>
          <w:p>
            <w:pPr>
              <w:spacing w:after="0"/>
            </w:pPr>
            <w:r>
              <w:rPr>
                <w:rFonts w:ascii="Calibri" w:hAnsi="Calibri"/>
                <w:sz w:val="18"/>
              </w:rPr>
              <w:t>Initial AdamW learning rate</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train_batch_size</w:t>
            </w:r>
          </w:p>
        </w:tc>
        <w:tc>
          <w:tcPr>
            <w:tcW w:type="dxa" w:w="6480"/>
            <w:vAlign w:val="center"/>
            <w:tcMar>
              <w:top w:w="80" w:type="dxa"/>
              <w:start w:w="100" w:type="dxa"/>
              <w:bottom w:w="80" w:type="dxa"/>
              <w:end w:w="100" w:type="dxa"/>
            </w:tcMar>
            <w:shd w:fill="FFFFFF"/>
          </w:tcPr>
          <w:p>
            <w:pPr>
              <w:spacing w:after="0"/>
            </w:pPr>
            <w:r>
              <w:rPr>
                <w:rFonts w:ascii="Calibri" w:hAnsi="Calibri"/>
                <w:sz w:val="18"/>
              </w:rPr>
              <w:t>Examples per training forward pass</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color w:val="1F4D78"/>
                <w:sz w:val="18"/>
              </w:rPr>
              <w:t>eval_batch_size</w:t>
            </w:r>
          </w:p>
        </w:tc>
        <w:tc>
          <w:tcPr>
            <w:tcW w:type="dxa" w:w="6480"/>
            <w:vAlign w:val="center"/>
            <w:tcMar>
              <w:top w:w="80" w:type="dxa"/>
              <w:start w:w="100" w:type="dxa"/>
              <w:bottom w:w="80" w:type="dxa"/>
              <w:end w:w="100" w:type="dxa"/>
            </w:tcMar>
            <w:shd w:fill="F4F6F7"/>
          </w:tcPr>
          <w:p>
            <w:pPr>
              <w:spacing w:after="0"/>
            </w:pPr>
            <w:r>
              <w:rPr>
                <w:rFonts w:ascii="Calibri" w:hAnsi="Calibri"/>
                <w:sz w:val="18"/>
              </w:rPr>
              <w:t>Examples per evaluation forward pass</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gradient_accumulation_steps</w:t>
            </w:r>
          </w:p>
        </w:tc>
        <w:tc>
          <w:tcPr>
            <w:tcW w:type="dxa" w:w="6480"/>
            <w:vAlign w:val="center"/>
            <w:tcMar>
              <w:top w:w="80" w:type="dxa"/>
              <w:start w:w="100" w:type="dxa"/>
              <w:bottom w:w="80" w:type="dxa"/>
              <w:end w:w="100" w:type="dxa"/>
            </w:tcMar>
            <w:shd w:fill="FFFFFF"/>
          </w:tcPr>
          <w:p>
            <w:pPr>
              <w:spacing w:after="0"/>
            </w:pPr>
            <w:r>
              <w:rPr>
                <w:rFonts w:ascii="Calibri" w:hAnsi="Calibri"/>
                <w:sz w:val="18"/>
              </w:rPr>
              <w:t>Forward/backward passes per optimizer update</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color w:val="1F4D78"/>
                <w:sz w:val="18"/>
              </w:rPr>
              <w:t>max_length</w:t>
            </w:r>
          </w:p>
        </w:tc>
        <w:tc>
          <w:tcPr>
            <w:tcW w:type="dxa" w:w="6480"/>
            <w:vAlign w:val="center"/>
            <w:tcMar>
              <w:top w:w="80" w:type="dxa"/>
              <w:start w:w="100" w:type="dxa"/>
              <w:bottom w:w="80" w:type="dxa"/>
              <w:end w:w="100" w:type="dxa"/>
            </w:tcMar>
            <w:shd w:fill="F4F6F7"/>
          </w:tcPr>
          <w:p>
            <w:pPr>
              <w:spacing w:after="0"/>
            </w:pPr>
            <w:r>
              <w:rPr>
                <w:rFonts w:ascii="Calibri" w:hAnsi="Calibri"/>
                <w:sz w:val="18"/>
              </w:rPr>
              <w:t>Maximum tokenized sequence length</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weight_decay</w:t>
            </w:r>
          </w:p>
        </w:tc>
        <w:tc>
          <w:tcPr>
            <w:tcW w:type="dxa" w:w="6480"/>
            <w:vAlign w:val="center"/>
            <w:tcMar>
              <w:top w:w="80" w:type="dxa"/>
              <w:start w:w="100" w:type="dxa"/>
              <w:bottom w:w="80" w:type="dxa"/>
              <w:end w:w="100" w:type="dxa"/>
            </w:tcMar>
            <w:shd w:fill="FFFFFF"/>
          </w:tcPr>
          <w:p>
            <w:pPr>
              <w:spacing w:after="0"/>
            </w:pPr>
            <w:r>
              <w:rPr>
                <w:rFonts w:ascii="Calibri" w:hAnsi="Calibri"/>
                <w:sz w:val="18"/>
              </w:rPr>
              <w:t>AdamW regularization</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color w:val="1F4D78"/>
                <w:sz w:val="18"/>
              </w:rPr>
              <w:t>warmup_ratio</w:t>
            </w:r>
          </w:p>
        </w:tc>
        <w:tc>
          <w:tcPr>
            <w:tcW w:type="dxa" w:w="6480"/>
            <w:vAlign w:val="center"/>
            <w:tcMar>
              <w:top w:w="80" w:type="dxa"/>
              <w:start w:w="100" w:type="dxa"/>
              <w:bottom w:w="80" w:type="dxa"/>
              <w:end w:w="100" w:type="dxa"/>
            </w:tcMar>
            <w:shd w:fill="F4F6F7"/>
          </w:tcPr>
          <w:p>
            <w:pPr>
              <w:spacing w:after="0"/>
            </w:pPr>
            <w:r>
              <w:rPr>
                <w:rFonts w:ascii="Calibri" w:hAnsi="Calibri"/>
                <w:sz w:val="18"/>
              </w:rPr>
              <w:t>Fraction of scheduler steps used for warmup</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max_grad_norm</w:t>
            </w:r>
          </w:p>
        </w:tc>
        <w:tc>
          <w:tcPr>
            <w:tcW w:type="dxa" w:w="6480"/>
            <w:vAlign w:val="center"/>
            <w:tcMar>
              <w:top w:w="80" w:type="dxa"/>
              <w:start w:w="100" w:type="dxa"/>
              <w:bottom w:w="80" w:type="dxa"/>
              <w:end w:w="100" w:type="dxa"/>
            </w:tcMar>
            <w:shd w:fill="FFFFFF"/>
          </w:tcPr>
          <w:p>
            <w:pPr>
              <w:spacing w:after="0"/>
            </w:pPr>
            <w:r>
              <w:rPr>
                <w:rFonts w:ascii="Calibri" w:hAnsi="Calibri"/>
                <w:sz w:val="18"/>
              </w:rPr>
              <w:t>Gradient-clipping threshold</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color w:val="1F4D78"/>
                <w:sz w:val="18"/>
              </w:rPr>
              <w:t>split_strategy</w:t>
            </w:r>
          </w:p>
        </w:tc>
        <w:tc>
          <w:tcPr>
            <w:tcW w:type="dxa" w:w="6480"/>
            <w:vAlign w:val="center"/>
            <w:tcMar>
              <w:top w:w="80" w:type="dxa"/>
              <w:start w:w="100" w:type="dxa"/>
              <w:bottom w:w="80" w:type="dxa"/>
              <w:end w:w="100" w:type="dxa"/>
            </w:tcMar>
            <w:shd w:fill="F4F6F7"/>
          </w:tcPr>
          <w:p>
            <w:pPr>
              <w:spacing w:after="0"/>
            </w:pPr>
            <w:r>
              <w:rPr>
                <w:rFonts w:ascii="Calibri" w:hAnsi="Calibri"/>
                <w:color w:val="1F4D78"/>
                <w:sz w:val="18"/>
              </w:rPr>
              <w:t>grouped</w:t>
            </w:r>
            <w:r>
              <w:rPr>
                <w:rFonts w:ascii="Calibri" w:hAnsi="Calibri"/>
                <w:sz w:val="18"/>
              </w:rPr>
              <w:t xml:space="preserve"> for document/template groups or </w:t>
            </w:r>
            <w:r>
              <w:rPr>
                <w:rFonts w:ascii="Calibri" w:hAnsi="Calibri"/>
                <w:color w:val="1F4D78"/>
                <w:sz w:val="18"/>
              </w:rPr>
              <w:t>predefined</w:t>
            </w:r>
            <w:r>
              <w:rPr>
                <w:rFonts w:ascii="Calibri" w:hAnsi="Calibri"/>
                <w:sz w:val="18"/>
              </w:rPr>
              <w:t xml:space="preserve"> for validated supplied partitions</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deduplicate_examples</w:t>
            </w:r>
          </w:p>
        </w:tc>
        <w:tc>
          <w:tcPr>
            <w:tcW w:type="dxa" w:w="6480"/>
            <w:vAlign w:val="center"/>
            <w:tcMar>
              <w:top w:w="80" w:type="dxa"/>
              <w:start w:w="100" w:type="dxa"/>
              <w:bottom w:w="80" w:type="dxa"/>
              <w:end w:w="100" w:type="dxa"/>
            </w:tcMar>
            <w:shd w:fill="FFFFFF"/>
          </w:tcPr>
          <w:p>
            <w:pPr>
              <w:spacing w:after="0"/>
            </w:pPr>
            <w:r>
              <w:rPr>
                <w:rFonts w:ascii="Calibri" w:hAnsi="Calibri"/>
                <w:sz w:val="18"/>
              </w:rPr>
              <w:t>Remove repeated text-label rows when true; false reproduces every supplied record</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color w:val="1F4D78"/>
                <w:sz w:val="18"/>
              </w:rPr>
              <w:t>seed</w:t>
            </w:r>
          </w:p>
        </w:tc>
        <w:tc>
          <w:tcPr>
            <w:tcW w:type="dxa" w:w="6480"/>
            <w:vAlign w:val="center"/>
            <w:tcMar>
              <w:top w:w="80" w:type="dxa"/>
              <w:start w:w="100" w:type="dxa"/>
              <w:bottom w:w="80" w:type="dxa"/>
              <w:end w:w="100" w:type="dxa"/>
            </w:tcMar>
            <w:shd w:fill="F4F6F7"/>
          </w:tcPr>
          <w:p>
            <w:pPr>
              <w:spacing w:after="0"/>
            </w:pPr>
            <w:r>
              <w:rPr>
                <w:rFonts w:ascii="Calibri" w:hAnsi="Calibri"/>
                <w:sz w:val="18"/>
              </w:rPr>
              <w:t>Random seed for reproducible splits and initialization behavior</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precision</w:t>
            </w:r>
          </w:p>
        </w:tc>
        <w:tc>
          <w:tcPr>
            <w:tcW w:type="dxa" w:w="6480"/>
            <w:vAlign w:val="center"/>
            <w:tcMar>
              <w:top w:w="80" w:type="dxa"/>
              <w:start w:w="100" w:type="dxa"/>
              <w:bottom w:w="80" w:type="dxa"/>
              <w:end w:w="100" w:type="dxa"/>
            </w:tcMar>
            <w:shd w:fill="FFFFFF"/>
          </w:tcPr>
          <w:p>
            <w:pPr>
              <w:spacing w:after="0"/>
            </w:pPr>
            <w:r>
              <w:rPr>
                <w:rFonts w:ascii="Calibri" w:hAnsi="Calibri"/>
                <w:color w:val="1F4D78"/>
                <w:sz w:val="18"/>
              </w:rPr>
              <w:t>auto</w:t>
            </w:r>
            <w:r>
              <w:rPr>
                <w:rFonts w:ascii="Calibri" w:hAnsi="Calibri"/>
                <w:sz w:val="18"/>
              </w:rPr>
              <w:t xml:space="preserve">, </w:t>
            </w:r>
            <w:r>
              <w:rPr>
                <w:rFonts w:ascii="Calibri" w:hAnsi="Calibri"/>
                <w:color w:val="1F4D78"/>
                <w:sz w:val="18"/>
              </w:rPr>
              <w:t>fp32</w:t>
            </w:r>
            <w:r>
              <w:rPr>
                <w:rFonts w:ascii="Calibri" w:hAnsi="Calibri"/>
                <w:sz w:val="18"/>
              </w:rPr>
              <w:t xml:space="preserve">, </w:t>
            </w:r>
            <w:r>
              <w:rPr>
                <w:rFonts w:ascii="Calibri" w:hAnsi="Calibri"/>
                <w:color w:val="1F4D78"/>
                <w:sz w:val="18"/>
              </w:rPr>
              <w:t>fp16</w:t>
            </w:r>
            <w:r>
              <w:rPr>
                <w:rFonts w:ascii="Calibri" w:hAnsi="Calibri"/>
                <w:sz w:val="18"/>
              </w:rPr>
              <w:t xml:space="preserve">, or </w:t>
            </w:r>
            <w:r>
              <w:rPr>
                <w:rFonts w:ascii="Calibri" w:hAnsi="Calibri"/>
                <w:color w:val="1F4D78"/>
                <w:sz w:val="18"/>
              </w:rPr>
              <w:t>bf16</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color w:val="1F4D78"/>
                <w:sz w:val="18"/>
              </w:rPr>
              <w:t>freeze_encoder</w:t>
            </w:r>
          </w:p>
        </w:tc>
        <w:tc>
          <w:tcPr>
            <w:tcW w:type="dxa" w:w="6480"/>
            <w:vAlign w:val="center"/>
            <w:tcMar>
              <w:top w:w="80" w:type="dxa"/>
              <w:start w:w="100" w:type="dxa"/>
              <w:bottom w:w="80" w:type="dxa"/>
              <w:end w:w="100" w:type="dxa"/>
            </w:tcMar>
            <w:shd w:fill="F4F6F7"/>
          </w:tcPr>
          <w:p>
            <w:pPr>
              <w:spacing w:after="0"/>
            </w:pPr>
            <w:r>
              <w:rPr>
                <w:rFonts w:ascii="Calibri" w:hAnsi="Calibri"/>
                <w:sz w:val="18"/>
              </w:rPr>
              <w:t>Whether only the classifier head is trainable</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loss_function</w:t>
            </w:r>
          </w:p>
        </w:tc>
        <w:tc>
          <w:tcPr>
            <w:tcW w:type="dxa" w:w="6480"/>
            <w:vAlign w:val="center"/>
            <w:tcMar>
              <w:top w:w="80" w:type="dxa"/>
              <w:start w:w="100" w:type="dxa"/>
              <w:bottom w:w="80" w:type="dxa"/>
              <w:end w:w="100" w:type="dxa"/>
            </w:tcMar>
            <w:shd w:fill="FFFFFF"/>
          </w:tcPr>
          <w:p>
            <w:pPr>
              <w:spacing w:after="0"/>
            </w:pPr>
            <w:r>
              <w:rPr>
                <w:rFonts w:ascii="Calibri" w:hAnsi="Calibri"/>
                <w:color w:val="1F4D78"/>
                <w:sz w:val="18"/>
              </w:rPr>
              <w:t>cross_entropy</w:t>
            </w:r>
            <w:r>
              <w:rPr>
                <w:rFonts w:ascii="Calibri" w:hAnsi="Calibri"/>
                <w:sz w:val="18"/>
              </w:rPr>
              <w:t xml:space="preserve">, </w:t>
            </w:r>
            <w:r>
              <w:rPr>
                <w:rFonts w:ascii="Calibri" w:hAnsi="Calibri"/>
                <w:color w:val="1F4D78"/>
                <w:sz w:val="18"/>
              </w:rPr>
              <w:t>class_weighted</w:t>
            </w:r>
            <w:r>
              <w:rPr>
                <w:rFonts w:ascii="Calibri" w:hAnsi="Calibri"/>
                <w:sz w:val="18"/>
              </w:rPr>
              <w:t xml:space="preserve">, or </w:t>
            </w:r>
            <w:r>
              <w:rPr>
                <w:rFonts w:ascii="Calibri" w:hAnsi="Calibri"/>
                <w:color w:val="1F4D78"/>
                <w:sz w:val="18"/>
              </w:rPr>
              <w:t>focal</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color w:val="1F4D78"/>
                <w:sz w:val="18"/>
              </w:rPr>
              <w:t>focal_gamma</w:t>
            </w:r>
          </w:p>
        </w:tc>
        <w:tc>
          <w:tcPr>
            <w:tcW w:type="dxa" w:w="6480"/>
            <w:vAlign w:val="center"/>
            <w:tcMar>
              <w:top w:w="80" w:type="dxa"/>
              <w:start w:w="100" w:type="dxa"/>
              <w:bottom w:w="80" w:type="dxa"/>
              <w:end w:w="100" w:type="dxa"/>
            </w:tcMar>
            <w:shd w:fill="F4F6F7"/>
          </w:tcPr>
          <w:p>
            <w:pPr>
              <w:spacing w:after="0"/>
            </w:pPr>
            <w:r>
              <w:rPr>
                <w:rFonts w:ascii="Calibri" w:hAnsi="Calibri"/>
                <w:sz w:val="18"/>
              </w:rPr>
              <w:t>Hard-example emphasis used only by focal loss</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wandb_mode</w:t>
            </w:r>
          </w:p>
        </w:tc>
        <w:tc>
          <w:tcPr>
            <w:tcW w:type="dxa" w:w="6480"/>
            <w:vAlign w:val="center"/>
            <w:tcMar>
              <w:top w:w="80" w:type="dxa"/>
              <w:start w:w="100" w:type="dxa"/>
              <w:bottom w:w="80" w:type="dxa"/>
              <w:end w:w="100" w:type="dxa"/>
            </w:tcMar>
            <w:shd w:fill="FFFFFF"/>
          </w:tcPr>
          <w:p>
            <w:pPr>
              <w:spacing w:after="0"/>
            </w:pPr>
            <w:r>
              <w:rPr>
                <w:rFonts w:ascii="Calibri" w:hAnsi="Calibri"/>
                <w:color w:val="1F4D78"/>
                <w:sz w:val="18"/>
              </w:rPr>
              <w:t>disabled</w:t>
            </w:r>
            <w:r>
              <w:rPr>
                <w:rFonts w:ascii="Calibri" w:hAnsi="Calibri"/>
                <w:sz w:val="18"/>
              </w:rPr>
              <w:t xml:space="preserve">, </w:t>
            </w:r>
            <w:r>
              <w:rPr>
                <w:rFonts w:ascii="Calibri" w:hAnsi="Calibri"/>
                <w:color w:val="1F4D78"/>
                <w:sz w:val="18"/>
              </w:rPr>
              <w:t>offline</w:t>
            </w:r>
            <w:r>
              <w:rPr>
                <w:rFonts w:ascii="Calibri" w:hAnsi="Calibri"/>
                <w:sz w:val="18"/>
              </w:rPr>
              <w:t xml:space="preserve">, or </w:t>
            </w:r>
            <w:r>
              <w:rPr>
                <w:rFonts w:ascii="Calibri" w:hAnsi="Calibri"/>
                <w:color w:val="1F4D78"/>
                <w:sz w:val="18"/>
              </w:rPr>
              <w:t>online</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color w:val="1F4D78"/>
                <w:sz w:val="18"/>
              </w:rPr>
              <w:t>wandb_project</w:t>
            </w:r>
          </w:p>
        </w:tc>
        <w:tc>
          <w:tcPr>
            <w:tcW w:type="dxa" w:w="6480"/>
            <w:vAlign w:val="center"/>
            <w:tcMar>
              <w:top w:w="80" w:type="dxa"/>
              <w:start w:w="100" w:type="dxa"/>
              <w:bottom w:w="80" w:type="dxa"/>
              <w:end w:w="100" w:type="dxa"/>
            </w:tcMar>
            <w:shd w:fill="F4F6F7"/>
          </w:tcPr>
          <w:p>
            <w:pPr>
              <w:spacing w:after="0"/>
            </w:pPr>
            <w:r>
              <w:rPr>
                <w:rFonts w:ascii="Calibri" w:hAnsi="Calibri"/>
                <w:sz w:val="18"/>
              </w:rPr>
              <w:t>W&amp;B project name when tracking is enabled</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log_every</w:t>
            </w:r>
          </w:p>
        </w:tc>
        <w:tc>
          <w:tcPr>
            <w:tcW w:type="dxa" w:w="6480"/>
            <w:vAlign w:val="center"/>
            <w:tcMar>
              <w:top w:w="80" w:type="dxa"/>
              <w:start w:w="100" w:type="dxa"/>
              <w:bottom w:w="80" w:type="dxa"/>
              <w:end w:w="100" w:type="dxa"/>
            </w:tcMar>
            <w:shd w:fill="FFFFFF"/>
          </w:tcPr>
          <w:p>
            <w:pPr>
              <w:spacing w:after="0"/>
            </w:pPr>
            <w:r>
              <w:rPr>
                <w:rFonts w:ascii="Calibri" w:hAnsi="Calibri"/>
                <w:sz w:val="18"/>
              </w:rPr>
              <w:t>Training-step interval for progress logging</w:t>
            </w:r>
          </w:p>
        </w:tc>
      </w:tr>
      <w:tr>
        <w:trPr>
          <w:cantSplit/>
        </w:trPr>
        <w:tc>
          <w:tcPr>
            <w:tcW w:type="dxa" w:w="2880"/>
            <w:vAlign w:val="center"/>
            <w:tcMar>
              <w:top w:w="80" w:type="dxa"/>
              <w:start w:w="100" w:type="dxa"/>
              <w:bottom w:w="80" w:type="dxa"/>
              <w:end w:w="100" w:type="dxa"/>
            </w:tcMar>
            <w:shd w:fill="F4F6F7"/>
          </w:tcPr>
          <w:p>
            <w:pPr>
              <w:spacing w:after="0"/>
            </w:pPr>
            <w:r>
              <w:rPr>
                <w:rFonts w:ascii="Calibri" w:hAnsi="Calibri"/>
                <w:color w:val="1F4D78"/>
                <w:sz w:val="18"/>
              </w:rPr>
              <w:t>data_license</w:t>
            </w:r>
          </w:p>
        </w:tc>
        <w:tc>
          <w:tcPr>
            <w:tcW w:type="dxa" w:w="6480"/>
            <w:vAlign w:val="center"/>
            <w:tcMar>
              <w:top w:w="80" w:type="dxa"/>
              <w:start w:w="100" w:type="dxa"/>
              <w:bottom w:w="80" w:type="dxa"/>
              <w:end w:w="100" w:type="dxa"/>
            </w:tcMar>
            <w:shd w:fill="F4F6F7"/>
          </w:tcPr>
          <w:p>
            <w:pPr>
              <w:spacing w:after="0"/>
            </w:pPr>
            <w:r>
              <w:rPr>
                <w:rFonts w:ascii="Calibri" w:hAnsi="Calibri"/>
                <w:sz w:val="18"/>
              </w:rPr>
              <w:t>License or private-use designation saved with the run</w:t>
            </w:r>
          </w:p>
        </w:tc>
      </w:tr>
      <w:tr>
        <w:trPr>
          <w:cantSplit/>
        </w:trPr>
        <w:tc>
          <w:tcPr>
            <w:tcW w:type="dxa" w:w="2880"/>
            <w:vAlign w:val="center"/>
            <w:tcMar>
              <w:top w:w="80" w:type="dxa"/>
              <w:start w:w="100" w:type="dxa"/>
              <w:bottom w:w="80" w:type="dxa"/>
              <w:end w:w="100" w:type="dxa"/>
            </w:tcMar>
            <w:shd w:fill="FFFFFF"/>
          </w:tcPr>
          <w:p>
            <w:pPr>
              <w:spacing w:after="0"/>
            </w:pPr>
            <w:r>
              <w:rPr>
                <w:rFonts w:ascii="Calibri" w:hAnsi="Calibri"/>
                <w:color w:val="1F4D78"/>
                <w:sz w:val="18"/>
              </w:rPr>
              <w:t>data_source</w:t>
            </w:r>
          </w:p>
        </w:tc>
        <w:tc>
          <w:tcPr>
            <w:tcW w:type="dxa" w:w="6480"/>
            <w:vAlign w:val="center"/>
            <w:tcMar>
              <w:top w:w="80" w:type="dxa"/>
              <w:start w:w="100" w:type="dxa"/>
              <w:bottom w:w="80" w:type="dxa"/>
              <w:end w:w="100" w:type="dxa"/>
            </w:tcMar>
            <w:shd w:fill="FFFFFF"/>
          </w:tcPr>
          <w:p>
            <w:pPr>
              <w:spacing w:after="0"/>
            </w:pPr>
            <w:r>
              <w:rPr>
                <w:rFonts w:ascii="Calibri" w:hAnsi="Calibri"/>
                <w:sz w:val="18"/>
              </w:rPr>
              <w:t>Dataset provenance saved with the run</w:t>
            </w:r>
          </w:p>
        </w:tc>
      </w:tr>
    </w:tbl>
    <w:p>
      <w:pPr>
        <w:spacing w:after="0"/>
      </w:pPr>
    </w:p>
    <w:p>
      <w:bookmarkStart w:id="219" w:name="guide_sec_120"/>
      <w:pPr>
        <w:pStyle w:val="Heading2"/>
      </w:pPr>
      <w:r>
        <w:t>17.3 Glossary</w:t>
      </w:r>
      <w:bookmarkEnd w:id="219"/>
    </w:p>
    <w:p>
      <w:r>
        <w:rPr>
          <w:b/>
        </w:rPr>
        <w:t>Checkpoint:</w:t>
      </w:r>
      <w:r>
        <w:t xml:space="preserve"> Saved model and tokenizer state from a selected point in training.</w:t>
      </w:r>
    </w:p>
    <w:p>
      <w:r>
        <w:rPr>
          <w:b/>
        </w:rPr>
        <w:t>Encoder:</w:t>
      </w:r>
      <w:r>
        <w:t xml:space="preserve"> Transformer layers that convert tokens into contextual representations.</w:t>
      </w:r>
    </w:p>
    <w:p>
      <w:r>
        <w:rPr>
          <w:b/>
        </w:rPr>
        <w:t>Epoch:</w:t>
      </w:r>
      <w:r>
        <w:t xml:space="preserve"> One complete pass through the training partition.</w:t>
      </w:r>
    </w:p>
    <w:p>
      <w:r>
        <w:rPr>
          <w:b/>
        </w:rPr>
        <w:t>Fine-tuning:</w:t>
      </w:r>
      <w:r>
        <w:t xml:space="preserve"> Updating a pretrained model's parameters for a labeled target task.</w:t>
      </w:r>
    </w:p>
    <w:p>
      <w:r>
        <w:rPr>
          <w:b/>
        </w:rPr>
        <w:t>Gradient accumulation:</w:t>
      </w:r>
      <w:r>
        <w:t xml:space="preserve"> Delaying the optimizer step across multiple smaller batches.</w:t>
      </w:r>
    </w:p>
    <w:p>
      <w:r>
        <w:rPr>
          <w:b/>
        </w:rPr>
        <w:t>Leakage:</w:t>
      </w:r>
      <w:r>
        <w:t xml:space="preserve"> Information reaching evaluation data in a way that produces unrealistic performance.</w:t>
      </w:r>
    </w:p>
    <w:p>
      <w:r>
        <w:rPr>
          <w:b/>
        </w:rPr>
        <w:t>Macro F1:</w:t>
      </w:r>
      <w:r>
        <w:t xml:space="preserve"> Unweighted mean of per-class F1 scores.</w:t>
      </w:r>
    </w:p>
    <w:p>
      <w:r>
        <w:rPr>
          <w:b/>
        </w:rPr>
        <w:t>Provenance:</w:t>
      </w:r>
      <w:r>
        <w:t xml:space="preserve"> Where data came from, under what terms, and how it was changed.</w:t>
      </w:r>
    </w:p>
    <w:p>
      <w:r>
        <w:rPr>
          <w:b/>
        </w:rPr>
        <w:t>Tokenizer:</w:t>
      </w:r>
      <w:r>
        <w:t xml:space="preserve"> Component that maps input text to model token IDs and masks.</w:t>
      </w:r>
    </w:p>
    <w:p>
      <w:r>
        <w:rPr>
          <w:b/>
        </w:rPr>
        <w:t>Validation split:</w:t>
      </w:r>
      <w:r>
        <w:t xml:space="preserve"> Held-out data used for checkpoint selection and experiment decisions.</w:t>
      </w:r>
    </w:p>
    <w:p>
      <w:bookmarkStart w:id="220" w:name="guide_sec_121"/>
      <w:pPr>
        <w:pStyle w:val="Heading2"/>
      </w:pPr>
      <w:r>
        <w:t>17.4 Final learning checklist</w:t>
      </w:r>
      <w:bookmarkEnd w:id="220"/>
    </w:p>
    <w:p>
      <w:pPr>
        <w:pStyle w:val="ListBullet"/>
      </w:pPr>
      <w:r>
        <w:t>[ ] I can start and stop the app and state its local URL.</w:t>
      </w:r>
    </w:p>
    <w:p>
      <w:pPr>
        <w:pStyle w:val="ListBullet"/>
      </w:pPr>
      <w:r>
        <w:t>[ ] I can explain the dataset fields and prove contract-level split isolation.</w:t>
      </w:r>
    </w:p>
    <w:p>
      <w:pPr>
        <w:pStyle w:val="ListBullet"/>
      </w:pPr>
      <w:r>
        <w:t>[ ] I can explain every major training control in my configuration.</w:t>
      </w:r>
    </w:p>
    <w:p>
      <w:pPr>
        <w:pStyle w:val="ListBullet"/>
      </w:pPr>
      <w:r>
        <w:t>[ ] I have read the central PyTorch training loop.</w:t>
      </w:r>
    </w:p>
    <w:p>
      <w:pPr>
        <w:pStyle w:val="ListBullet"/>
      </w:pPr>
      <w:r>
        <w:t>[ ] I can run the same configuration from the CLI.</w:t>
      </w:r>
    </w:p>
    <w:p>
      <w:pPr>
        <w:pStyle w:val="ListBullet"/>
      </w:pPr>
      <w:r>
        <w:t>[ ] I can export and execute a notebook or script.</w:t>
      </w:r>
    </w:p>
    <w:p>
      <w:pPr>
        <w:pStyle w:val="ListBullet"/>
      </w:pPr>
      <w:r>
        <w:t>[ ] I can interpret macro F1, a confusion matrix, and individual errors.</w:t>
      </w:r>
    </w:p>
    <w:p>
      <w:pPr>
        <w:pStyle w:val="ListBullet"/>
      </w:pPr>
      <w:r>
        <w:t>[ ] I know exactly what W&amp;B sends and have tested offline mode first.</w:t>
      </w:r>
    </w:p>
    <w:p>
      <w:pPr>
        <w:pStyle w:val="ListBullet"/>
      </w:pPr>
      <w:r>
        <w:t>[ ] I can locate every artifact produced by a run.</w:t>
      </w:r>
    </w:p>
    <w:p>
      <w:pPr>
        <w:pStyle w:val="ListBullet"/>
      </w:pPr>
      <w:r>
        <w:t>[ ] I will not publish contracts, secrets, checkpoints, or third-party data accidentally.</w:t>
      </w:r>
    </w:p>
    <w:p>
      <w:pPr>
        <w:pStyle w:val="ListBullet"/>
      </w:pPr>
      <w:r>
        <w:t>[ ] I have completed the private-first release checklist before any GitHub or Hugging Face push.</w:t>
      </w:r>
    </w:p>
    <w:p>
      <w:pPr>
        <w:pStyle w:val="ListBullet"/>
      </w:pPr>
      <w:r>
        <w:t>[ ] I can explain why Contra's macro-F1 and zero-F1 labels prevent an unsupported state-of-the-art claim.</w:t>
      </w:r>
    </w:p>
    <w:sectPr w:rsidR="00FC693F" w:rsidRPr="0006063C" w:rsidSect="00034616">
      <w:headerReference w:type="default" r:id="rId9"/>
      <w:footerReference w:type="default" r:id="rId10"/>
      <w:pgSz w:w="12240" w:h="15840"/>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6"/>
      </w:rPr>
      <w:t xml:space="preserve">AI-Enabled Contracts Lab 0.1.0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67085"/>
        <w:sz w:val="16"/>
      </w:rPr>
      <w:t>AI-ENABLED CONTRACTS LAB  |  USER &amp; DEVELOPER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Rule="auto" w:line="300"/>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color w:val="172B4D"/>
      <w:sz w:val="17"/>
    </w:rPr>
  </w:style>
  <w:style w:type="paragraph" w:customStyle="1" w:styleId="GuideNote">
    <w:name w:val="Guide Note"/>
    <w:pPr>
      <w:spacing w:before="100" w:after="160"/>
      <w:ind w:left="317" w:right="173"/>
    </w:pPr>
    <w:rPr>
      <w:rFonts w:ascii="Calibri" w:hAnsi="Calibri"/>
      <w:i/>
      <w:color w:val="1F4D78"/>
      <w:sz w:val="20"/>
    </w:rPr>
  </w:style>
  <w:style w:type="paragraph" w:customStyle="1" w:styleId="TOCEntry1">
    <w:name w:val="TOC Entry 1"/>
    <w:pPr>
      <w:spacing w:after="60"/>
    </w:pPr>
    <w:rPr>
      <w:rFonts w:ascii="Calibri" w:hAnsi="Calibri"/>
      <w:b/>
      <w:sz w:val="20"/>
    </w:rPr>
  </w:style>
  <w:style w:type="paragraph" w:customStyle="1" w:styleId="TOCEntry2">
    <w:name w:val="TOC Entry 2"/>
    <w:pPr>
      <w:spacing w:after="30"/>
      <w:ind w:left="317"/>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AI-Enabled Contracts Lab User and Developer Guide</dc:title>
  <dc:subject>Using, evaluating, and privately releasing the hybrid AI-Enabled Contracts Lab workbench</dc:subject>
  <dc:creator>Rami Jaloudi</dc:creator>
  <cp:keywords>AI-Enabled Contracts Lab, BERT, generative LLM, contract chat, PyTorch, Streamlit, legal AI</cp:keywords>
  <dc:description>Generated from docs/AI_Enabled_Contracts_Lab_User_Guide.md</dc:description>
  <cp:lastModifiedBy>Rami Jaloudi</cp:lastModifiedBy>
  <cp:revision>1</cp:revision>
  <dcterms:created xsi:type="dcterms:W3CDTF">2013-12-23T23:15:00Z</dcterms:created>
  <dcterms:modified xsi:type="dcterms:W3CDTF">2013-12-23T23:15:00Z</dcterms:modified>
  <cp:category/>
</cp:coreProperties>
</file>