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Благотворительная программа БФ «Никогда не поздно» на 2027 год</w:t>
      </w:r>
    </w:p>
    <w:p>
      <w:pPr/>
      <w:r>
        <w:t xml:space="preserve">Sep 28, 2026</w:t>
      </w:r>
      <w:r>
        <w:t xml:space="preserve"> · </w:t>
      </w:r>
      <w:r>
        <w:t xml:space="preserve">@Анастасия</w:t>
      </w:r>
    </w:p>
    <w:p>
      <w:pPr/>
      <w:r>
        <w:t xml:space="preserve">Проект. Вносится Генеральным директором (п. 7.2 Устава), утверждается Советом Фонда квалифицированным большинством 2/3 (п. 5.5.11, 5.6, 7.7). Программа первого полного года работы Фонда: 2,0 млн руб. в обороте, из них 1,6 млн руб. — прямо на четыре благотворительные подпрограммы.</w:t>
      </w:r>
    </w:p>
    <w:p>
      <w:pPr>
        <w:pStyle w:val="Heading2"/>
      </w:pPr>
      <w:r>
        <w:t xml:space="preserve">1. Паспорт программы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Наименование</w:t>
            </w:r>
          </w:p>
        </w:tc>
        <w:tc>
          <w:tcPr>
            <w:tcW w:w="4680" w:type="dxa"/>
          </w:tcPr>
          <w:p>
            <w:pPr/>
            <w:r>
              <w:t xml:space="preserve">Комплексная благотворительная программа «Никогда не поздно» на 2027 год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Основание</w:t>
            </w:r>
          </w:p>
        </w:tc>
        <w:tc>
          <w:tcPr>
            <w:tcW w:w="4680" w:type="dxa"/>
          </w:tcPr>
          <w:p>
            <w:pPr/>
            <w:r>
              <w:t xml:space="preserve">Устав БФ «НИКОГДА НЕ ПОЗДНО», разделы 2 и 7; ФЗ «О благотворительной деятельности и добровольчестве (волонтерстве)»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Тип</w:t>
            </w:r>
          </w:p>
        </w:tc>
        <w:tc>
          <w:tcPr>
            <w:tcW w:w="4680" w:type="dxa"/>
          </w:tcPr>
          <w:p>
            <w:pPr/>
            <w:r>
              <w:t xml:space="preserve">Краткосрочная (срок не более 1 года, п. 7.5.1)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Срок реализации</w:t>
            </w:r>
          </w:p>
        </w:tc>
        <w:tc>
          <w:tcPr>
            <w:tcW w:w="4680" w:type="dxa"/>
          </w:tcPr>
          <w:p>
            <w:pPr/>
            <w:r>
              <w:t xml:space="preserve">1 января — 31 декабря 2027 года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Цель</w:t>
            </w:r>
          </w:p>
        </w:tc>
        <w:tc>
          <w:tcPr>
            <w:tcW w:w="4680" w:type="dxa"/>
          </w:tcPr>
          <w:p>
            <w:pPr/>
            <w:r>
              <w:t xml:space="preserve">Показать людям, которым обстоятельства говорят «поздно», что помощь, новое начало и здоровье доступны в любом возрасте и положении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Подпрограммы</w:t>
            </w:r>
          </w:p>
        </w:tc>
        <w:tc>
          <w:tcPr>
            <w:tcW w:w="4680" w:type="dxa"/>
          </w:tcPr>
          <w:p>
            <w:pPr/>
            <w:r>
              <w:t xml:space="preserve">1) «Никогда не поздно помочь» — адресная помощь; 2) «Никогда не поздно начать заново» — реабилитация и трудоустройство; 3) «Никогда не поздно стать самостоятельным» — дети-сироты и выпускники; 4) «Никогда не поздно быть здоровым» — ЗОЖ и психологическое здоровье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География</w:t>
            </w:r>
          </w:p>
        </w:tc>
        <w:tc>
          <w:tcPr>
            <w:tcW w:w="4680" w:type="dxa"/>
          </w:tcPr>
          <w:p>
            <w:pPr/>
            <w:r>
              <w:t xml:space="preserve">г. Москва и Московская область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Объём финансирования</w:t>
            </w:r>
          </w:p>
        </w:tc>
        <w:tc>
          <w:tcPr>
            <w:tcW w:w="4680" w:type="dxa"/>
          </w:tcPr>
          <w:p>
            <w:pPr/>
            <w:r>
              <w:t xml:space="preserve">2 000 тыс. руб. поступлений и 2 000 тыс. руб. расходов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Ответственный исполнитель</w:t>
            </w:r>
          </w:p>
        </w:tc>
        <w:tc>
          <w:tcPr>
            <w:tcW w:w="4680" w:type="dxa"/>
          </w:tcPr>
          <w:p>
            <w:pPr/>
            <w:r>
              <w:t xml:space="preserve">Генеральный директор Фонда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Контроль</w:t>
            </w:r>
          </w:p>
        </w:tc>
        <w:tc>
          <w:tcPr>
            <w:tcW w:w="4680" w:type="dxa"/>
          </w:tcPr>
          <w:p>
            <w:pPr/>
            <w:r>
              <w:t xml:space="preserve">Совет Фонда, Попечительский совет, Ревизор</w:t>
            </w:r>
          </w:p>
        </w:tc>
      </w:tr>
    </w:tbl>
    <w:p>
      <w:pPr/>
      <w:r>
        <w:rPr>
          <w:b/>
        </w:rPr>
        <w:t xml:space="preserve">Задачи программы:</w:t>
      </w:r>
    </w:p>
    <w:p>
      <w:pPr>
        <w:pStyle w:val="ListParagraph"/>
        <w:numPr>
          <w:ilvl w:val="0"/>
          <w:numId w:val="2"/>
        </w:numPr>
      </w:pPr>
      <w:r>
        <w:t xml:space="preserve">Оказать адресную помощь не менее чем 100 семьям и гражданам в трудной жизненной ситуации.</w:t>
      </w:r>
    </w:p>
    <w:p>
      <w:pPr>
        <w:pStyle w:val="ListParagraph"/>
        <w:numPr>
          <w:ilvl w:val="0"/>
          <w:numId w:val="2"/>
        </w:numPr>
      </w:pPr>
      <w:r>
        <w:t xml:space="preserve">Провести через программы профориентации и обучения 30 человек с инвалидностью и безработных, трудоустроить не менее 8.</w:t>
      </w:r>
    </w:p>
    <w:p>
      <w:pPr>
        <w:pStyle w:val="ListParagraph"/>
        <w:numPr>
          <w:ilvl w:val="0"/>
          <w:numId w:val="2"/>
        </w:numPr>
      </w:pPr>
      <w:r>
        <w:t xml:space="preserve">Взять под сопровождение 1 детское учреждение и 10 выпускников интернатов.</w:t>
      </w:r>
    </w:p>
    <w:p>
      <w:pPr>
        <w:pStyle w:val="ListParagraph"/>
        <w:numPr>
          <w:ilvl w:val="0"/>
          <w:numId w:val="2"/>
        </w:numPr>
      </w:pPr>
      <w:r>
        <w:t xml:space="preserve">Охватить мероприятиями по ЗОЖ не менее 800 человек, оказать бесплатную психологическую помощь 100 гражданам.</w:t>
      </w:r>
    </w:p>
    <w:p>
      <w:pPr>
        <w:pStyle w:val="ListParagraph"/>
        <w:numPr>
          <w:ilvl w:val="0"/>
          <w:numId w:val="2"/>
        </w:numPr>
      </w:pPr>
      <w:r>
        <w:t xml:space="preserve">Сформировать базу благотворителей: 2 корпоративных партнёра, 150 регулярных частных жертвователей.</w:t>
      </w:r>
    </w:p>
    <w:p>
      <w:pPr>
        <w:pStyle w:val="Heading2"/>
      </w:pPr>
      <w:r>
        <w:t xml:space="preserve">2. Обоснование и целевые группы</w:t>
      </w:r>
    </w:p>
    <w:p>
      <w:pPr/>
      <w:r>
        <w:t xml:space="preserve">Фонд зарегистрирован в 2026 году, и 2027-й — первый год, когда он работает полный цикл. Поэтому программа сознательно охватывает все пять уставных целей, но в каждой делает ставку на несколько понятных, измеримых форматов, которые можно показать благотворителям и грантодателям уже по итогам года.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Целевая группа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Уставная цель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Подпрограмма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Ключевая потребность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Малообеспеченные и многодетные семьи, одинокие пожилые, люди в трудной жизненной ситуации</w:t>
            </w:r>
          </w:p>
        </w:tc>
        <w:tc>
          <w:tcPr>
            <w:tcW w:w="2340" w:type="dxa"/>
          </w:tcPr>
          <w:p>
            <w:pPr/>
            <w:r>
              <w:t xml:space="preserve">2.1.1, 2.1.2</w:t>
            </w:r>
          </w:p>
        </w:tc>
        <w:tc>
          <w:tcPr>
            <w:tcW w:w="2340" w:type="dxa"/>
          </w:tcPr>
          <w:p>
            <w:pPr/>
            <w:r>
              <w:t xml:space="preserve">«Никогда не поздно помочь»</w:t>
            </w:r>
          </w:p>
        </w:tc>
        <w:tc>
          <w:tcPr>
            <w:tcW w:w="2340" w:type="dxa"/>
          </w:tcPr>
          <w:p>
            <w:pPr/>
            <w:r>
              <w:t xml:space="preserve">Продукты, вещи, лекарства, юридическая консультация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Люди с инвалидностью и ОВЗ, безработные</w:t>
            </w:r>
          </w:p>
        </w:tc>
        <w:tc>
          <w:tcPr>
            <w:tcW w:w="2340" w:type="dxa"/>
          </w:tcPr>
          <w:p>
            <w:pPr/>
            <w:r>
              <w:t xml:space="preserve">2.1.3</w:t>
            </w:r>
          </w:p>
        </w:tc>
        <w:tc>
          <w:tcPr>
            <w:tcW w:w="2340" w:type="dxa"/>
          </w:tcPr>
          <w:p>
            <w:pPr/>
            <w:r>
              <w:t xml:space="preserve">«Никогда не поздно начать заново»</w:t>
            </w:r>
          </w:p>
        </w:tc>
        <w:tc>
          <w:tcPr>
            <w:tcW w:w="2340" w:type="dxa"/>
          </w:tcPr>
          <w:p>
            <w:pPr/>
            <w:r>
              <w:t xml:space="preserve">Реабилитация, ТСР, новая профессия, работа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Дети-сироты, дети без попечения родителей, выпускники интернатов, замещающие семьи</w:t>
            </w:r>
          </w:p>
        </w:tc>
        <w:tc>
          <w:tcPr>
            <w:tcW w:w="2340" w:type="dxa"/>
          </w:tcPr>
          <w:p>
            <w:pPr/>
            <w:r>
              <w:t xml:space="preserve">2.1.4</w:t>
            </w:r>
          </w:p>
        </w:tc>
        <w:tc>
          <w:tcPr>
            <w:tcW w:w="2340" w:type="dxa"/>
          </w:tcPr>
          <w:p>
            <w:pPr/>
            <w:r>
              <w:t xml:space="preserve">«Никогда не поздно стать самостоятельным»</w:t>
            </w:r>
          </w:p>
        </w:tc>
        <w:tc>
          <w:tcPr>
            <w:tcW w:w="2340" w:type="dxa"/>
          </w:tcPr>
          <w:p>
            <w:pPr/>
            <w:r>
              <w:t xml:space="preserve">Подготовка к самостоятельной жизни, наставник, помощь учреждению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Все жители, в первую очередь подопечные Фонда и люди в стрессе</w:t>
            </w:r>
          </w:p>
        </w:tc>
        <w:tc>
          <w:tcPr>
            <w:tcW w:w="2340" w:type="dxa"/>
          </w:tcPr>
          <w:p>
            <w:pPr/>
            <w:r>
              <w:t xml:space="preserve">2.1.5</w:t>
            </w:r>
          </w:p>
        </w:tc>
        <w:tc>
          <w:tcPr>
            <w:tcW w:w="2340" w:type="dxa"/>
          </w:tcPr>
          <w:p>
            <w:pPr/>
            <w:r>
              <w:t xml:space="preserve">«Никогда не поздно быть здоровым»</w:t>
            </w:r>
          </w:p>
        </w:tc>
        <w:tc>
          <w:tcPr>
            <w:tcW w:w="2340" w:type="dxa"/>
          </w:tcPr>
          <w:p>
            <w:pPr/>
            <w:r>
              <w:t xml:space="preserve">Спорт, профилактика, психологическая помощь</w:t>
            </w:r>
          </w:p>
        </w:tc>
      </w:tr>
    </w:tbl>
    <w:p>
      <w:pPr/>
      <w:r>
        <w:t xml:space="preserve">Принцип отбора: помощь оказывается по заявлению и при документальном подтверждении нуждаемости; Учредитель и связанные лица пользуются услугами Фонда только на равных условиях (п. 3.2, 4.5).</w:t>
      </w:r>
    </w:p>
    <w:p>
      <w:pPr>
        <w:pStyle w:val="Heading2"/>
      </w:pPr>
      <w:r>
        <w:t xml:space="preserve">3. Подпрограммы и мероприятия</w:t>
      </w:r>
    </w:p>
    <w:p>
      <w:pPr/>
      <w:r>
        <w:t xml:space="preserve">Четыре подпрограммы получают 1 600 тыс. руб.; самая крупная — «Никогда не поздно стать самостоятельным» (500 тыс. руб.), потому что работа с сиротами требует длительного сопровождения. При бюджете 2 млн руб. Фонд делает ставку на партнёров, волонтёров и pro bono специалистов, а деньги тратит на то, что без них не получить.</w:t>
      </w:r>
    </w:p>
    <w:p>
      <w:pPr>
        <w:pStyle w:val="Heading3"/>
      </w:pPr>
      <w:r>
        <w:t xml:space="preserve">3.1. «Никогда не поздно помочь» — адресная помощь (450 тыс. руб.)</w:t>
      </w:r>
    </w:p>
    <w:p>
      <w:pPr/>
      <w:r>
        <w:t xml:space="preserve">Цели 2.1.1, 2.1.2; виды деятельности 2.3.1–2.3.4.</w:t>
      </w:r>
    </w:p>
    <w:p>
      <w:pPr>
        <w:pStyle w:val="ListParagraph"/>
        <w:numPr>
          <w:ilvl w:val="0"/>
          <w:numId w:val="3"/>
        </w:numPr>
      </w:pPr>
      <w:r>
        <w:t xml:space="preserve">Адресная материальная помощь по заявлениям: лекарства, срочные нужды — до 10 тыс. руб. на семью, около 10 семей.</w:t>
      </w:r>
    </w:p>
    <w:p>
      <w:pPr>
        <w:pStyle w:val="ListParagraph"/>
        <w:numPr>
          <w:ilvl w:val="0"/>
          <w:numId w:val="3"/>
        </w:numPr>
      </w:pPr>
      <w:r>
        <w:t xml:space="preserve">Продуктовые и гигиенические наборы для 30 семей (многодетные, одинокие пожилые) раз в квартал.</w:t>
      </w:r>
    </w:p>
    <w:p>
      <w:pPr>
        <w:pStyle w:val="ListParagraph"/>
        <w:numPr>
          <w:ilvl w:val="0"/>
          <w:numId w:val="3"/>
        </w:numPr>
      </w:pPr>
      <w:r>
        <w:t xml:space="preserve">Пункт выдачи вещевой помощи — 1 день в неделю, на натуральных пожертвованиях и силами волонтёров.</w:t>
      </w:r>
    </w:p>
    <w:p>
      <w:pPr>
        <w:pStyle w:val="ListParagraph"/>
        <w:numPr>
          <w:ilvl w:val="0"/>
          <w:numId w:val="3"/>
        </w:numPr>
      </w:pPr>
      <w:r>
        <w:t xml:space="preserve">Бесплатные юридические консультации раз в месяц — pro bono, с партнёрской юридической клиникой.</w:t>
      </w:r>
    </w:p>
    <w:p>
      <w:pPr>
        <w:pStyle w:val="ListParagraph"/>
        <w:numPr>
          <w:ilvl w:val="0"/>
          <w:numId w:val="3"/>
        </w:numPr>
      </w:pPr>
      <w:r>
        <w:t xml:space="preserve">Сезонные акции: «Собери ребёнка в школу» (август) и новогодние подарки (декабрь) — около 60 семей.</w:t>
      </w:r>
    </w:p>
    <w:p>
      <w:pPr>
        <w:pStyle w:val="Heading3"/>
      </w:pPr>
      <w:r>
        <w:t xml:space="preserve">3.2. «Никогда не поздно начать заново» — реабилитация и трудоустройство (400 тыс. руб.)</w:t>
      </w:r>
    </w:p>
    <w:p>
      <w:pPr/>
      <w:r>
        <w:t xml:space="preserve">Цель 2.1.3; виды деятельности 2.3.5–2.3.9.</w:t>
      </w:r>
    </w:p>
    <w:p>
      <w:pPr>
        <w:pStyle w:val="ListParagraph"/>
        <w:numPr>
          <w:ilvl w:val="0"/>
          <w:numId w:val="4"/>
        </w:numPr>
      </w:pPr>
      <w:r>
        <w:t xml:space="preserve">Курсы профориентации и переобучения: 2 потока по 15 человек (цифровая грамотность, административная работа).</w:t>
      </w:r>
    </w:p>
    <w:p>
      <w:pPr>
        <w:pStyle w:val="ListParagraph"/>
        <w:numPr>
          <w:ilvl w:val="0"/>
          <w:numId w:val="4"/>
        </w:numPr>
      </w:pPr>
      <w:r>
        <w:t xml:space="preserve">Трудоустройство людей с ОВЗ: 5–7 работодателей-партнёров, сопровождение первые 3 месяца работы.</w:t>
      </w:r>
    </w:p>
    <w:p>
      <w:pPr>
        <w:pStyle w:val="ListParagraph"/>
        <w:numPr>
          <w:ilvl w:val="0"/>
          <w:numId w:val="4"/>
        </w:numPr>
      </w:pPr>
      <w:r>
        <w:t xml:space="preserve">Закупка и передача технических средств реабилитации, не покрываемых государством, — 5 комплектов.</w:t>
      </w:r>
    </w:p>
    <w:p>
      <w:pPr>
        <w:pStyle w:val="ListParagraph"/>
        <w:numPr>
          <w:ilvl w:val="0"/>
          <w:numId w:val="4"/>
        </w:numPr>
      </w:pPr>
      <w:r>
        <w:t xml:space="preserve">Инклюзивная мастерская: изделия подопечных продаются на ярмарках (приносящая доход деятельность, п. 2.4.3).</w:t>
      </w:r>
    </w:p>
    <w:p>
      <w:pPr>
        <w:pStyle w:val="ListParagraph"/>
        <w:numPr>
          <w:ilvl w:val="0"/>
          <w:numId w:val="4"/>
        </w:numPr>
      </w:pPr>
      <w:r>
        <w:t xml:space="preserve">Выставка работ подопечных в рамках новогодней ярмарки.</w:t>
      </w:r>
    </w:p>
    <w:p>
      <w:pPr>
        <w:pStyle w:val="Heading3"/>
      </w:pPr>
      <w:r>
        <w:t xml:space="preserve">3.3. «Никогда не поздно стать самостоятельным» — дети-сироты и выпускники интернатов (500 тыс. руб.)</w:t>
      </w:r>
    </w:p>
    <w:p>
      <w:pPr/>
      <w:r>
        <w:t xml:space="preserve">Цель 2.1.4; виды деятельности 2.3.10–2.3.14.</w:t>
      </w:r>
    </w:p>
    <w:p>
      <w:pPr>
        <w:pStyle w:val="ListParagraph"/>
        <w:numPr>
          <w:ilvl w:val="0"/>
          <w:numId w:val="5"/>
        </w:numPr>
      </w:pPr>
      <w:r>
        <w:t xml:space="preserve">Наставничество: 10 пар «наставник — выпускник», отбор и обучение наставников, ежемесячные супервизии.</w:t>
      </w:r>
    </w:p>
    <w:p>
      <w:pPr>
        <w:pStyle w:val="ListParagraph"/>
        <w:numPr>
          <w:ilvl w:val="0"/>
          <w:numId w:val="5"/>
        </w:numPr>
      </w:pPr>
      <w:r>
        <w:t xml:space="preserve">Школа самостоятельной жизни: финансовая грамотность, быт, поиск работы и жилья, права выпускника — 8 занятий.</w:t>
      </w:r>
    </w:p>
    <w:p>
      <w:pPr>
        <w:pStyle w:val="ListParagraph"/>
        <w:numPr>
          <w:ilvl w:val="0"/>
          <w:numId w:val="5"/>
        </w:numPr>
      </w:pPr>
      <w:r>
        <w:t xml:space="preserve">Репетиторство для подготовки к ОГЭ/ЕГЭ — 10 детей.</w:t>
      </w:r>
    </w:p>
    <w:p>
      <w:pPr>
        <w:pStyle w:val="ListParagraph"/>
        <w:numPr>
          <w:ilvl w:val="0"/>
          <w:numId w:val="5"/>
        </w:numPr>
      </w:pPr>
      <w:r>
        <w:t xml:space="preserve">Сопровождение 1 детского учреждения: техника и спортинвентарь.</w:t>
      </w:r>
    </w:p>
    <w:p>
      <w:pPr>
        <w:pStyle w:val="ListParagraph"/>
        <w:numPr>
          <w:ilvl w:val="0"/>
          <w:numId w:val="5"/>
        </w:numPr>
      </w:pPr>
      <w:r>
        <w:t xml:space="preserve">3 экскурсионных выезда в учебный год и летняя однодневная поездка.</w:t>
      </w:r>
    </w:p>
    <w:p>
      <w:pPr>
        <w:pStyle w:val="ListParagraph"/>
        <w:numPr>
          <w:ilvl w:val="0"/>
          <w:numId w:val="5"/>
        </w:numPr>
      </w:pPr>
      <w:r>
        <w:t xml:space="preserve">Встречи клуба замещающих семей раз в месяц с психологом и юристом — профилактика вторичного сиротства.</w:t>
      </w:r>
    </w:p>
    <w:p>
      <w:pPr>
        <w:pStyle w:val="Heading3"/>
      </w:pPr>
      <w:r>
        <w:t xml:space="preserve">3.4. «Никогда не поздно быть здоровым» — ЗОЖ и психологическое здоровье (250 тыс. руб.)</w:t>
      </w:r>
    </w:p>
    <w:p>
      <w:pPr/>
      <w:r>
        <w:t xml:space="preserve">Цель 2.1.5; виды деятельности 2.3.15–2.3.18.</w:t>
      </w:r>
    </w:p>
    <w:p>
      <w:pPr>
        <w:pStyle w:val="ListParagraph"/>
        <w:numPr>
          <w:ilvl w:val="0"/>
          <w:numId w:val="6"/>
        </w:numPr>
      </w:pPr>
      <w:r>
        <w:t xml:space="preserve">Благотворительный забег «Никогда не поздно» (сентябрь) — ЗОЖ-событие и сбор средств одновременно; расходы покрываются стартовыми взносами и спонсорами.</w:t>
      </w:r>
    </w:p>
    <w:p>
      <w:pPr>
        <w:pStyle w:val="ListParagraph"/>
        <w:numPr>
          <w:ilvl w:val="0"/>
          <w:numId w:val="6"/>
        </w:numPr>
      </w:pPr>
      <w:r>
        <w:t xml:space="preserve">Бесплатные тренировки на открытом воздухе с мая по сентябрь, раз в неделю, с тренерами-волонтёрами.</w:t>
      </w:r>
    </w:p>
    <w:p>
      <w:pPr>
        <w:pStyle w:val="ListParagraph"/>
        <w:numPr>
          <w:ilvl w:val="0"/>
          <w:numId w:val="6"/>
        </w:numPr>
      </w:pPr>
      <w:r>
        <w:t xml:space="preserve">6 лекций и мастер-классов по профилактике вредных привычек, в том числе онлайн.</w:t>
      </w:r>
    </w:p>
    <w:p>
      <w:pPr>
        <w:pStyle w:val="ListParagraph"/>
        <w:numPr>
          <w:ilvl w:val="0"/>
          <w:numId w:val="6"/>
        </w:numPr>
      </w:pPr>
      <w:r>
        <w:t xml:space="preserve">Бесплатная психологическая помощь: онлайн-консультации и группы поддержки для людей в стрессе и подопечных других подпрограмм.</w:t>
      </w:r>
    </w:p>
    <w:p>
      <w:pPr>
        <w:pStyle w:val="ListParagraph"/>
        <w:numPr>
          <w:ilvl w:val="0"/>
          <w:numId w:val="6"/>
        </w:numPr>
      </w:pPr>
      <w:r>
        <w:t xml:space="preserve">Просветительские материалы в соцсетях Фонда раз в месяц.</w:t>
      </w:r>
    </w:p>
    <w:p>
      <w:pPr>
        <w:pStyle w:val="Heading2"/>
      </w:pPr>
      <w:r>
        <w:t xml:space="preserve">4. Привлечение ресурсов и приносящая доход деятельность</w:t>
      </w:r>
    </w:p>
    <w:p>
      <w:pPr/>
      <w:r>
        <w:t xml:space="preserve">Главная ставка — корпоративные пожертвования (45% поступлений) и регулярные частные пожертвования, которые делают бюджет предсказуемым; приносящая доход деятельность в первый год играет вспомогательную роль.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Корпоративные партнёры</w:t>
      </w:r>
      <w:r>
        <w:t xml:space="preserve"> (п. 4.2.2): 2 компании-партнёра, каждая финансирует одну подпрограмму целиком, + корпоративное волонтёрство.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Частные жертвователи</w:t>
      </w:r>
      <w:r>
        <w:t xml:space="preserve"> (п. 2.3.19): онлайн-форма с регулярными платежами на сайте, цель — 150 регулярных жертвователей к декабрю.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Гранты</w:t>
      </w:r>
      <w:r>
        <w:t xml:space="preserve">: заявки в Фонд президентских грантов (конкурс малых грантов) и на грантовые конкурсы Москвы — не менее 2 заявок за год.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Благотворительные события</w:t>
      </w:r>
      <w:r>
        <w:t xml:space="preserve"> (п. 2.3.20, 4.2.4): благотворительный забег (сентябрь) и новогодняя ярмарка.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Приносящая доход деятельность</w:t>
      </w:r>
      <w:r>
        <w:t xml:space="preserve"> (п. 2.4): продажа изделий инклюзивной мастерской и сувенирной продукции Фонда, размещение временно свободных средств на депозите. Весь доход направляется на уставные цели (п. 1.5, 7.8).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Неденежные ресурсы</w:t>
      </w:r>
      <w:r>
        <w:t xml:space="preserve">: пожертвования в натуральной форме (продукты, вещи, техника), pro bono услуги юристов и психологов, безвозмездное помещение от партнёра, волонтёры — цель 30 активных волонтёров.</w:t>
      </w:r>
    </w:p>
    <w:p>
      <w:pPr>
        <w:pStyle w:val="Heading2"/>
      </w:pPr>
      <w:r>
        <w:t xml:space="preserve">5. Этапы и сроки реализации</w:t>
      </w:r>
    </w:p>
    <w:p>
      <w:pPr/>
      <w:r>
        <w:t xml:space="preserve">Программа идёт в четыре этапа; основная нагрузка — во II–III кварталах, когда проходят летняя смена, забег и школьная акция.</w:t>
      </w:r>
    </w:p>
    <w:p>
      <w:pPr/>
      <w:r>
        <w:drawing>
          <wp:inline distT="0" distB="0" distL="0" distR="0">
            <wp:extent cx="5486400" cy="3575957"/>
            <wp:docPr id="1" name="image1" descr="поквартальный план · 6 направлений × 4 квартал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поквартальный план · 6 направлений × 4 квартала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поквартальный план · 6 направлений × 4 квартала</w:t>
      </w:r>
    </w:p>
    <w:p>
      <w:pPr/>
      <w:r>
        <w:t xml:space="preserve">Заседания Совета — не реже двух раз в год (п. 5.6): в январе (утверждение программы и бюджета) и в декабре (итоги, план на 2028 год), плюс промежуточное в июле. Попечительский совет собирается не реже одного раза в год (п. 5.12), Ревизор проверяет деятельность перед годовым заседанием Совета (п. 8.5).</w:t>
      </w:r>
    </w:p>
    <w:p>
      <w:pPr>
        <w:pStyle w:val="Heading2"/>
      </w:pPr>
      <w:r>
        <w:t xml:space="preserve">6. Смета поступлений и расходов</w:t>
      </w:r>
    </w:p>
    <w:p>
      <w:pPr/>
      <w:r>
        <w:t xml:space="preserve">Бюджет рассчитан на 2 000 тыс. руб. в обороте: поступления и расходы равны, 80% расходов идёт на подпрограммы. Суммы — плановые ориентиры первого года; их нужно уточнить под подтверждённых партнёров до утверждения Советом.</w:t>
      </w:r>
    </w:p>
    <w:p>
      <w:pPr/>
      <w:r>
        <w:rPr>
          <w:b/>
        </w:rPr>
        <w:t xml:space="preserve">Поступления, тыс. руб.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Основание в Уставе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Сумма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Доля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Пожертвования юридических лиц</w:t>
            </w:r>
          </w:p>
        </w:tc>
        <w:tc>
          <w:tcPr>
            <w:tcW w:w="2340" w:type="dxa"/>
          </w:tcPr>
          <w:p>
            <w:pPr/>
            <w:r>
              <w:t xml:space="preserve">п. 4.2.2</w:t>
            </w:r>
          </w:p>
        </w:tc>
        <w:tc>
          <w:tcPr>
            <w:tcW w:w="2340" w:type="dxa"/>
          </w:tcPr>
          <w:p>
            <w:pPr/>
            <w:r>
              <w:t xml:space="preserve">900</w:t>
            </w:r>
          </w:p>
        </w:tc>
        <w:tc>
          <w:tcPr>
            <w:tcW w:w="2340" w:type="dxa"/>
          </w:tcPr>
          <w:p>
            <w:pPr/>
            <w:r>
              <w:t xml:space="preserve">45%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Пожертвования физических лиц</w:t>
            </w:r>
          </w:p>
        </w:tc>
        <w:tc>
          <w:tcPr>
            <w:tcW w:w="2340" w:type="dxa"/>
          </w:tcPr>
          <w:p>
            <w:pPr/>
            <w:r>
              <w:t xml:space="preserve">п. 4.2.2, 2.3.19</w:t>
            </w:r>
          </w:p>
        </w:tc>
        <w:tc>
          <w:tcPr>
            <w:tcW w:w="2340" w:type="dxa"/>
          </w:tcPr>
          <w:p>
            <w:pPr/>
            <w:r>
              <w:t xml:space="preserve">500</w:t>
            </w:r>
          </w:p>
        </w:tc>
        <w:tc>
          <w:tcPr>
            <w:tcW w:w="2340" w:type="dxa"/>
          </w:tcPr>
          <w:p>
            <w:pPr/>
            <w:r>
              <w:t xml:space="preserve">25%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Гранты</w:t>
            </w:r>
          </w:p>
        </w:tc>
        <w:tc>
          <w:tcPr>
            <w:tcW w:w="2340" w:type="dxa"/>
          </w:tcPr>
          <w:p>
            <w:pPr/>
            <w:r>
              <w:t xml:space="preserve">п. 4.2.2</w:t>
            </w:r>
          </w:p>
        </w:tc>
        <w:tc>
          <w:tcPr>
            <w:tcW w:w="2340" w:type="dxa"/>
          </w:tcPr>
          <w:p>
            <w:pPr/>
            <w:r>
              <w:t xml:space="preserve">300</w:t>
            </w:r>
          </w:p>
        </w:tc>
        <w:tc>
          <w:tcPr>
            <w:tcW w:w="2340" w:type="dxa"/>
          </w:tcPr>
          <w:p>
            <w:pPr/>
            <w:r>
              <w:t xml:space="preserve">15%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Поступления от Учредителя</w:t>
            </w:r>
          </w:p>
        </w:tc>
        <w:tc>
          <w:tcPr>
            <w:tcW w:w="2340" w:type="dxa"/>
          </w:tcPr>
          <w:p>
            <w:pPr/>
            <w:r>
              <w:t xml:space="preserve">п. 4.2.1</w:t>
            </w:r>
          </w:p>
        </w:tc>
        <w:tc>
          <w:tcPr>
            <w:tcW w:w="2340" w:type="dxa"/>
          </w:tcPr>
          <w:p>
            <w:pPr/>
            <w:r>
              <w:t xml:space="preserve">150</w:t>
            </w:r>
          </w:p>
        </w:tc>
        <w:tc>
          <w:tcPr>
            <w:tcW w:w="2340" w:type="dxa"/>
          </w:tcPr>
          <w:p>
            <w:pPr/>
            <w:r>
              <w:t xml:space="preserve">7,5%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Благотворительные мероприятия (забег, ярмарка)</w:t>
            </w:r>
          </w:p>
        </w:tc>
        <w:tc>
          <w:tcPr>
            <w:tcW w:w="2340" w:type="dxa"/>
          </w:tcPr>
          <w:p>
            <w:pPr/>
            <w:r>
              <w:t xml:space="preserve">п. 4.2.4</w:t>
            </w:r>
          </w:p>
        </w:tc>
        <w:tc>
          <w:tcPr>
            <w:tcW w:w="2340" w:type="dxa"/>
          </w:tcPr>
          <w:p>
            <w:pPr/>
            <w:r>
              <w:t xml:space="preserve">100</w:t>
            </w:r>
          </w:p>
        </w:tc>
        <w:tc>
          <w:tcPr>
            <w:tcW w:w="2340" w:type="dxa"/>
          </w:tcPr>
          <w:p>
            <w:pPr/>
            <w:r>
              <w:t xml:space="preserve">5%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Приносящая доход деятельность</w:t>
            </w:r>
          </w:p>
        </w:tc>
        <w:tc>
          <w:tcPr>
            <w:tcW w:w="2340" w:type="dxa"/>
          </w:tcPr>
          <w:p>
            <w:pPr/>
            <w:r>
              <w:t xml:space="preserve">п. 2.4, 4.2.5</w:t>
            </w:r>
          </w:p>
        </w:tc>
        <w:tc>
          <w:tcPr>
            <w:tcW w:w="2340" w:type="dxa"/>
          </w:tcPr>
          <w:p>
            <w:pPr/>
            <w:r>
              <w:t xml:space="preserve">40</w:t>
            </w:r>
          </w:p>
        </w:tc>
        <w:tc>
          <w:tcPr>
            <w:tcW w:w="2340" w:type="dxa"/>
          </w:tcPr>
          <w:p>
            <w:pPr/>
            <w:r>
              <w:t xml:space="preserve">2%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Проценты по депозиту</w:t>
            </w:r>
          </w:p>
        </w:tc>
        <w:tc>
          <w:tcPr>
            <w:tcW w:w="2340" w:type="dxa"/>
          </w:tcPr>
          <w:p>
            <w:pPr/>
            <w:r>
              <w:t xml:space="preserve">п. 2.4.11, 4.2.3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0,5%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Итого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2 000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100%</w:t>
            </w:r>
          </w:p>
        </w:tc>
      </w:tr>
    </w:tbl>
    <w:p>
      <w:pPr/>
      <w:r>
        <w:rPr>
          <w:b/>
        </w:rPr>
        <w:t xml:space="preserve">Расходы, тыс. руб.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Статья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Сумма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В т. ч. оплата труда исполнителей программ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«Никогда не поздно помочь»</w:t>
            </w:r>
          </w:p>
        </w:tc>
        <w:tc>
          <w:tcPr>
            <w:tcW w:w="3120" w:type="dxa"/>
          </w:tcPr>
          <w:p>
            <w:pPr/>
            <w:r>
              <w:t xml:space="preserve">450</w:t>
            </w:r>
          </w:p>
        </w:tc>
        <w:tc>
          <w:tcPr>
            <w:tcW w:w="3120" w:type="dxa"/>
          </w:tcPr>
          <w:p>
            <w:pPr/>
            <w:r>
              <w:t xml:space="preserve">60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«Никогда не поздно начать заново»</w:t>
            </w:r>
          </w:p>
        </w:tc>
        <w:tc>
          <w:tcPr>
            <w:tcW w:w="3120" w:type="dxa"/>
          </w:tcPr>
          <w:p>
            <w:pPr/>
            <w:r>
              <w:t xml:space="preserve">400</w:t>
            </w:r>
          </w:p>
        </w:tc>
        <w:tc>
          <w:tcPr>
            <w:tcW w:w="3120" w:type="dxa"/>
          </w:tcPr>
          <w:p>
            <w:pPr/>
            <w:r>
              <w:t xml:space="preserve">90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«Никогда не поздно стать самостоятельным»</w:t>
            </w:r>
          </w:p>
        </w:tc>
        <w:tc>
          <w:tcPr>
            <w:tcW w:w="3120" w:type="dxa"/>
          </w:tcPr>
          <w:p>
            <w:pPr/>
            <w:r>
              <w:t xml:space="preserve">500</w:t>
            </w:r>
          </w:p>
        </w:tc>
        <w:tc>
          <w:tcPr>
            <w:tcW w:w="3120" w:type="dxa"/>
          </w:tcPr>
          <w:p>
            <w:pPr/>
            <w:r>
              <w:t xml:space="preserve">120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«Никогда не поздно быть здоровым»</w:t>
            </w:r>
          </w:p>
        </w:tc>
        <w:tc>
          <w:tcPr>
            <w:tcW w:w="3120" w:type="dxa"/>
          </w:tcPr>
          <w:p>
            <w:pPr/>
            <w:r>
              <w:t xml:space="preserve">250</w:t>
            </w:r>
          </w:p>
        </w:tc>
        <w:tc>
          <w:tcPr>
            <w:tcW w:w="3120" w:type="dxa"/>
          </w:tcPr>
          <w:p>
            <w:pPr/>
            <w:r>
              <w:t xml:space="preserve">50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Итого на благотворительные программы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1 600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320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Привлечение средств и коммуникации (сайт, платёжный сервис, забег, печать)</w:t>
            </w:r>
          </w:p>
        </w:tc>
        <w:tc>
          <w:tcPr>
            <w:tcW w:w="3120" w:type="dxa"/>
          </w:tcPr>
          <w:p>
            <w:pPr/>
            <w:r>
              <w:t xml:space="preserve">100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Оплата труда АУП с взносами (генеральный директор на неполной ставке)</w:t>
            </w:r>
          </w:p>
        </w:tc>
        <w:tc>
          <w:tcPr>
            <w:tcW w:w="3120" w:type="dxa"/>
          </w:tcPr>
          <w:p>
            <w:pPr/>
            <w:r>
              <w:t xml:space="preserve">200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Прочие административные расходы (бухгалтерский аутсорс, банк, связь, ПО)</w:t>
            </w:r>
          </w:p>
        </w:tc>
        <w:tc>
          <w:tcPr>
            <w:tcW w:w="3120" w:type="dxa"/>
          </w:tcPr>
          <w:p>
            <w:pPr/>
            <w:r>
              <w:t xml:space="preserve">100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Всего расходов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2 000</w:t>
            </w:r>
          </w:p>
        </w:tc>
        <w:tc>
          <w:tcPr>
            <w:tcW w:w="3120" w:type="dxa"/>
          </w:tcPr>
          <w:p>
            <w:pPr/>
          </w:p>
        </w:tc>
      </w:tr>
    </w:tbl>
    <w:p>
      <w:pPr/>
      <w:r>
        <w:rPr>
          <w:b/>
        </w:rPr>
        <w:t xml:space="preserve">Проверка уставных нормативов: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Норматив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План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Выполняется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Оплата труда АУП (п. 4.3, 7.8)</w:t>
            </w:r>
          </w:p>
        </w:tc>
        <w:tc>
          <w:tcPr>
            <w:tcW w:w="2340" w:type="dxa"/>
          </w:tcPr>
          <w:p>
            <w:pPr/>
            <w:r>
              <w:t xml:space="preserve">не более 20% расходов года</w:t>
            </w:r>
          </w:p>
        </w:tc>
        <w:tc>
          <w:tcPr>
            <w:tcW w:w="2340" w:type="dxa"/>
          </w:tcPr>
          <w:p>
            <w:pPr/>
            <w:r>
              <w:t xml:space="preserve">200 из 2 000 = 10%</w:t>
            </w:r>
          </w:p>
        </w:tc>
        <w:tc>
          <w:tcPr>
            <w:tcW w:w="2340" w:type="dxa"/>
          </w:tcPr>
          <w:p>
            <w:pPr/>
            <w:r>
              <w:t xml:space="preserve">да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Использование денежных пожертвований (п. 4.4)</w:t>
            </w:r>
          </w:p>
        </w:tc>
        <w:tc>
          <w:tcPr>
            <w:tcW w:w="2340" w:type="dxa"/>
          </w:tcPr>
          <w:p>
            <w:pPr/>
            <w:r>
              <w:t xml:space="preserve">не менее 80% в течение года</w:t>
            </w:r>
          </w:p>
        </w:tc>
        <w:tc>
          <w:tcPr>
            <w:tcW w:w="2340" w:type="dxa"/>
          </w:tcPr>
          <w:p>
            <w:pPr/>
            <w:r>
              <w:t xml:space="preserve">1 600 из 1 850 = 86%</w:t>
            </w:r>
          </w:p>
        </w:tc>
        <w:tc>
          <w:tcPr>
            <w:tcW w:w="2340" w:type="dxa"/>
          </w:tcPr>
          <w:p>
            <w:pPr/>
            <w:r>
              <w:t xml:space="preserve">да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Доходы от внереализационных операций и приносящей доход деятельности (п. 7.8)</w:t>
            </w:r>
          </w:p>
        </w:tc>
        <w:tc>
          <w:tcPr>
            <w:tcW w:w="2340" w:type="dxa"/>
          </w:tcPr>
          <w:p>
            <w:pPr/>
            <w:r>
              <w:t xml:space="preserve">не менее 80% на программы</w:t>
            </w:r>
          </w:p>
        </w:tc>
        <w:tc>
          <w:tcPr>
            <w:tcW w:w="2340" w:type="dxa"/>
          </w:tcPr>
          <w:p>
            <w:pPr/>
            <w:r>
              <w:t xml:space="preserve">50 тыс. руб. направляются на программы полностью</w:t>
            </w:r>
          </w:p>
        </w:tc>
        <w:tc>
          <w:tcPr>
            <w:tcW w:w="2340" w:type="dxa"/>
          </w:tcPr>
          <w:p>
            <w:pPr/>
            <w:r>
              <w:t xml:space="preserve">да</w:t>
            </w:r>
          </w:p>
        </w:tc>
      </w:tr>
    </w:tbl>
    <w:p>
      <w:pPr/>
      <w:r>
        <w:t xml:space="preserve">Оплата труда координаторов, психологов и педагогов относится к расходам программ и под ограничение 20% не подпадает (п. 4.3). Если поступления окажутся ниже плана, первыми сокращаются сезонные акции и закупки для учреждения, а наставничество и адресная помощь сохраняются.</w:t>
      </w:r>
    </w:p>
    <w:p>
      <w:pPr>
        <w:pStyle w:val="Heading2"/>
      </w:pPr>
      <w:r>
        <w:t xml:space="preserve">7. Механизм реализации</w:t>
      </w:r>
    </w:p>
    <w:p>
      <w:pPr/>
      <w:r>
        <w:t xml:space="preserve">Программу ведёт Генеральный директор через координаторов подпрограмм; каждое решение о помощи принимается по заявлению, фиксируется документом и попадает в отчётность.</w:t>
      </w:r>
    </w:p>
    <w:p>
      <w:pPr/>
      <w:r>
        <w:rPr>
          <w:b/>
        </w:rPr>
        <w:t xml:space="preserve">Управление</w:t>
      </w:r>
    </w:p>
    <w:p>
      <w:pPr>
        <w:pStyle w:val="ListParagraph"/>
        <w:numPr>
          <w:ilvl w:val="0"/>
          <w:numId w:val="8"/>
        </w:numPr>
      </w:pPr>
      <w:r>
        <w:t xml:space="preserve">Совет Фонда утверждает программу, бюджет и изменения к ним (п. 5.5.11, 5.5.12); перераспределение более 10% между подпрограммами — только по решению Совета.</w:t>
      </w:r>
    </w:p>
    <w:p>
      <w:pPr>
        <w:pStyle w:val="ListParagraph"/>
        <w:numPr>
          <w:ilvl w:val="0"/>
          <w:numId w:val="8"/>
        </w:numPr>
      </w:pPr>
      <w:r>
        <w:t xml:space="preserve">Генеральный директор назначает координатора каждой подпрограммы, заключает договоры с исполнителями и партнёрами, утверждает внутренние положения (п. 5.8).</w:t>
      </w:r>
    </w:p>
    <w:p>
      <w:pPr>
        <w:pStyle w:val="ListParagraph"/>
        <w:numPr>
          <w:ilvl w:val="0"/>
          <w:numId w:val="8"/>
        </w:numPr>
      </w:pPr>
      <w:r>
        <w:t xml:space="preserve">Экспертная комиссия (Генеральный директор, координатор, представитель Попечительского совета) рассматривает заявления на адресную помощь дороже 10 тыс. руб. и закупки ТСР.</w:t>
      </w:r>
    </w:p>
    <w:p>
      <w:pPr/>
      <w:r>
        <w:rPr>
          <w:b/>
        </w:rPr>
        <w:t xml:space="preserve">Порядок оказания помощи</w:t>
      </w:r>
    </w:p>
    <w:p>
      <w:pPr>
        <w:pStyle w:val="ListParagraph"/>
        <w:numPr>
          <w:ilvl w:val="0"/>
          <w:numId w:val="9"/>
        </w:numPr>
      </w:pPr>
      <w:r>
        <w:t xml:space="preserve">Приём заявлений: сайт, горячая линия, направления от органов соцзащиты, опеки и партнёрских НКО (п. 7.3).</w:t>
      </w:r>
    </w:p>
    <w:p>
      <w:pPr>
        <w:pStyle w:val="ListParagraph"/>
        <w:numPr>
          <w:ilvl w:val="0"/>
          <w:numId w:val="9"/>
        </w:numPr>
      </w:pPr>
      <w:r>
        <w:t xml:space="preserve">Проверка нуждаемости: документы о доходах, статусе (инвалидность, статус сироты, многодетность), акт обследования при необходимости.</w:t>
      </w:r>
    </w:p>
    <w:p>
      <w:pPr>
        <w:pStyle w:val="ListParagraph"/>
        <w:numPr>
          <w:ilvl w:val="0"/>
          <w:numId w:val="9"/>
        </w:numPr>
      </w:pPr>
      <w:r>
        <w:t xml:space="preserve">Решение и договор (или приказ) о благотворительной помощи; оплата — преимущественно напрямую поставщику товаров и услуг, а не наличными.</w:t>
      </w:r>
    </w:p>
    <w:p>
      <w:pPr>
        <w:pStyle w:val="ListParagraph"/>
        <w:numPr>
          <w:ilvl w:val="0"/>
          <w:numId w:val="9"/>
        </w:numPr>
      </w:pPr>
      <w:r>
        <w:t xml:space="preserve">Подтверждение: акт приёма-передачи, чеки, фотоотчёт с согласия получателя; обработка персональных данных — с письменного согласия.</w:t>
      </w:r>
    </w:p>
    <w:p>
      <w:pPr/>
      <w:r>
        <w:rPr>
          <w:b/>
        </w:rPr>
        <w:t xml:space="preserve">Целевые пожертвования</w:t>
      </w:r>
    </w:p>
    <w:p>
      <w:pPr/>
      <w:r>
        <w:t xml:space="preserve">Пожертвования с указанной целью учитываются раздельно и тратятся только на неё (п. 7.6); нецелевые распределяются по подпрограммам пропорционально смете.</w:t>
      </w:r>
    </w:p>
    <w:p>
      <w:pPr/>
      <w:r>
        <w:rPr>
          <w:b/>
        </w:rPr>
        <w:t xml:space="preserve">Контроль и отчётность</w:t>
      </w:r>
    </w:p>
    <w:p>
      <w:pPr>
        <w:pStyle w:val="ListParagraph"/>
        <w:numPr>
          <w:ilvl w:val="0"/>
          <w:numId w:val="10"/>
        </w:numPr>
      </w:pPr>
      <w:r>
        <w:t xml:space="preserve">Ежеквартальный отчёт Генерального директора Совету: исполнение сметы, показатели, отклонения.</w:t>
      </w:r>
    </w:p>
    <w:p>
      <w:pPr>
        <w:pStyle w:val="ListParagraph"/>
        <w:numPr>
          <w:ilvl w:val="0"/>
          <w:numId w:val="10"/>
        </w:numPr>
      </w:pPr>
      <w:r>
        <w:t xml:space="preserve">Попечительский совет проверяет использование средств и соблюдение законодательства (п. 5.10–5.11).</w:t>
      </w:r>
    </w:p>
    <w:p>
      <w:pPr>
        <w:pStyle w:val="ListParagraph"/>
        <w:numPr>
          <w:ilvl w:val="0"/>
          <w:numId w:val="10"/>
        </w:numPr>
      </w:pPr>
      <w:r>
        <w:t xml:space="preserve">Ревизор проводит годовую проверку, заключение — не позднее 10 дней после её окончания (п. 8.5–8.8).</w:t>
      </w:r>
    </w:p>
    <w:p>
      <w:pPr>
        <w:pStyle w:val="ListParagraph"/>
        <w:numPr>
          <w:ilvl w:val="0"/>
          <w:numId w:val="10"/>
        </w:numPr>
      </w:pPr>
      <w:r>
        <w:t xml:space="preserve">Отчёт в Минюст России и публикация отчёта об использовании имущества; аудит годовой отчётности — в случаях, установленных законом (п. 6.3).</w:t>
      </w:r>
    </w:p>
    <w:p>
      <w:pPr>
        <w:pStyle w:val="ListParagraph"/>
        <w:numPr>
          <w:ilvl w:val="0"/>
          <w:numId w:val="10"/>
        </w:numPr>
      </w:pPr>
      <w:r>
        <w:t xml:space="preserve">Публичный годовой отчёт для благотворителей на сайте: цифры по каждой подпрограмме и истории подопечных.</w:t>
      </w:r>
    </w:p>
    <w:p>
      <w:pPr>
        <w:pStyle w:val="Heading2"/>
      </w:pPr>
      <w:r>
        <w:t xml:space="preserve">8. Целевые показатели и риски</w:t>
      </w:r>
    </w:p>
    <w:p>
      <w:pPr/>
      <w:r>
        <w:t xml:space="preserve">Итог года оценивается по 12 показателям; программа считается выполненной, если 10 из них достигнуты не менее чем на 80%.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Подпрограмма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Показатель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План на 2027 год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«Никогда не поздно помочь»</w:t>
            </w:r>
          </w:p>
        </w:tc>
        <w:tc>
          <w:tcPr>
            <w:tcW w:w="3120" w:type="dxa"/>
          </w:tcPr>
          <w:p>
            <w:pPr/>
            <w:r>
              <w:t xml:space="preserve">Семьи и граждане, получившие адресную помощь</w:t>
            </w:r>
          </w:p>
        </w:tc>
        <w:tc>
          <w:tcPr>
            <w:tcW w:w="3120" w:type="dxa"/>
          </w:tcPr>
          <w:p>
            <w:pPr/>
            <w:r>
              <w:t xml:space="preserve">100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«Никогда не поздно помочь»</w:t>
            </w:r>
          </w:p>
        </w:tc>
        <w:tc>
          <w:tcPr>
            <w:tcW w:w="3120" w:type="dxa"/>
          </w:tcPr>
          <w:p>
            <w:pPr/>
            <w:r>
              <w:t xml:space="preserve">Юридические консультации</w:t>
            </w:r>
          </w:p>
        </w:tc>
        <w:tc>
          <w:tcPr>
            <w:tcW w:w="3120" w:type="dxa"/>
          </w:tcPr>
          <w:p>
            <w:pPr/>
            <w:r>
              <w:t xml:space="preserve">50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«Никогда не поздно начать заново»</w:t>
            </w:r>
          </w:p>
        </w:tc>
        <w:tc>
          <w:tcPr>
            <w:tcW w:w="3120" w:type="dxa"/>
          </w:tcPr>
          <w:p>
            <w:pPr/>
            <w:r>
              <w:t xml:space="preserve">Выпускники курсов профориентации и обучения</w:t>
            </w:r>
          </w:p>
        </w:tc>
        <w:tc>
          <w:tcPr>
            <w:tcW w:w="3120" w:type="dxa"/>
          </w:tcPr>
          <w:p>
            <w:pPr/>
            <w:r>
              <w:t xml:space="preserve">30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«Никогда не поздно начать заново»</w:t>
            </w:r>
          </w:p>
        </w:tc>
        <w:tc>
          <w:tcPr>
            <w:tcW w:w="3120" w:type="dxa"/>
          </w:tcPr>
          <w:p>
            <w:pPr/>
            <w:r>
              <w:t xml:space="preserve">Трудоустроены (сохранили работу 3 месяца)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«Никогда не поздно начать заново»</w:t>
            </w:r>
          </w:p>
        </w:tc>
        <w:tc>
          <w:tcPr>
            <w:tcW w:w="3120" w:type="dxa"/>
          </w:tcPr>
          <w:p>
            <w:pPr/>
            <w:r>
              <w:t xml:space="preserve">Переданные комплекты ТСР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«Никогда не поздно стать самостоятельным»</w:t>
            </w:r>
          </w:p>
        </w:tc>
        <w:tc>
          <w:tcPr>
            <w:tcW w:w="3120" w:type="dxa"/>
          </w:tcPr>
          <w:p>
            <w:pPr/>
            <w:r>
              <w:t xml:space="preserve">Пары «наставник — выпускник»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«Никогда не поздно стать самостоятельным»</w:t>
            </w:r>
          </w:p>
        </w:tc>
        <w:tc>
          <w:tcPr>
            <w:tcW w:w="3120" w:type="dxa"/>
          </w:tcPr>
          <w:p>
            <w:pPr/>
            <w:r>
              <w:t xml:space="preserve">Учреждения на сопровождении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«Никогда не поздно быть здоровым»</w:t>
            </w:r>
          </w:p>
        </w:tc>
        <w:tc>
          <w:tcPr>
            <w:tcW w:w="3120" w:type="dxa"/>
          </w:tcPr>
          <w:p>
            <w:pPr/>
            <w:r>
              <w:t xml:space="preserve">Участники ЗОЖ-мероприятий, включая забег</w:t>
            </w:r>
          </w:p>
        </w:tc>
        <w:tc>
          <w:tcPr>
            <w:tcW w:w="3120" w:type="dxa"/>
          </w:tcPr>
          <w:p>
            <w:pPr/>
            <w:r>
              <w:t xml:space="preserve">800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«Никогда не поздно быть здоровым»</w:t>
            </w:r>
          </w:p>
        </w:tc>
        <w:tc>
          <w:tcPr>
            <w:tcW w:w="3120" w:type="dxa"/>
          </w:tcPr>
          <w:p>
            <w:pPr/>
            <w:r>
              <w:t xml:space="preserve">Получатели бесплатной психологической помощи</w:t>
            </w:r>
          </w:p>
        </w:tc>
        <w:tc>
          <w:tcPr>
            <w:tcW w:w="3120" w:type="dxa"/>
          </w:tcPr>
          <w:p>
            <w:pPr/>
            <w:r>
              <w:t xml:space="preserve">100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Фандрайзинг</w:t>
            </w:r>
          </w:p>
        </w:tc>
        <w:tc>
          <w:tcPr>
            <w:tcW w:w="3120" w:type="dxa"/>
          </w:tcPr>
          <w:p>
            <w:pPr/>
            <w:r>
              <w:t xml:space="preserve">Регулярные частные жертвователи</w:t>
            </w:r>
          </w:p>
        </w:tc>
        <w:tc>
          <w:tcPr>
            <w:tcW w:w="3120" w:type="dxa"/>
          </w:tcPr>
          <w:p>
            <w:pPr/>
            <w:r>
              <w:t xml:space="preserve">150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Фандрайзинг</w:t>
            </w:r>
          </w:p>
        </w:tc>
        <w:tc>
          <w:tcPr>
            <w:tcW w:w="3120" w:type="dxa"/>
          </w:tcPr>
          <w:p>
            <w:pPr/>
            <w:r>
              <w:t xml:space="preserve">Корпоративные партнёры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Фандрайзинг</w:t>
            </w:r>
          </w:p>
        </w:tc>
        <w:tc>
          <w:tcPr>
            <w:tcW w:w="3120" w:type="dxa"/>
          </w:tcPr>
          <w:p>
            <w:pPr/>
            <w:r>
              <w:t xml:space="preserve">Активные волонтёры</w:t>
            </w:r>
          </w:p>
        </w:tc>
        <w:tc>
          <w:tcPr>
            <w:tcW w:w="3120" w:type="dxa"/>
          </w:tcPr>
          <w:p>
            <w:pPr/>
            <w:r>
              <w:t xml:space="preserve">30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Риск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Как снижаем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Недобор средств: у нового фонда нет истории, часть грантовых конкурсов требует опыта работы</w:t>
            </w:r>
          </w:p>
        </w:tc>
        <w:tc>
          <w:tcPr>
            <w:tcW w:w="4680" w:type="dxa"/>
          </w:tcPr>
          <w:p>
            <w:pPr/>
            <w:r>
              <w:t xml:space="preserve">Приоритет корпоративных партнёров и регулярных пожертвований; мероприятия запускаются поэтапно по мере поступлений, сезонные акции — первые к сокращению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Нарушение нормативов 80/20</w:t>
            </w:r>
          </w:p>
        </w:tc>
        <w:tc>
          <w:tcPr>
            <w:tcW w:w="4680" w:type="dxa"/>
          </w:tcPr>
          <w:p>
            <w:pPr/>
            <w:r>
              <w:t xml:space="preserve">Ежеквартальный контроль сметы бухгалтером, отчёт Совету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Нецелевое использование помощи</w:t>
            </w:r>
          </w:p>
        </w:tc>
        <w:tc>
          <w:tcPr>
            <w:tcW w:w="4680" w:type="dxa"/>
          </w:tcPr>
          <w:p>
            <w:pPr/>
            <w:r>
              <w:t xml:space="preserve">Оплата напрямую поставщикам, акты приёма-передачи, проверка Ревизором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Нехватка специалистов при небольшом бюджете (психологи, наставники, тренеры)</w:t>
            </w:r>
          </w:p>
        </w:tc>
        <w:tc>
          <w:tcPr>
            <w:tcW w:w="4680" w:type="dxa"/>
          </w:tcPr>
          <w:p>
            <w:pPr/>
            <w:r>
              <w:t xml:space="preserve">Pro bono партнёрства, обучение волонтёров, договоры ГПХ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Репутационный риск при работе с детьми</w:t>
            </w:r>
          </w:p>
        </w:tc>
        <w:tc>
          <w:tcPr>
            <w:tcW w:w="4680" w:type="dxa"/>
          </w:tcPr>
          <w:p>
            <w:pPr/>
            <w:r>
              <w:t xml:space="preserve">Проверка наставников (справка о несудимости), согласия законных представителей, правила обработки персональных данных</w:t>
            </w:r>
          </w:p>
        </w:tc>
      </w:tr>
    </w:tbl>
    <w:p>
      <w:pPr/>
      <w:r>
        <w:t xml:space="preserve">Вопросы до утверждения: подтвердить календарный год как период программы, реальные договорённости с корпоративными партнёрами и регион работы — от них зависят суммы сметы.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Благотворительная программа БФ «Никогда не поздно» на 2027 год</dc:title>
  <dc:description>Claude Docs node/63078eff-5323@13 docx-w6</dc:description>
  <cp:revision>13</cp:revision>
</cp:coreProperties>
</file>